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8B2E94" w:rsidTr="006C129C">
        <w:trPr>
          <w:cantSplit/>
          <w:trHeight w:hRule="exact" w:val="568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0D2B" w:rsidRPr="008B2E94" w:rsidRDefault="00280D2B" w:rsidP="00676D4B">
            <w:pPr>
              <w:spacing w:after="240"/>
              <w:jc w:val="right"/>
              <w:rPr>
                <w:b/>
                <w:sz w:val="40"/>
                <w:szCs w:val="40"/>
                <w:lang w:val="fr-FR"/>
              </w:rPr>
            </w:pPr>
            <w:r w:rsidRPr="008B2E94">
              <w:rPr>
                <w:b/>
                <w:sz w:val="40"/>
                <w:szCs w:val="40"/>
                <w:lang w:val="fr-FR"/>
              </w:rPr>
              <w:t>UN/SCETDG/4</w:t>
            </w:r>
            <w:r w:rsidR="00225D08">
              <w:rPr>
                <w:b/>
                <w:sz w:val="40"/>
                <w:szCs w:val="40"/>
                <w:lang w:val="fr-FR"/>
              </w:rPr>
              <w:t>9</w:t>
            </w:r>
            <w:r w:rsidRPr="008B2E94">
              <w:rPr>
                <w:b/>
                <w:sz w:val="40"/>
                <w:szCs w:val="40"/>
                <w:lang w:val="fr-FR"/>
              </w:rPr>
              <w:t>/INF.</w:t>
            </w:r>
            <w:r w:rsidR="00676D4B">
              <w:rPr>
                <w:b/>
                <w:sz w:val="40"/>
                <w:szCs w:val="40"/>
                <w:lang w:val="fr-FR"/>
              </w:rPr>
              <w:t>48</w:t>
            </w:r>
            <w:r w:rsidR="00E23CEE" w:rsidRPr="008B2E94">
              <w:rPr>
                <w:b/>
                <w:sz w:val="40"/>
                <w:szCs w:val="40"/>
                <w:lang w:val="fr-FR"/>
              </w:rPr>
              <w:br/>
            </w:r>
            <w:r w:rsidR="00E23CEE" w:rsidRPr="008B2E94">
              <w:rPr>
                <w:lang w:val="fr-FR"/>
              </w:rPr>
              <w:t xml:space="preserve"> </w:t>
            </w:r>
          </w:p>
        </w:tc>
      </w:tr>
    </w:tbl>
    <w:tbl>
      <w:tblPr>
        <w:tblW w:w="115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13"/>
        <w:gridCol w:w="5109"/>
      </w:tblGrid>
      <w:tr w:rsidR="00280D2B" w:rsidRPr="0045083B" w:rsidTr="00B051B4">
        <w:tc>
          <w:tcPr>
            <w:tcW w:w="11522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45083B" w:rsidRDefault="00280D2B" w:rsidP="005A1EE9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676D4B">
              <w:rPr>
                <w:b/>
              </w:rPr>
              <w:t>21</w:t>
            </w:r>
            <w:r w:rsidR="005A1EE9">
              <w:rPr>
                <w:b/>
              </w:rPr>
              <w:t xml:space="preserve"> June</w:t>
            </w:r>
            <w:r w:rsidR="00EF3923">
              <w:rPr>
                <w:b/>
                <w:sz w:val="18"/>
                <w:szCs w:val="24"/>
              </w:rPr>
              <w:t xml:space="preserve"> </w:t>
            </w:r>
            <w:r w:rsidR="00450B3A">
              <w:rPr>
                <w:b/>
                <w:sz w:val="18"/>
                <w:szCs w:val="24"/>
              </w:rPr>
              <w:t>201</w:t>
            </w:r>
            <w:r w:rsidR="00B57B8C">
              <w:rPr>
                <w:b/>
                <w:sz w:val="18"/>
                <w:szCs w:val="24"/>
              </w:rPr>
              <w:t>6</w:t>
            </w:r>
          </w:p>
        </w:tc>
      </w:tr>
      <w:tr w:rsidR="00280D2B" w:rsidRPr="0045083B" w:rsidTr="00B051B4">
        <w:tc>
          <w:tcPr>
            <w:tcW w:w="641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45083B" w:rsidRDefault="00280D2B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45083B" w:rsidRDefault="00280D2B">
            <w:pPr>
              <w:spacing w:before="120"/>
              <w:rPr>
                <w:b/>
              </w:rPr>
            </w:pPr>
          </w:p>
        </w:tc>
      </w:tr>
      <w:tr w:rsidR="00280D2B" w:rsidRPr="0045083B" w:rsidTr="00B051B4">
        <w:tc>
          <w:tcPr>
            <w:tcW w:w="641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45083B" w:rsidRDefault="00280D2B" w:rsidP="00B57B8C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Forty-</w:t>
            </w:r>
            <w:r w:rsidR="00BD197C">
              <w:rPr>
                <w:b/>
              </w:rPr>
              <w:t>nin</w:t>
            </w:r>
            <w:r w:rsidR="00B57B8C">
              <w:rPr>
                <w:b/>
              </w:rPr>
              <w:t>th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45083B" w:rsidRDefault="00280D2B">
            <w:pPr>
              <w:spacing w:before="120"/>
              <w:rPr>
                <w:b/>
              </w:rPr>
            </w:pPr>
          </w:p>
        </w:tc>
      </w:tr>
      <w:tr w:rsidR="00280D2B" w:rsidRPr="0045083B" w:rsidTr="00B051B4">
        <w:tc>
          <w:tcPr>
            <w:tcW w:w="641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F54DDA" w:rsidRDefault="00280D2B">
            <w:pPr>
              <w:spacing w:before="120"/>
              <w:ind w:left="34" w:hanging="34"/>
            </w:pPr>
            <w:r w:rsidRPr="00F54DDA">
              <w:t xml:space="preserve">Geneva, </w:t>
            </w:r>
            <w:r w:rsidR="00215690">
              <w:t xml:space="preserve">27 June-6 July </w:t>
            </w:r>
            <w:r w:rsidRPr="00F54DDA">
              <w:t>201</w:t>
            </w:r>
            <w:r w:rsidR="00B57B8C">
              <w:t>6</w:t>
            </w:r>
          </w:p>
          <w:p w:rsidR="00280D2B" w:rsidRPr="00F54DDA" w:rsidRDefault="00280D2B">
            <w:pPr>
              <w:ind w:left="34" w:hanging="34"/>
            </w:pPr>
            <w:r w:rsidRPr="00F54DDA">
              <w:t xml:space="preserve">Item </w:t>
            </w:r>
            <w:r w:rsidR="00B051B4">
              <w:t>6 (c)</w:t>
            </w:r>
            <w:r w:rsidR="005149A9">
              <w:t xml:space="preserve"> </w:t>
            </w:r>
            <w:r w:rsidRPr="00F54DDA">
              <w:t>of the provisional agenda</w:t>
            </w:r>
          </w:p>
          <w:p w:rsidR="00963879" w:rsidRPr="004624AF" w:rsidRDefault="00B051B4" w:rsidP="00B051B4">
            <w:pPr>
              <w:spacing w:after="120"/>
              <w:ind w:left="-11" w:right="459" w:firstLine="11"/>
              <w:rPr>
                <w:b/>
              </w:rPr>
            </w:pPr>
            <w:r>
              <w:rPr>
                <w:b/>
              </w:rPr>
              <w:t>Miscellaneous proposals for amendments to the Model Regulations on the Transport of Dangerous Goods: packagings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280D2B" w:rsidRDefault="00280D2B" w:rsidP="008B2E94">
            <w:pPr>
              <w:rPr>
                <w:b/>
              </w:rPr>
            </w:pPr>
          </w:p>
        </w:tc>
      </w:tr>
    </w:tbl>
    <w:p w:rsidR="00A4449F" w:rsidRPr="00735725" w:rsidRDefault="00390C04" w:rsidP="00A04F66">
      <w:pPr>
        <w:pStyle w:val="HChG"/>
      </w:pPr>
      <w:r>
        <w:tab/>
      </w:r>
      <w:r>
        <w:tab/>
      </w:r>
      <w:r w:rsidR="00B051B4">
        <w:t>Comments on 2016/11: Water temperature during internal pressure (</w:t>
      </w:r>
      <w:r w:rsidR="00B051B4" w:rsidRPr="00A04F66">
        <w:t>hydraulic</w:t>
      </w:r>
      <w:r w:rsidR="00B051B4">
        <w:t>) test with plastics packagings, composite packagings (plastics receptacles), plastics IBCs and composite IBCs (plastic receptacles)</w:t>
      </w:r>
      <w:r w:rsidR="00215690">
        <w:t xml:space="preserve"> </w:t>
      </w:r>
    </w:p>
    <w:p w:rsidR="00A4449F" w:rsidRPr="008B2E94" w:rsidRDefault="00A4449F" w:rsidP="00A04F66">
      <w:pPr>
        <w:pStyle w:val="H1G"/>
        <w:rPr>
          <w:lang w:val="en-US"/>
        </w:rPr>
      </w:pPr>
      <w:r>
        <w:tab/>
      </w:r>
      <w:r>
        <w:tab/>
        <w:t>Transmitted by th</w:t>
      </w:r>
      <w:r w:rsidR="00390C04">
        <w:t xml:space="preserve">e </w:t>
      </w:r>
      <w:r w:rsidR="00B87A6B">
        <w:t>e</w:t>
      </w:r>
      <w:r w:rsidR="00390C04">
        <w:t xml:space="preserve">xpert from </w:t>
      </w:r>
      <w:r w:rsidR="000D29F2">
        <w:t xml:space="preserve">the United </w:t>
      </w:r>
      <w:r w:rsidR="000D29F2" w:rsidRPr="00A04F66">
        <w:t>Kingdom</w:t>
      </w:r>
    </w:p>
    <w:p w:rsidR="00A4449F" w:rsidRPr="00A04F66" w:rsidRDefault="00A4449F" w:rsidP="00A04F66">
      <w:pPr>
        <w:pStyle w:val="HChG"/>
      </w:pPr>
      <w:r>
        <w:tab/>
      </w:r>
      <w:r>
        <w:tab/>
      </w:r>
      <w:r w:rsidR="00A04F66">
        <w:t>Introduction</w:t>
      </w:r>
    </w:p>
    <w:p w:rsidR="00075FC1" w:rsidRDefault="00A04F66" w:rsidP="00A04F66">
      <w:pPr>
        <w:pStyle w:val="SingleTxtG"/>
      </w:pPr>
      <w:r>
        <w:t>1.</w:t>
      </w:r>
      <w:r>
        <w:tab/>
      </w:r>
      <w:r w:rsidR="00075FC1" w:rsidRPr="00972A8A">
        <w:t>The expert from the United Kingdom has carefully reviewed the latest paper from the German expert on the water temperature</w:t>
      </w:r>
      <w:r w:rsidR="00F41B55">
        <w:t xml:space="preserve"> used</w:t>
      </w:r>
      <w:r w:rsidR="00075FC1" w:rsidRPr="00972A8A">
        <w:t xml:space="preserve"> during</w:t>
      </w:r>
      <w:r w:rsidR="00F41B55">
        <w:t xml:space="preserve"> </w:t>
      </w:r>
      <w:r w:rsidR="00075FC1" w:rsidRPr="00972A8A">
        <w:t>hydraulic pressure testing with plastics packaging ST/SG/AC.10/C.3/2016/11</w:t>
      </w:r>
      <w:r w:rsidR="00FF79E6">
        <w:t>. Together with INF.13, containing comments from</w:t>
      </w:r>
      <w:r w:rsidR="00075FC1" w:rsidRPr="00972A8A">
        <w:t xml:space="preserve"> ICIBCA</w:t>
      </w:r>
      <w:r w:rsidR="00FF79E6">
        <w:t xml:space="preserve"> and</w:t>
      </w:r>
      <w:r w:rsidR="00075FC1" w:rsidRPr="00972A8A">
        <w:t xml:space="preserve"> ICPP</w:t>
      </w:r>
      <w:r w:rsidR="00FF79E6">
        <w:t>.</w:t>
      </w:r>
      <w:r w:rsidR="00075FC1" w:rsidRPr="00972A8A">
        <w:t xml:space="preserve"> </w:t>
      </w:r>
      <w:r w:rsidR="00FF79E6">
        <w:t>We have also looked at</w:t>
      </w:r>
      <w:r w:rsidR="00075FC1" w:rsidRPr="00972A8A">
        <w:t xml:space="preserve"> the original paper presented at the 47</w:t>
      </w:r>
      <w:r w:rsidR="00075FC1" w:rsidRPr="00075FC1">
        <w:rPr>
          <w:vertAlign w:val="superscript"/>
        </w:rPr>
        <w:t>th</w:t>
      </w:r>
      <w:r w:rsidR="00075FC1" w:rsidRPr="00972A8A">
        <w:t xml:space="preserve"> Session (ST/SG/AC.10/C.3/2015/15) and</w:t>
      </w:r>
      <w:r w:rsidR="00FF79E6">
        <w:t xml:space="preserve"> the accompanying</w:t>
      </w:r>
      <w:r w:rsidR="00075FC1" w:rsidRPr="00972A8A">
        <w:t xml:space="preserve"> </w:t>
      </w:r>
      <w:r w:rsidR="00FF79E6">
        <w:t>INF.13</w:t>
      </w:r>
      <w:r w:rsidR="00075FC1" w:rsidRPr="00972A8A">
        <w:t>.</w:t>
      </w:r>
    </w:p>
    <w:p w:rsidR="00075FC1" w:rsidRDefault="00A04F66" w:rsidP="00A04F66">
      <w:pPr>
        <w:pStyle w:val="SingleTxtG"/>
      </w:pPr>
      <w:r>
        <w:t>2.</w:t>
      </w:r>
      <w:r>
        <w:tab/>
      </w:r>
      <w:r w:rsidR="000637F6">
        <w:t>The U</w:t>
      </w:r>
      <w:r w:rsidR="00F41B55">
        <w:t xml:space="preserve">nited </w:t>
      </w:r>
      <w:r w:rsidR="000637F6">
        <w:t>K</w:t>
      </w:r>
      <w:r w:rsidR="00F41B55">
        <w:t>ingdom</w:t>
      </w:r>
      <w:r w:rsidR="000637F6">
        <w:t xml:space="preserve"> notes that the earlier papers did not provide justification for the proposed change</w:t>
      </w:r>
      <w:r w:rsidR="00075FC1" w:rsidRPr="00972A8A">
        <w:t>.</w:t>
      </w:r>
      <w:r w:rsidR="000637F6">
        <w:t xml:space="preserve"> The current paper purports to provide some justification in paragraph 4.</w:t>
      </w:r>
      <w:r w:rsidR="00F41B55">
        <w:t xml:space="preserve"> That is,</w:t>
      </w:r>
      <w:r w:rsidR="000637F6">
        <w:t xml:space="preserve"> </w:t>
      </w:r>
      <w:r w:rsidR="00075FC1" w:rsidRPr="00972A8A">
        <w:t>“Different practices have developed which cause competitive disadvantages and are contrary to the intention to have harmonized provisions</w:t>
      </w:r>
      <w:r w:rsidR="000637F6">
        <w:t xml:space="preserve"> as a basis for the worldwide acceptance of UN approved packagings</w:t>
      </w:r>
      <w:r w:rsidR="00075FC1" w:rsidRPr="00972A8A">
        <w:t>”.</w:t>
      </w:r>
      <w:r w:rsidR="000637F6">
        <w:t xml:space="preserve"> </w:t>
      </w:r>
      <w:r w:rsidR="0002650A">
        <w:t>However, there is no evidence provided of this malpractice or any failures in the use of packaging tested in this way.</w:t>
      </w:r>
    </w:p>
    <w:p w:rsidR="00075FC1" w:rsidRDefault="00A04F66" w:rsidP="00A04F66">
      <w:pPr>
        <w:pStyle w:val="SingleTxtG"/>
      </w:pPr>
      <w:r>
        <w:t>3.</w:t>
      </w:r>
      <w:r>
        <w:tab/>
      </w:r>
      <w:r w:rsidR="0002650A">
        <w:t xml:space="preserve">It </w:t>
      </w:r>
      <w:r w:rsidR="00F41B55">
        <w:t>is</w:t>
      </w:r>
      <w:r w:rsidR="0002650A">
        <w:t xml:space="preserve"> also claimed in p</w:t>
      </w:r>
      <w:r w:rsidR="00075FC1" w:rsidRPr="00972A8A">
        <w:t>aragraph 4 that</w:t>
      </w:r>
      <w:r w:rsidR="0002650A">
        <w:t xml:space="preserve"> the</w:t>
      </w:r>
      <w:r w:rsidR="00075FC1" w:rsidRPr="00972A8A">
        <w:t xml:space="preserve"> UN permits cooling of the water</w:t>
      </w:r>
      <w:r w:rsidR="0002650A">
        <w:t>.</w:t>
      </w:r>
      <w:r w:rsidR="00075FC1" w:rsidRPr="00972A8A">
        <w:t xml:space="preserve"> </w:t>
      </w:r>
      <w:r w:rsidR="0002650A">
        <w:t>This is not the case</w:t>
      </w:r>
      <w:r w:rsidR="00F41B55">
        <w:t>;</w:t>
      </w:r>
      <w:r w:rsidR="00F41B55" w:rsidRPr="00972A8A">
        <w:t xml:space="preserve"> </w:t>
      </w:r>
      <w:r w:rsidR="00F41B55">
        <w:t>the</w:t>
      </w:r>
      <w:r w:rsidR="00075FC1" w:rsidRPr="00972A8A">
        <w:t xml:space="preserve"> current text for the Internal Pressure test is silent on temperature.</w:t>
      </w:r>
      <w:r w:rsidR="0002650A">
        <w:t xml:space="preserve"> As we understand it,</w:t>
      </w:r>
      <w:r w:rsidR="00075FC1" w:rsidRPr="00972A8A">
        <w:t xml:space="preserve"> </w:t>
      </w:r>
      <w:r w:rsidR="0002650A">
        <w:t>t</w:t>
      </w:r>
      <w:r w:rsidR="00075FC1" w:rsidRPr="00972A8A">
        <w:t>emperature would have been considered when the original text was developed</w:t>
      </w:r>
      <w:r w:rsidR="00F41B55">
        <w:t>,</w:t>
      </w:r>
      <w:r w:rsidR="00075FC1" w:rsidRPr="00972A8A">
        <w:t xml:space="preserve"> but the elasticity of plastics materials was dealt with in this test by extending the period of </w:t>
      </w:r>
      <w:r w:rsidR="00F41B55">
        <w:t xml:space="preserve">the </w:t>
      </w:r>
      <w:r w:rsidR="00075FC1" w:rsidRPr="00972A8A">
        <w:t>test to 30 minutes</w:t>
      </w:r>
      <w:r w:rsidR="0002650A">
        <w:t>.</w:t>
      </w:r>
      <w:r w:rsidR="00075FC1" w:rsidRPr="00972A8A">
        <w:t xml:space="preserve"> </w:t>
      </w:r>
      <w:proofErr w:type="gramStart"/>
      <w:r w:rsidR="0002650A">
        <w:t>W</w:t>
      </w:r>
      <w:r w:rsidR="00075FC1" w:rsidRPr="00972A8A">
        <w:t>hilst other materials are only tested for 5 minutes.</w:t>
      </w:r>
      <w:proofErr w:type="gramEnd"/>
    </w:p>
    <w:p w:rsidR="00A04F66" w:rsidRDefault="00A04F66" w:rsidP="00A04F66">
      <w:pPr>
        <w:pStyle w:val="SingleTxtG"/>
      </w:pPr>
      <w:r>
        <w:t>4.</w:t>
      </w:r>
      <w:r>
        <w:tab/>
      </w:r>
      <w:r w:rsidR="0002650A">
        <w:t>In the U</w:t>
      </w:r>
      <w:r w:rsidR="00F41B55">
        <w:t xml:space="preserve">nited </w:t>
      </w:r>
      <w:r w:rsidR="0002650A">
        <w:t>K</w:t>
      </w:r>
      <w:r w:rsidR="00F41B55">
        <w:t>ingdom</w:t>
      </w:r>
      <w:r w:rsidR="0002650A">
        <w:t>’s view, a</w:t>
      </w:r>
      <w:r w:rsidR="00075FC1" w:rsidRPr="00972A8A">
        <w:t xml:space="preserve"> key consideration that has been overlooked in this debate is that this test is not the only one done on plastics packaging. Indeed</w:t>
      </w:r>
      <w:r w:rsidR="0002650A">
        <w:t>,</w:t>
      </w:r>
      <w:r w:rsidR="00075FC1" w:rsidRPr="00972A8A">
        <w:t xml:space="preserve"> two tests lay down specific temperatures for testing</w:t>
      </w:r>
      <w:r w:rsidR="0002650A">
        <w:t>, in order to comprehensively</w:t>
      </w:r>
      <w:r w:rsidR="00075FC1" w:rsidRPr="00972A8A">
        <w:t xml:space="preserve"> explore the properties of plastics packaging. The drop test is </w:t>
      </w:r>
      <w:r w:rsidR="00833022">
        <w:t>carried out</w:t>
      </w:r>
      <w:r w:rsidR="00075FC1" w:rsidRPr="00972A8A">
        <w:t xml:space="preserve"> with packaging and content at -</w:t>
      </w:r>
      <w:r w:rsidR="00A14539" w:rsidRPr="00972A8A">
        <w:t>18</w:t>
      </w:r>
      <w:r w:rsidR="00A14539">
        <w:rPr>
          <w:vertAlign w:val="superscript"/>
        </w:rPr>
        <w:t>°</w:t>
      </w:r>
      <w:r w:rsidR="00A14539" w:rsidRPr="00972A8A">
        <w:t xml:space="preserve">C </w:t>
      </w:r>
      <w:r w:rsidR="00075FC1" w:rsidRPr="00972A8A">
        <w:t xml:space="preserve">or lower and the stacking test at not less than </w:t>
      </w:r>
      <w:r w:rsidR="00A14539" w:rsidRPr="00972A8A">
        <w:t>40</w:t>
      </w:r>
      <w:r w:rsidR="00A14539">
        <w:rPr>
          <w:vertAlign w:val="superscript"/>
        </w:rPr>
        <w:t>°</w:t>
      </w:r>
      <w:r w:rsidR="00A14539" w:rsidRPr="00972A8A">
        <w:t>C</w:t>
      </w:r>
      <w:r w:rsidR="00075FC1" w:rsidRPr="00972A8A">
        <w:t>. A packaging that would only pass a hydraulic test when the water was at very low temperature</w:t>
      </w:r>
      <w:r w:rsidR="00833022">
        <w:t>,</w:t>
      </w:r>
      <w:r w:rsidR="00075FC1" w:rsidRPr="00972A8A">
        <w:t xml:space="preserve"> is likely to be so elastic that it will fail the stack test or would have such a low performance rating as to be unusable for dangerous goods. The remaining test, the </w:t>
      </w:r>
      <w:proofErr w:type="spellStart"/>
      <w:r w:rsidR="00075FC1" w:rsidRPr="00972A8A">
        <w:t>Leakproofness</w:t>
      </w:r>
      <w:proofErr w:type="spellEnd"/>
      <w:r w:rsidR="00075FC1" w:rsidRPr="00972A8A">
        <w:t xml:space="preserve"> Test</w:t>
      </w:r>
      <w:r w:rsidR="00F41B55">
        <w:t>,</w:t>
      </w:r>
      <w:r w:rsidR="00075FC1" w:rsidRPr="00972A8A">
        <w:t xml:space="preserve"> also involves water at an </w:t>
      </w:r>
    </w:p>
    <w:p w:rsidR="00A04F66" w:rsidRDefault="00A04F66">
      <w:pPr>
        <w:suppressAutoHyphens w:val="0"/>
        <w:spacing w:line="240" w:lineRule="auto"/>
      </w:pPr>
      <w:r>
        <w:br w:type="page"/>
      </w:r>
    </w:p>
    <w:p w:rsidR="00075FC1" w:rsidRPr="00972A8A" w:rsidRDefault="00075FC1" w:rsidP="00A04F66">
      <w:pPr>
        <w:pStyle w:val="SingleTxtG"/>
      </w:pPr>
      <w:proofErr w:type="gramStart"/>
      <w:r w:rsidRPr="00972A8A">
        <w:t>unspecified</w:t>
      </w:r>
      <w:proofErr w:type="gramEnd"/>
      <w:r w:rsidRPr="00972A8A">
        <w:t xml:space="preserve"> temperature. If the temperature </w:t>
      </w:r>
      <w:r w:rsidRPr="00972A8A">
        <w:lastRenderedPageBreak/>
        <w:t xml:space="preserve">was as critical as </w:t>
      </w:r>
      <w:r w:rsidR="00A14539">
        <w:t>suggested in paper 2016/11</w:t>
      </w:r>
      <w:r w:rsidR="00833022">
        <w:t>,</w:t>
      </w:r>
      <w:r w:rsidRPr="00972A8A">
        <w:t xml:space="preserve"> then this would be a better candidate for amendment </w:t>
      </w:r>
      <w:r w:rsidR="00833022">
        <w:t>because</w:t>
      </w:r>
      <w:r w:rsidRPr="00972A8A">
        <w:t xml:space="preserve"> it is the only variable</w:t>
      </w:r>
      <w:r w:rsidR="00833022">
        <w:t>,</w:t>
      </w:r>
      <w:r w:rsidRPr="00972A8A">
        <w:t xml:space="preserve"> as</w:t>
      </w:r>
      <w:r w:rsidR="00833022">
        <w:t xml:space="preserve"> a result of the</w:t>
      </w:r>
      <w:r w:rsidRPr="00972A8A">
        <w:t xml:space="preserve"> testing </w:t>
      </w:r>
      <w:r w:rsidR="00833022">
        <w:t>being</w:t>
      </w:r>
      <w:r w:rsidRPr="00972A8A">
        <w:t xml:space="preserve"> done at fixed pressures</w:t>
      </w:r>
      <w:r>
        <w:t>.</w:t>
      </w:r>
    </w:p>
    <w:p w:rsidR="00075FC1" w:rsidRPr="00972A8A" w:rsidRDefault="00A04F66" w:rsidP="00A04F66">
      <w:pPr>
        <w:pStyle w:val="SingleTxtG"/>
      </w:pPr>
      <w:r>
        <w:t>5.</w:t>
      </w:r>
      <w:r>
        <w:tab/>
      </w:r>
      <w:r w:rsidR="00075FC1" w:rsidRPr="00972A8A">
        <w:t>Another important consideration is that the Internal Pressure test is a performance measure test</w:t>
      </w:r>
      <w:r w:rsidR="00833022">
        <w:t>,</w:t>
      </w:r>
      <w:r w:rsidR="00075FC1" w:rsidRPr="00972A8A">
        <w:t xml:space="preserve"> in that with the exception of the minimum test pressure of 250 </w:t>
      </w:r>
      <w:proofErr w:type="spellStart"/>
      <w:r w:rsidR="00075FC1" w:rsidRPr="00972A8A">
        <w:t>kPa</w:t>
      </w:r>
      <w:proofErr w:type="spellEnd"/>
      <w:r w:rsidR="00075FC1" w:rsidRPr="00972A8A">
        <w:t xml:space="preserve"> for packing group I</w:t>
      </w:r>
      <w:r w:rsidR="00833022">
        <w:t>,</w:t>
      </w:r>
      <w:r w:rsidR="00075FC1" w:rsidRPr="00972A8A">
        <w:t xml:space="preserve"> the pressure applied is set by the client. A packaging that does not perform at the level requested is simply retested with a lower rating. A lower rating will in turn reduce the range of products that can be safely transported in the container. The marked performance of the packaging includes a substantial safety factor in relation to the filling substances permitted.</w:t>
      </w:r>
    </w:p>
    <w:p w:rsidR="00075FC1" w:rsidRPr="00972A8A" w:rsidRDefault="00A04F66" w:rsidP="00A04F66">
      <w:pPr>
        <w:pStyle w:val="SingleTxtG"/>
      </w:pPr>
      <w:r>
        <w:t>6.</w:t>
      </w:r>
      <w:r>
        <w:tab/>
      </w:r>
      <w:r w:rsidR="00075FC1" w:rsidRPr="00972A8A">
        <w:t>The current paper from Germany does not provide any new information</w:t>
      </w:r>
      <w:r w:rsidR="00867BD4">
        <w:t xml:space="preserve"> to support their proposal. </w:t>
      </w:r>
      <w:proofErr w:type="gramStart"/>
      <w:r w:rsidR="00867BD4">
        <w:t>And in our view, the argument to dismiss the counter proposal from INF.13 (from the last meeting of the UN Sub-Committee) to apply correction factors, acts to undermine this German proposal.</w:t>
      </w:r>
      <w:proofErr w:type="gramEnd"/>
      <w:r w:rsidR="00867BD4">
        <w:t xml:space="preserve"> </w:t>
      </w:r>
      <w:r w:rsidR="000F6429">
        <w:t>This is because that dismissal was based on the fact that the evidence provided was only based on the testing of 1 product in 1 polymer; and the paper from Germany is also based on the testing of 1 product in 1 polymer.</w:t>
      </w:r>
    </w:p>
    <w:p w:rsidR="00075FC1" w:rsidRPr="00972A8A" w:rsidRDefault="00A04F66" w:rsidP="00A04F66">
      <w:pPr>
        <w:pStyle w:val="SingleTxtG"/>
      </w:pPr>
      <w:r>
        <w:t>7.</w:t>
      </w:r>
      <w:r>
        <w:tab/>
      </w:r>
      <w:r w:rsidR="00075FC1" w:rsidRPr="00972A8A">
        <w:t xml:space="preserve">No attempt has been made, to correlate the results of the research project with real containers and their UN marked performance. The paper claims that at </w:t>
      </w:r>
      <w:r w:rsidR="00A14539" w:rsidRPr="00972A8A">
        <w:t>21</w:t>
      </w:r>
      <w:r w:rsidR="00A14539">
        <w:rPr>
          <w:vertAlign w:val="superscript"/>
        </w:rPr>
        <w:t>°</w:t>
      </w:r>
      <w:r w:rsidR="00A14539" w:rsidRPr="00972A8A">
        <w:t xml:space="preserve">C </w:t>
      </w:r>
      <w:r w:rsidR="00075FC1" w:rsidRPr="00972A8A">
        <w:t>the containers failed the test</w:t>
      </w:r>
      <w:r w:rsidR="00867BD4">
        <w:t>,</w:t>
      </w:r>
      <w:r w:rsidR="00075FC1" w:rsidRPr="00972A8A">
        <w:t xml:space="preserve"> whereas the evidence submitted shows that around 40% of the containers were able to take 300 </w:t>
      </w:r>
      <w:proofErr w:type="spellStart"/>
      <w:r w:rsidR="00075FC1" w:rsidRPr="00972A8A">
        <w:t>kPa</w:t>
      </w:r>
      <w:proofErr w:type="spellEnd"/>
      <w:r w:rsidR="00075FC1" w:rsidRPr="00972A8A">
        <w:t xml:space="preserve"> at </w:t>
      </w:r>
      <w:r w:rsidR="00A14539" w:rsidRPr="00972A8A">
        <w:t>30</w:t>
      </w:r>
      <w:r w:rsidR="00A14539">
        <w:rPr>
          <w:vertAlign w:val="superscript"/>
        </w:rPr>
        <w:t>°</w:t>
      </w:r>
      <w:r w:rsidR="00A14539" w:rsidRPr="00972A8A">
        <w:t xml:space="preserve">C </w:t>
      </w:r>
      <w:r w:rsidR="00075FC1" w:rsidRPr="00972A8A">
        <w:t>for the required 30 minutes.</w:t>
      </w:r>
    </w:p>
    <w:p w:rsidR="00075FC1" w:rsidRPr="00972A8A" w:rsidRDefault="00A04F66" w:rsidP="00A04F66">
      <w:pPr>
        <w:pStyle w:val="SingleTxtG"/>
      </w:pPr>
      <w:r>
        <w:t>8.</w:t>
      </w:r>
      <w:r>
        <w:tab/>
      </w:r>
      <w:r w:rsidR="00075FC1" w:rsidRPr="00972A8A">
        <w:t>Finally</w:t>
      </w:r>
      <w:r w:rsidR="00F41B55">
        <w:t>,</w:t>
      </w:r>
      <w:r w:rsidR="00075FC1" w:rsidRPr="00972A8A">
        <w:t xml:space="preserve"> the expert from the U</w:t>
      </w:r>
      <w:r w:rsidR="00F41B55">
        <w:t xml:space="preserve">nited </w:t>
      </w:r>
      <w:r w:rsidR="00075FC1" w:rsidRPr="00972A8A">
        <w:t>K</w:t>
      </w:r>
      <w:r w:rsidR="00867BD4">
        <w:t>ingd</w:t>
      </w:r>
      <w:r w:rsidR="00F41B55">
        <w:t>om</w:t>
      </w:r>
      <w:r w:rsidR="00075FC1" w:rsidRPr="00972A8A">
        <w:t xml:space="preserve"> endorses the comments made in </w:t>
      </w:r>
      <w:r w:rsidR="00F41B55">
        <w:t>INF.13 from ICIBCA and ICPP</w:t>
      </w:r>
      <w:r w:rsidR="00867BD4">
        <w:t>.</w:t>
      </w:r>
      <w:r w:rsidR="00075FC1" w:rsidRPr="00972A8A">
        <w:t xml:space="preserve"> </w:t>
      </w:r>
      <w:r w:rsidR="00F41B55">
        <w:t xml:space="preserve"> </w:t>
      </w:r>
      <w:r w:rsidR="00867BD4">
        <w:t>We</w:t>
      </w:r>
      <w:r w:rsidR="00075FC1" w:rsidRPr="00972A8A">
        <w:t xml:space="preserve"> would</w:t>
      </w:r>
      <w:r w:rsidR="00867BD4">
        <w:t xml:space="preserve"> be content to</w:t>
      </w:r>
      <w:r w:rsidR="00075FC1" w:rsidRPr="00972A8A">
        <w:t xml:space="preserve"> support the proposal to add the</w:t>
      </w:r>
      <w:r w:rsidR="00867BD4">
        <w:t xml:space="preserve"> requirement for the</w:t>
      </w:r>
      <w:r w:rsidR="00075FC1" w:rsidRPr="00972A8A">
        <w:t xml:space="preserve"> water</w:t>
      </w:r>
      <w:r w:rsidR="00867BD4">
        <w:t xml:space="preserve"> temperature to be included on the</w:t>
      </w:r>
      <w:r w:rsidR="00075FC1" w:rsidRPr="00972A8A">
        <w:t xml:space="preserve"> test report.</w:t>
      </w:r>
    </w:p>
    <w:p w:rsidR="00000DDE" w:rsidRPr="00A04F66" w:rsidRDefault="00A04F66" w:rsidP="00A04F6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000DDE" w:rsidRPr="00A04F66" w:rsidSect="0005570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17" w:rsidRDefault="00C51517"/>
  </w:endnote>
  <w:endnote w:type="continuationSeparator" w:id="0">
    <w:p w:rsidR="00C51517" w:rsidRDefault="00C51517"/>
  </w:endnote>
  <w:endnote w:type="continuationNotice" w:id="1">
    <w:p w:rsidR="00C51517" w:rsidRDefault="00C51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66" w:rsidRPr="00796B95" w:rsidRDefault="000E2C66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A04F66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66" w:rsidRPr="0005570C" w:rsidRDefault="000E2C66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B051B4">
      <w:rPr>
        <w:b/>
        <w:noProof/>
        <w:sz w:val="18"/>
      </w:rPr>
      <w:t>3</w:t>
    </w:r>
    <w:r w:rsidRPr="0005570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17" w:rsidRPr="000B175B" w:rsidRDefault="00C5151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51517" w:rsidRPr="00FC68B7" w:rsidRDefault="00C5151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51517" w:rsidRDefault="00C515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66" w:rsidRPr="00F54DDA" w:rsidRDefault="000E2C66" w:rsidP="00F54DDA">
    <w:pPr>
      <w:pStyle w:val="Header"/>
    </w:pPr>
    <w:r w:rsidRPr="00F54DDA">
      <w:rPr>
        <w:noProof/>
      </w:rPr>
      <w:t>UN/SCETDG/4</w:t>
    </w:r>
    <w:r w:rsidR="00A04F66">
      <w:rPr>
        <w:noProof/>
      </w:rPr>
      <w:t>9/INF.48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66" w:rsidRPr="0005570C" w:rsidRDefault="000E2C66" w:rsidP="0005570C">
    <w:pPr>
      <w:pStyle w:val="Header"/>
      <w:jc w:val="right"/>
    </w:pPr>
    <w:r w:rsidRPr="00F54DDA">
      <w:t>UN/SCETDG/4</w:t>
    </w:r>
    <w:r>
      <w:t>8</w:t>
    </w:r>
    <w:r w:rsidRPr="00F54DDA">
      <w:t>/INF.</w:t>
    </w: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4E252C"/>
    <w:multiLevelType w:val="hybridMultilevel"/>
    <w:tmpl w:val="C7B4D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642807"/>
    <w:multiLevelType w:val="hybridMultilevel"/>
    <w:tmpl w:val="36CCA5B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D81E01"/>
    <w:multiLevelType w:val="hybridMultilevel"/>
    <w:tmpl w:val="F62C76D6"/>
    <w:lvl w:ilvl="0" w:tplc="E0FA54E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0792FFA"/>
    <w:multiLevelType w:val="hybridMultilevel"/>
    <w:tmpl w:val="91DADA26"/>
    <w:lvl w:ilvl="0" w:tplc="33246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1A667145"/>
    <w:multiLevelType w:val="hybridMultilevel"/>
    <w:tmpl w:val="32FA10A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A97A4A"/>
    <w:multiLevelType w:val="hybridMultilevel"/>
    <w:tmpl w:val="5216A528"/>
    <w:lvl w:ilvl="0" w:tplc="97E6B68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BD0541"/>
    <w:multiLevelType w:val="hybridMultilevel"/>
    <w:tmpl w:val="C02854C2"/>
    <w:lvl w:ilvl="0" w:tplc="E0FA54E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2369197F"/>
    <w:multiLevelType w:val="hybridMultilevel"/>
    <w:tmpl w:val="82F8ECDC"/>
    <w:lvl w:ilvl="0" w:tplc="8212531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8B0E93"/>
    <w:multiLevelType w:val="hybridMultilevel"/>
    <w:tmpl w:val="903E44C2"/>
    <w:lvl w:ilvl="0" w:tplc="1550E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D3DB5"/>
    <w:multiLevelType w:val="hybridMultilevel"/>
    <w:tmpl w:val="10D03F8C"/>
    <w:lvl w:ilvl="0" w:tplc="0407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>
    <w:nsid w:val="3136228E"/>
    <w:multiLevelType w:val="multilevel"/>
    <w:tmpl w:val="A8C89ADC"/>
    <w:styleLink w:val="WWNum33"/>
    <w:lvl w:ilvl="0">
      <w:start w:val="3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4E077D"/>
    <w:multiLevelType w:val="hybridMultilevel"/>
    <w:tmpl w:val="87B4A976"/>
    <w:lvl w:ilvl="0" w:tplc="C3AAD72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7062FE4"/>
    <w:multiLevelType w:val="hybridMultilevel"/>
    <w:tmpl w:val="9104C666"/>
    <w:lvl w:ilvl="0" w:tplc="3F065D9C">
      <w:start w:val="2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C792C04"/>
    <w:multiLevelType w:val="hybridMultilevel"/>
    <w:tmpl w:val="F8AC8536"/>
    <w:lvl w:ilvl="0" w:tplc="BE58C1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0054EB4"/>
    <w:multiLevelType w:val="hybridMultilevel"/>
    <w:tmpl w:val="2774FDB8"/>
    <w:lvl w:ilvl="0" w:tplc="33246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50375F"/>
    <w:multiLevelType w:val="hybridMultilevel"/>
    <w:tmpl w:val="67220998"/>
    <w:lvl w:ilvl="0" w:tplc="8212531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8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4A9A33E9"/>
    <w:multiLevelType w:val="hybridMultilevel"/>
    <w:tmpl w:val="B6708D6C"/>
    <w:lvl w:ilvl="0" w:tplc="3ED84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606A1E1D"/>
    <w:multiLevelType w:val="hybridMultilevel"/>
    <w:tmpl w:val="5098487A"/>
    <w:lvl w:ilvl="0" w:tplc="6AE06F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631E3EA8"/>
    <w:multiLevelType w:val="hybridMultilevel"/>
    <w:tmpl w:val="DEF0180A"/>
    <w:lvl w:ilvl="0" w:tplc="8688A2D0">
      <w:start w:val="1"/>
      <w:numFmt w:val="decimal"/>
      <w:lvlText w:val="%1."/>
      <w:lvlJc w:val="left"/>
      <w:pPr>
        <w:ind w:left="80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28" w:hanging="360"/>
      </w:pPr>
    </w:lvl>
    <w:lvl w:ilvl="2" w:tplc="1009001B" w:tentative="1">
      <w:start w:val="1"/>
      <w:numFmt w:val="lowerRoman"/>
      <w:lvlText w:val="%3."/>
      <w:lvlJc w:val="right"/>
      <w:pPr>
        <w:ind w:left="2248" w:hanging="180"/>
      </w:pPr>
    </w:lvl>
    <w:lvl w:ilvl="3" w:tplc="1009000F" w:tentative="1">
      <w:start w:val="1"/>
      <w:numFmt w:val="decimal"/>
      <w:lvlText w:val="%4."/>
      <w:lvlJc w:val="left"/>
      <w:pPr>
        <w:ind w:left="2968" w:hanging="360"/>
      </w:pPr>
    </w:lvl>
    <w:lvl w:ilvl="4" w:tplc="10090019" w:tentative="1">
      <w:start w:val="1"/>
      <w:numFmt w:val="lowerLetter"/>
      <w:lvlText w:val="%5."/>
      <w:lvlJc w:val="left"/>
      <w:pPr>
        <w:ind w:left="3688" w:hanging="360"/>
      </w:pPr>
    </w:lvl>
    <w:lvl w:ilvl="5" w:tplc="1009001B" w:tentative="1">
      <w:start w:val="1"/>
      <w:numFmt w:val="lowerRoman"/>
      <w:lvlText w:val="%6."/>
      <w:lvlJc w:val="right"/>
      <w:pPr>
        <w:ind w:left="4408" w:hanging="180"/>
      </w:pPr>
    </w:lvl>
    <w:lvl w:ilvl="6" w:tplc="1009000F" w:tentative="1">
      <w:start w:val="1"/>
      <w:numFmt w:val="decimal"/>
      <w:lvlText w:val="%7."/>
      <w:lvlJc w:val="left"/>
      <w:pPr>
        <w:ind w:left="5128" w:hanging="360"/>
      </w:pPr>
    </w:lvl>
    <w:lvl w:ilvl="7" w:tplc="10090019" w:tentative="1">
      <w:start w:val="1"/>
      <w:numFmt w:val="lowerLetter"/>
      <w:lvlText w:val="%8."/>
      <w:lvlJc w:val="left"/>
      <w:pPr>
        <w:ind w:left="5848" w:hanging="360"/>
      </w:pPr>
    </w:lvl>
    <w:lvl w:ilvl="8" w:tplc="10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4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58D78F2"/>
    <w:multiLevelType w:val="hybridMultilevel"/>
    <w:tmpl w:val="0FCEB126"/>
    <w:lvl w:ilvl="0" w:tplc="816210BC">
      <w:start w:val="1"/>
      <w:numFmt w:val="decimal"/>
      <w:lvlText w:val="%1."/>
      <w:lvlJc w:val="left"/>
      <w:pPr>
        <w:ind w:left="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7D2A1773"/>
    <w:multiLevelType w:val="hybridMultilevel"/>
    <w:tmpl w:val="A518F4BE"/>
    <w:lvl w:ilvl="0" w:tplc="DDAA6D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7E846338"/>
    <w:multiLevelType w:val="hybridMultilevel"/>
    <w:tmpl w:val="33DAABE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>
    <w:nsid w:val="7FBD374D"/>
    <w:multiLevelType w:val="hybridMultilevel"/>
    <w:tmpl w:val="7F3493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2"/>
  </w:num>
  <w:num w:numId="13">
    <w:abstractNumId w:val="10"/>
  </w:num>
  <w:num w:numId="14">
    <w:abstractNumId w:val="41"/>
  </w:num>
  <w:num w:numId="15">
    <w:abstractNumId w:val="18"/>
  </w:num>
  <w:num w:numId="16">
    <w:abstractNumId w:val="12"/>
  </w:num>
  <w:num w:numId="17">
    <w:abstractNumId w:val="44"/>
  </w:num>
  <w:num w:numId="18">
    <w:abstractNumId w:val="32"/>
  </w:num>
  <w:num w:numId="19">
    <w:abstractNumId w:val="15"/>
  </w:num>
  <w:num w:numId="20">
    <w:abstractNumId w:val="37"/>
  </w:num>
  <w:num w:numId="21">
    <w:abstractNumId w:val="20"/>
  </w:num>
  <w:num w:numId="22">
    <w:abstractNumId w:val="17"/>
  </w:num>
  <w:num w:numId="23">
    <w:abstractNumId w:val="19"/>
  </w:num>
  <w:num w:numId="24">
    <w:abstractNumId w:val="36"/>
  </w:num>
  <w:num w:numId="25">
    <w:abstractNumId w:val="38"/>
  </w:num>
  <w:num w:numId="26">
    <w:abstractNumId w:val="40"/>
  </w:num>
  <w:num w:numId="27">
    <w:abstractNumId w:val="46"/>
  </w:num>
  <w:num w:numId="28">
    <w:abstractNumId w:val="33"/>
  </w:num>
  <w:num w:numId="29">
    <w:abstractNumId w:val="23"/>
  </w:num>
  <w:num w:numId="30">
    <w:abstractNumId w:val="45"/>
  </w:num>
  <w:num w:numId="31">
    <w:abstractNumId w:val="21"/>
  </w:num>
  <w:num w:numId="32">
    <w:abstractNumId w:val="42"/>
  </w:num>
  <w:num w:numId="33">
    <w:abstractNumId w:val="24"/>
  </w:num>
  <w:num w:numId="34">
    <w:abstractNumId w:val="14"/>
  </w:num>
  <w:num w:numId="35">
    <w:abstractNumId w:val="47"/>
  </w:num>
  <w:num w:numId="36">
    <w:abstractNumId w:val="27"/>
  </w:num>
  <w:num w:numId="37">
    <w:abstractNumId w:val="28"/>
  </w:num>
  <w:num w:numId="38">
    <w:abstractNumId w:val="28"/>
    <w:lvlOverride w:ilvl="0">
      <w:startOverride w:val="3"/>
    </w:lvlOverride>
  </w:num>
  <w:num w:numId="39">
    <w:abstractNumId w:val="30"/>
  </w:num>
  <w:num w:numId="40">
    <w:abstractNumId w:val="35"/>
  </w:num>
  <w:num w:numId="41">
    <w:abstractNumId w:val="25"/>
  </w:num>
  <w:num w:numId="42">
    <w:abstractNumId w:val="31"/>
  </w:num>
  <w:num w:numId="43">
    <w:abstractNumId w:val="26"/>
  </w:num>
  <w:num w:numId="44">
    <w:abstractNumId w:val="13"/>
  </w:num>
  <w:num w:numId="45">
    <w:abstractNumId w:val="48"/>
  </w:num>
  <w:num w:numId="46">
    <w:abstractNumId w:val="43"/>
  </w:num>
  <w:num w:numId="47">
    <w:abstractNumId w:val="39"/>
  </w:num>
  <w:num w:numId="48">
    <w:abstractNumId w:val="16"/>
  </w:num>
  <w:num w:numId="49">
    <w:abstractNumId w:val="34"/>
  </w:num>
  <w:num w:numId="5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0DDE"/>
    <w:rsid w:val="00004B0B"/>
    <w:rsid w:val="00006600"/>
    <w:rsid w:val="000105B7"/>
    <w:rsid w:val="00010DB3"/>
    <w:rsid w:val="00015A1E"/>
    <w:rsid w:val="00016B1F"/>
    <w:rsid w:val="0002650A"/>
    <w:rsid w:val="00027F2A"/>
    <w:rsid w:val="0003260B"/>
    <w:rsid w:val="000405CD"/>
    <w:rsid w:val="00044167"/>
    <w:rsid w:val="000458D9"/>
    <w:rsid w:val="0005011F"/>
    <w:rsid w:val="00050F6B"/>
    <w:rsid w:val="0005111B"/>
    <w:rsid w:val="0005570C"/>
    <w:rsid w:val="000637F6"/>
    <w:rsid w:val="00064F24"/>
    <w:rsid w:val="00067C1A"/>
    <w:rsid w:val="000719CE"/>
    <w:rsid w:val="00071BC5"/>
    <w:rsid w:val="000726F2"/>
    <w:rsid w:val="00072C8C"/>
    <w:rsid w:val="000732CC"/>
    <w:rsid w:val="00073E97"/>
    <w:rsid w:val="00075FC1"/>
    <w:rsid w:val="0007718E"/>
    <w:rsid w:val="000814A8"/>
    <w:rsid w:val="000856F2"/>
    <w:rsid w:val="00085EF6"/>
    <w:rsid w:val="000869B4"/>
    <w:rsid w:val="00086BA4"/>
    <w:rsid w:val="00091419"/>
    <w:rsid w:val="00092DE4"/>
    <w:rsid w:val="000931C0"/>
    <w:rsid w:val="000950E9"/>
    <w:rsid w:val="00097A34"/>
    <w:rsid w:val="000A0405"/>
    <w:rsid w:val="000A2E07"/>
    <w:rsid w:val="000A3ADF"/>
    <w:rsid w:val="000A4318"/>
    <w:rsid w:val="000A607C"/>
    <w:rsid w:val="000A71A2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C1E69"/>
    <w:rsid w:val="000D29F2"/>
    <w:rsid w:val="000D43C8"/>
    <w:rsid w:val="000E0415"/>
    <w:rsid w:val="000E27B4"/>
    <w:rsid w:val="000E2C66"/>
    <w:rsid w:val="000E572A"/>
    <w:rsid w:val="000F0909"/>
    <w:rsid w:val="000F143A"/>
    <w:rsid w:val="000F1D1F"/>
    <w:rsid w:val="000F5FF7"/>
    <w:rsid w:val="000F6429"/>
    <w:rsid w:val="00101C9D"/>
    <w:rsid w:val="00103C0E"/>
    <w:rsid w:val="00114E72"/>
    <w:rsid w:val="00117787"/>
    <w:rsid w:val="00120F5D"/>
    <w:rsid w:val="00125758"/>
    <w:rsid w:val="00125775"/>
    <w:rsid w:val="001266BA"/>
    <w:rsid w:val="00131D42"/>
    <w:rsid w:val="0014496C"/>
    <w:rsid w:val="00144FC4"/>
    <w:rsid w:val="0015653A"/>
    <w:rsid w:val="00157BBD"/>
    <w:rsid w:val="0016063F"/>
    <w:rsid w:val="00160BC1"/>
    <w:rsid w:val="001633FB"/>
    <w:rsid w:val="00166B07"/>
    <w:rsid w:val="00177434"/>
    <w:rsid w:val="00187869"/>
    <w:rsid w:val="00190361"/>
    <w:rsid w:val="0019061B"/>
    <w:rsid w:val="00190691"/>
    <w:rsid w:val="00191BE2"/>
    <w:rsid w:val="001967AB"/>
    <w:rsid w:val="001A6691"/>
    <w:rsid w:val="001B0DDE"/>
    <w:rsid w:val="001B10FC"/>
    <w:rsid w:val="001B4B04"/>
    <w:rsid w:val="001B574E"/>
    <w:rsid w:val="001C6663"/>
    <w:rsid w:val="001C7895"/>
    <w:rsid w:val="001D0C12"/>
    <w:rsid w:val="001D26DF"/>
    <w:rsid w:val="001D2FDC"/>
    <w:rsid w:val="001D2FE8"/>
    <w:rsid w:val="001E3023"/>
    <w:rsid w:val="001F1227"/>
    <w:rsid w:val="001F15BF"/>
    <w:rsid w:val="001F57B4"/>
    <w:rsid w:val="00211CD6"/>
    <w:rsid w:val="00211E0B"/>
    <w:rsid w:val="00215690"/>
    <w:rsid w:val="00225D08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A2560"/>
    <w:rsid w:val="002A7532"/>
    <w:rsid w:val="002B082F"/>
    <w:rsid w:val="002B1CDA"/>
    <w:rsid w:val="002B2EA7"/>
    <w:rsid w:val="002B521D"/>
    <w:rsid w:val="002B5778"/>
    <w:rsid w:val="002B79CF"/>
    <w:rsid w:val="002B7D6F"/>
    <w:rsid w:val="002C23D1"/>
    <w:rsid w:val="002C54A4"/>
    <w:rsid w:val="002C7649"/>
    <w:rsid w:val="002D7530"/>
    <w:rsid w:val="002E040D"/>
    <w:rsid w:val="002E4E12"/>
    <w:rsid w:val="002E793F"/>
    <w:rsid w:val="002E7C35"/>
    <w:rsid w:val="002F0918"/>
    <w:rsid w:val="002F1234"/>
    <w:rsid w:val="002F4DB3"/>
    <w:rsid w:val="00302963"/>
    <w:rsid w:val="00303816"/>
    <w:rsid w:val="003107FA"/>
    <w:rsid w:val="00310B32"/>
    <w:rsid w:val="00315226"/>
    <w:rsid w:val="00316C13"/>
    <w:rsid w:val="00320A76"/>
    <w:rsid w:val="003229D8"/>
    <w:rsid w:val="00322F52"/>
    <w:rsid w:val="00323BE7"/>
    <w:rsid w:val="003262BE"/>
    <w:rsid w:val="003311AD"/>
    <w:rsid w:val="003323B3"/>
    <w:rsid w:val="00333732"/>
    <w:rsid w:val="0034522A"/>
    <w:rsid w:val="00345F03"/>
    <w:rsid w:val="00347184"/>
    <w:rsid w:val="00355E98"/>
    <w:rsid w:val="003570B2"/>
    <w:rsid w:val="003611C0"/>
    <w:rsid w:val="003718CD"/>
    <w:rsid w:val="00372BDC"/>
    <w:rsid w:val="00373815"/>
    <w:rsid w:val="00374763"/>
    <w:rsid w:val="00381262"/>
    <w:rsid w:val="00390C04"/>
    <w:rsid w:val="0039277A"/>
    <w:rsid w:val="00396C00"/>
    <w:rsid w:val="003972E0"/>
    <w:rsid w:val="003A176E"/>
    <w:rsid w:val="003A358E"/>
    <w:rsid w:val="003B4359"/>
    <w:rsid w:val="003B47CC"/>
    <w:rsid w:val="003C2CC4"/>
    <w:rsid w:val="003C474C"/>
    <w:rsid w:val="003C6BA6"/>
    <w:rsid w:val="003D24BC"/>
    <w:rsid w:val="003D4B23"/>
    <w:rsid w:val="003E1C5A"/>
    <w:rsid w:val="003E5413"/>
    <w:rsid w:val="003F0697"/>
    <w:rsid w:val="003F3F40"/>
    <w:rsid w:val="003F40C8"/>
    <w:rsid w:val="0040291E"/>
    <w:rsid w:val="0040320D"/>
    <w:rsid w:val="00404FD4"/>
    <w:rsid w:val="0041006A"/>
    <w:rsid w:val="0041741B"/>
    <w:rsid w:val="004179D7"/>
    <w:rsid w:val="004325CB"/>
    <w:rsid w:val="00437F3F"/>
    <w:rsid w:val="0044017E"/>
    <w:rsid w:val="00442686"/>
    <w:rsid w:val="0044679E"/>
    <w:rsid w:val="00446C28"/>
    <w:rsid w:val="00446DE4"/>
    <w:rsid w:val="004479B5"/>
    <w:rsid w:val="00450B3A"/>
    <w:rsid w:val="00451CCB"/>
    <w:rsid w:val="004522E0"/>
    <w:rsid w:val="004530E6"/>
    <w:rsid w:val="00460158"/>
    <w:rsid w:val="004624AF"/>
    <w:rsid w:val="00464C2B"/>
    <w:rsid w:val="0047319B"/>
    <w:rsid w:val="004735FB"/>
    <w:rsid w:val="00475444"/>
    <w:rsid w:val="0049223B"/>
    <w:rsid w:val="0049309D"/>
    <w:rsid w:val="00494D24"/>
    <w:rsid w:val="004969ED"/>
    <w:rsid w:val="00497FF3"/>
    <w:rsid w:val="004A2BD1"/>
    <w:rsid w:val="004B163A"/>
    <w:rsid w:val="004B2C9D"/>
    <w:rsid w:val="004B49FD"/>
    <w:rsid w:val="004B6475"/>
    <w:rsid w:val="004C147B"/>
    <w:rsid w:val="004C6E3D"/>
    <w:rsid w:val="004E1150"/>
    <w:rsid w:val="004E4DCE"/>
    <w:rsid w:val="00500DCD"/>
    <w:rsid w:val="00512574"/>
    <w:rsid w:val="005149A9"/>
    <w:rsid w:val="00515763"/>
    <w:rsid w:val="0051609A"/>
    <w:rsid w:val="005206A2"/>
    <w:rsid w:val="005248FF"/>
    <w:rsid w:val="0052704D"/>
    <w:rsid w:val="00527910"/>
    <w:rsid w:val="00532A62"/>
    <w:rsid w:val="005335B1"/>
    <w:rsid w:val="0053786F"/>
    <w:rsid w:val="005414F5"/>
    <w:rsid w:val="005420F2"/>
    <w:rsid w:val="00543B03"/>
    <w:rsid w:val="00552C5F"/>
    <w:rsid w:val="005553A2"/>
    <w:rsid w:val="005557E8"/>
    <w:rsid w:val="005627FA"/>
    <w:rsid w:val="00566392"/>
    <w:rsid w:val="00566B77"/>
    <w:rsid w:val="005676D5"/>
    <w:rsid w:val="0057509F"/>
    <w:rsid w:val="00581B62"/>
    <w:rsid w:val="00581C11"/>
    <w:rsid w:val="005877AA"/>
    <w:rsid w:val="00590144"/>
    <w:rsid w:val="00592C65"/>
    <w:rsid w:val="005A1EE9"/>
    <w:rsid w:val="005A1FEB"/>
    <w:rsid w:val="005A37A2"/>
    <w:rsid w:val="005A77C6"/>
    <w:rsid w:val="005A78F9"/>
    <w:rsid w:val="005B2C26"/>
    <w:rsid w:val="005B3614"/>
    <w:rsid w:val="005B3DB3"/>
    <w:rsid w:val="005B6EC0"/>
    <w:rsid w:val="005B6FA9"/>
    <w:rsid w:val="005D1C0C"/>
    <w:rsid w:val="005D407C"/>
    <w:rsid w:val="005E29AE"/>
    <w:rsid w:val="005E6C20"/>
    <w:rsid w:val="005F5224"/>
    <w:rsid w:val="00611FC4"/>
    <w:rsid w:val="0061401C"/>
    <w:rsid w:val="006176FB"/>
    <w:rsid w:val="0063330C"/>
    <w:rsid w:val="00633C10"/>
    <w:rsid w:val="0063419C"/>
    <w:rsid w:val="00634398"/>
    <w:rsid w:val="00635282"/>
    <w:rsid w:val="00640B26"/>
    <w:rsid w:val="00641876"/>
    <w:rsid w:val="00647621"/>
    <w:rsid w:val="00650267"/>
    <w:rsid w:val="006571DF"/>
    <w:rsid w:val="00657AC6"/>
    <w:rsid w:val="00664F8E"/>
    <w:rsid w:val="00676D4B"/>
    <w:rsid w:val="00677B40"/>
    <w:rsid w:val="00682466"/>
    <w:rsid w:val="0068393D"/>
    <w:rsid w:val="006A0AE9"/>
    <w:rsid w:val="006A6EF9"/>
    <w:rsid w:val="006A7392"/>
    <w:rsid w:val="006B3590"/>
    <w:rsid w:val="006B7406"/>
    <w:rsid w:val="006B79A2"/>
    <w:rsid w:val="006C0D34"/>
    <w:rsid w:val="006C129C"/>
    <w:rsid w:val="006C1C4A"/>
    <w:rsid w:val="006C51B3"/>
    <w:rsid w:val="006D17CA"/>
    <w:rsid w:val="006D1BA6"/>
    <w:rsid w:val="006D2DC3"/>
    <w:rsid w:val="006D7899"/>
    <w:rsid w:val="006D7D5F"/>
    <w:rsid w:val="006E564B"/>
    <w:rsid w:val="006E7B3F"/>
    <w:rsid w:val="00707A67"/>
    <w:rsid w:val="0071233A"/>
    <w:rsid w:val="00716D0F"/>
    <w:rsid w:val="00723B8F"/>
    <w:rsid w:val="00723BCE"/>
    <w:rsid w:val="00725764"/>
    <w:rsid w:val="0072632A"/>
    <w:rsid w:val="007405D2"/>
    <w:rsid w:val="007428A0"/>
    <w:rsid w:val="0075177E"/>
    <w:rsid w:val="00757A17"/>
    <w:rsid w:val="0076099B"/>
    <w:rsid w:val="00770A57"/>
    <w:rsid w:val="0077383A"/>
    <w:rsid w:val="00790791"/>
    <w:rsid w:val="007909EA"/>
    <w:rsid w:val="007920A5"/>
    <w:rsid w:val="00795779"/>
    <w:rsid w:val="007965B5"/>
    <w:rsid w:val="00796B95"/>
    <w:rsid w:val="007B3D26"/>
    <w:rsid w:val="007B6BA5"/>
    <w:rsid w:val="007B6BE5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52A6"/>
    <w:rsid w:val="007F6611"/>
    <w:rsid w:val="007F6AA7"/>
    <w:rsid w:val="00803636"/>
    <w:rsid w:val="0081216B"/>
    <w:rsid w:val="008138E4"/>
    <w:rsid w:val="008175E9"/>
    <w:rsid w:val="00820DBE"/>
    <w:rsid w:val="008242D7"/>
    <w:rsid w:val="008274C8"/>
    <w:rsid w:val="00832905"/>
    <w:rsid w:val="00833022"/>
    <w:rsid w:val="00842FAF"/>
    <w:rsid w:val="00844A23"/>
    <w:rsid w:val="00851A77"/>
    <w:rsid w:val="008553AE"/>
    <w:rsid w:val="008566E6"/>
    <w:rsid w:val="00857C5C"/>
    <w:rsid w:val="008616E6"/>
    <w:rsid w:val="0086798F"/>
    <w:rsid w:val="00867BD4"/>
    <w:rsid w:val="00871FD5"/>
    <w:rsid w:val="0087202A"/>
    <w:rsid w:val="008749E1"/>
    <w:rsid w:val="008900F3"/>
    <w:rsid w:val="00891033"/>
    <w:rsid w:val="0089467C"/>
    <w:rsid w:val="00894AA2"/>
    <w:rsid w:val="008979B1"/>
    <w:rsid w:val="008A2299"/>
    <w:rsid w:val="008A6B25"/>
    <w:rsid w:val="008A6C4F"/>
    <w:rsid w:val="008A7362"/>
    <w:rsid w:val="008B0C07"/>
    <w:rsid w:val="008B1D74"/>
    <w:rsid w:val="008B2E94"/>
    <w:rsid w:val="008C1535"/>
    <w:rsid w:val="008C7A1A"/>
    <w:rsid w:val="008D44E2"/>
    <w:rsid w:val="008E0E46"/>
    <w:rsid w:val="008E1D4C"/>
    <w:rsid w:val="008F140D"/>
    <w:rsid w:val="008F36A7"/>
    <w:rsid w:val="008F42F2"/>
    <w:rsid w:val="00902B27"/>
    <w:rsid w:val="00905AEA"/>
    <w:rsid w:val="00910229"/>
    <w:rsid w:val="00910E37"/>
    <w:rsid w:val="009145E5"/>
    <w:rsid w:val="00915E24"/>
    <w:rsid w:val="009174F9"/>
    <w:rsid w:val="009178F6"/>
    <w:rsid w:val="00920726"/>
    <w:rsid w:val="00924330"/>
    <w:rsid w:val="009267AB"/>
    <w:rsid w:val="0093457E"/>
    <w:rsid w:val="0094147D"/>
    <w:rsid w:val="00945A5D"/>
    <w:rsid w:val="0094761C"/>
    <w:rsid w:val="00963879"/>
    <w:rsid w:val="00963CBA"/>
    <w:rsid w:val="00965ACC"/>
    <w:rsid w:val="00970D90"/>
    <w:rsid w:val="0097150D"/>
    <w:rsid w:val="00971B0B"/>
    <w:rsid w:val="00972131"/>
    <w:rsid w:val="009759DC"/>
    <w:rsid w:val="00977813"/>
    <w:rsid w:val="009863A7"/>
    <w:rsid w:val="00986BF1"/>
    <w:rsid w:val="0099124E"/>
    <w:rsid w:val="00991261"/>
    <w:rsid w:val="00994010"/>
    <w:rsid w:val="00994014"/>
    <w:rsid w:val="00994411"/>
    <w:rsid w:val="009A37C7"/>
    <w:rsid w:val="009B1829"/>
    <w:rsid w:val="009B191A"/>
    <w:rsid w:val="009B2FB7"/>
    <w:rsid w:val="009B3CC1"/>
    <w:rsid w:val="009B6F46"/>
    <w:rsid w:val="009C1267"/>
    <w:rsid w:val="009D7741"/>
    <w:rsid w:val="009E2874"/>
    <w:rsid w:val="009E2CBC"/>
    <w:rsid w:val="009E35FF"/>
    <w:rsid w:val="009E587B"/>
    <w:rsid w:val="00A04F66"/>
    <w:rsid w:val="00A12267"/>
    <w:rsid w:val="00A1427D"/>
    <w:rsid w:val="00A14539"/>
    <w:rsid w:val="00A22441"/>
    <w:rsid w:val="00A2493F"/>
    <w:rsid w:val="00A24E0D"/>
    <w:rsid w:val="00A25434"/>
    <w:rsid w:val="00A260BA"/>
    <w:rsid w:val="00A27584"/>
    <w:rsid w:val="00A3317D"/>
    <w:rsid w:val="00A3734E"/>
    <w:rsid w:val="00A40281"/>
    <w:rsid w:val="00A4449F"/>
    <w:rsid w:val="00A475B8"/>
    <w:rsid w:val="00A52017"/>
    <w:rsid w:val="00A549AB"/>
    <w:rsid w:val="00A6043B"/>
    <w:rsid w:val="00A64ED3"/>
    <w:rsid w:val="00A66610"/>
    <w:rsid w:val="00A679F9"/>
    <w:rsid w:val="00A7181F"/>
    <w:rsid w:val="00A72F22"/>
    <w:rsid w:val="00A748A6"/>
    <w:rsid w:val="00A7523F"/>
    <w:rsid w:val="00A75EC9"/>
    <w:rsid w:val="00A76B37"/>
    <w:rsid w:val="00A80FD5"/>
    <w:rsid w:val="00A81CD3"/>
    <w:rsid w:val="00A879A4"/>
    <w:rsid w:val="00AA022C"/>
    <w:rsid w:val="00AA2DB2"/>
    <w:rsid w:val="00AB390A"/>
    <w:rsid w:val="00AC0EEF"/>
    <w:rsid w:val="00AC1F60"/>
    <w:rsid w:val="00AC3364"/>
    <w:rsid w:val="00AC38F2"/>
    <w:rsid w:val="00AC7451"/>
    <w:rsid w:val="00AD4C3F"/>
    <w:rsid w:val="00AE2BC1"/>
    <w:rsid w:val="00AE313E"/>
    <w:rsid w:val="00AE3359"/>
    <w:rsid w:val="00AE3791"/>
    <w:rsid w:val="00AE51AD"/>
    <w:rsid w:val="00AF1489"/>
    <w:rsid w:val="00AF248C"/>
    <w:rsid w:val="00B0125E"/>
    <w:rsid w:val="00B02079"/>
    <w:rsid w:val="00B051B4"/>
    <w:rsid w:val="00B05614"/>
    <w:rsid w:val="00B2292E"/>
    <w:rsid w:val="00B30179"/>
    <w:rsid w:val="00B32399"/>
    <w:rsid w:val="00B3317B"/>
    <w:rsid w:val="00B34A94"/>
    <w:rsid w:val="00B35770"/>
    <w:rsid w:val="00B45118"/>
    <w:rsid w:val="00B45379"/>
    <w:rsid w:val="00B57B8C"/>
    <w:rsid w:val="00B62799"/>
    <w:rsid w:val="00B65BD4"/>
    <w:rsid w:val="00B742AE"/>
    <w:rsid w:val="00B7575E"/>
    <w:rsid w:val="00B76D98"/>
    <w:rsid w:val="00B80DD3"/>
    <w:rsid w:val="00B81E12"/>
    <w:rsid w:val="00B8308C"/>
    <w:rsid w:val="00B84410"/>
    <w:rsid w:val="00B87A6B"/>
    <w:rsid w:val="00B90984"/>
    <w:rsid w:val="00B910C6"/>
    <w:rsid w:val="00B93068"/>
    <w:rsid w:val="00B96106"/>
    <w:rsid w:val="00BA4AAC"/>
    <w:rsid w:val="00BA611E"/>
    <w:rsid w:val="00BB3979"/>
    <w:rsid w:val="00BB6685"/>
    <w:rsid w:val="00BC4804"/>
    <w:rsid w:val="00BC553A"/>
    <w:rsid w:val="00BC5CF4"/>
    <w:rsid w:val="00BC74E9"/>
    <w:rsid w:val="00BD0929"/>
    <w:rsid w:val="00BD197C"/>
    <w:rsid w:val="00BD4242"/>
    <w:rsid w:val="00BD42B2"/>
    <w:rsid w:val="00BE618E"/>
    <w:rsid w:val="00BF4829"/>
    <w:rsid w:val="00C01730"/>
    <w:rsid w:val="00C12FE8"/>
    <w:rsid w:val="00C17582"/>
    <w:rsid w:val="00C20E3D"/>
    <w:rsid w:val="00C23226"/>
    <w:rsid w:val="00C3461F"/>
    <w:rsid w:val="00C4186E"/>
    <w:rsid w:val="00C41C15"/>
    <w:rsid w:val="00C463DD"/>
    <w:rsid w:val="00C46E2A"/>
    <w:rsid w:val="00C51517"/>
    <w:rsid w:val="00C60D9F"/>
    <w:rsid w:val="00C60DCD"/>
    <w:rsid w:val="00C626EA"/>
    <w:rsid w:val="00C62F76"/>
    <w:rsid w:val="00C64CF9"/>
    <w:rsid w:val="00C67F22"/>
    <w:rsid w:val="00C72209"/>
    <w:rsid w:val="00C745C3"/>
    <w:rsid w:val="00C835F0"/>
    <w:rsid w:val="00C85F9B"/>
    <w:rsid w:val="00CA1406"/>
    <w:rsid w:val="00CA1CBE"/>
    <w:rsid w:val="00CA5C02"/>
    <w:rsid w:val="00CB2653"/>
    <w:rsid w:val="00CB4C9D"/>
    <w:rsid w:val="00CC18B3"/>
    <w:rsid w:val="00CC23F0"/>
    <w:rsid w:val="00CD42C3"/>
    <w:rsid w:val="00CD68B3"/>
    <w:rsid w:val="00CE4A8F"/>
    <w:rsid w:val="00CE58B6"/>
    <w:rsid w:val="00CE5C4D"/>
    <w:rsid w:val="00CE7E5D"/>
    <w:rsid w:val="00CF4639"/>
    <w:rsid w:val="00CF6553"/>
    <w:rsid w:val="00CF7C69"/>
    <w:rsid w:val="00CF7FCE"/>
    <w:rsid w:val="00D00E69"/>
    <w:rsid w:val="00D01ACC"/>
    <w:rsid w:val="00D02365"/>
    <w:rsid w:val="00D04934"/>
    <w:rsid w:val="00D0609D"/>
    <w:rsid w:val="00D11828"/>
    <w:rsid w:val="00D13382"/>
    <w:rsid w:val="00D2031B"/>
    <w:rsid w:val="00D2387E"/>
    <w:rsid w:val="00D25FE2"/>
    <w:rsid w:val="00D37949"/>
    <w:rsid w:val="00D42146"/>
    <w:rsid w:val="00D42545"/>
    <w:rsid w:val="00D43252"/>
    <w:rsid w:val="00D44AE0"/>
    <w:rsid w:val="00D44EFC"/>
    <w:rsid w:val="00D5171D"/>
    <w:rsid w:val="00D606BB"/>
    <w:rsid w:val="00D625F5"/>
    <w:rsid w:val="00D668CA"/>
    <w:rsid w:val="00D72869"/>
    <w:rsid w:val="00D753D8"/>
    <w:rsid w:val="00D80C02"/>
    <w:rsid w:val="00D84DB1"/>
    <w:rsid w:val="00D9208C"/>
    <w:rsid w:val="00D95849"/>
    <w:rsid w:val="00D96CC5"/>
    <w:rsid w:val="00D978C6"/>
    <w:rsid w:val="00DA02D7"/>
    <w:rsid w:val="00DA67AD"/>
    <w:rsid w:val="00DA71EC"/>
    <w:rsid w:val="00DB0284"/>
    <w:rsid w:val="00DB0442"/>
    <w:rsid w:val="00DB281B"/>
    <w:rsid w:val="00DB4C88"/>
    <w:rsid w:val="00DC0380"/>
    <w:rsid w:val="00DC16B9"/>
    <w:rsid w:val="00DC1797"/>
    <w:rsid w:val="00DD41E5"/>
    <w:rsid w:val="00DD70B8"/>
    <w:rsid w:val="00DE19A0"/>
    <w:rsid w:val="00DE22CF"/>
    <w:rsid w:val="00DE4184"/>
    <w:rsid w:val="00DF0081"/>
    <w:rsid w:val="00DF33BA"/>
    <w:rsid w:val="00DF7129"/>
    <w:rsid w:val="00E002F0"/>
    <w:rsid w:val="00E011D0"/>
    <w:rsid w:val="00E049CA"/>
    <w:rsid w:val="00E130AB"/>
    <w:rsid w:val="00E154D5"/>
    <w:rsid w:val="00E15862"/>
    <w:rsid w:val="00E21A5F"/>
    <w:rsid w:val="00E23CEE"/>
    <w:rsid w:val="00E24107"/>
    <w:rsid w:val="00E254C8"/>
    <w:rsid w:val="00E26B83"/>
    <w:rsid w:val="00E274C0"/>
    <w:rsid w:val="00E305E0"/>
    <w:rsid w:val="00E35BAA"/>
    <w:rsid w:val="00E40163"/>
    <w:rsid w:val="00E4194D"/>
    <w:rsid w:val="00E44228"/>
    <w:rsid w:val="00E443AD"/>
    <w:rsid w:val="00E44882"/>
    <w:rsid w:val="00E450F1"/>
    <w:rsid w:val="00E45DE2"/>
    <w:rsid w:val="00E5126A"/>
    <w:rsid w:val="00E5317F"/>
    <w:rsid w:val="00E5644E"/>
    <w:rsid w:val="00E62EE3"/>
    <w:rsid w:val="00E66AF1"/>
    <w:rsid w:val="00E67D93"/>
    <w:rsid w:val="00E7260F"/>
    <w:rsid w:val="00E8535A"/>
    <w:rsid w:val="00E92301"/>
    <w:rsid w:val="00E96630"/>
    <w:rsid w:val="00EA5271"/>
    <w:rsid w:val="00EB6541"/>
    <w:rsid w:val="00EB6832"/>
    <w:rsid w:val="00EC42EA"/>
    <w:rsid w:val="00EC5D78"/>
    <w:rsid w:val="00EC7379"/>
    <w:rsid w:val="00ED4EB3"/>
    <w:rsid w:val="00ED67DB"/>
    <w:rsid w:val="00ED7A2A"/>
    <w:rsid w:val="00EE18BF"/>
    <w:rsid w:val="00EE32E6"/>
    <w:rsid w:val="00EE3C05"/>
    <w:rsid w:val="00EE585C"/>
    <w:rsid w:val="00EE6D6E"/>
    <w:rsid w:val="00EE7FF7"/>
    <w:rsid w:val="00EF051D"/>
    <w:rsid w:val="00EF1393"/>
    <w:rsid w:val="00EF1D7F"/>
    <w:rsid w:val="00EF3923"/>
    <w:rsid w:val="00F01117"/>
    <w:rsid w:val="00F01716"/>
    <w:rsid w:val="00F0351B"/>
    <w:rsid w:val="00F054AD"/>
    <w:rsid w:val="00F11A87"/>
    <w:rsid w:val="00F14001"/>
    <w:rsid w:val="00F14936"/>
    <w:rsid w:val="00F23940"/>
    <w:rsid w:val="00F40E75"/>
    <w:rsid w:val="00F416AA"/>
    <w:rsid w:val="00F41B55"/>
    <w:rsid w:val="00F45C14"/>
    <w:rsid w:val="00F45D1A"/>
    <w:rsid w:val="00F475EB"/>
    <w:rsid w:val="00F5272A"/>
    <w:rsid w:val="00F54674"/>
    <w:rsid w:val="00F54DDA"/>
    <w:rsid w:val="00F57710"/>
    <w:rsid w:val="00F5773C"/>
    <w:rsid w:val="00F6331D"/>
    <w:rsid w:val="00F660F2"/>
    <w:rsid w:val="00F72912"/>
    <w:rsid w:val="00F73E3B"/>
    <w:rsid w:val="00F74124"/>
    <w:rsid w:val="00F8482D"/>
    <w:rsid w:val="00F85D7A"/>
    <w:rsid w:val="00F873E7"/>
    <w:rsid w:val="00F93B34"/>
    <w:rsid w:val="00F957FD"/>
    <w:rsid w:val="00F96F02"/>
    <w:rsid w:val="00FA54B1"/>
    <w:rsid w:val="00FB1AF2"/>
    <w:rsid w:val="00FB6DCF"/>
    <w:rsid w:val="00FB7905"/>
    <w:rsid w:val="00FC0AAF"/>
    <w:rsid w:val="00FC3415"/>
    <w:rsid w:val="00FC68B7"/>
    <w:rsid w:val="00FD2AAF"/>
    <w:rsid w:val="00FD6B2B"/>
    <w:rsid w:val="00FE0B49"/>
    <w:rsid w:val="00FE4A81"/>
    <w:rsid w:val="00FE752E"/>
    <w:rsid w:val="00FF03BB"/>
    <w:rsid w:val="00FF79E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  <w:style w:type="numbering" w:customStyle="1" w:styleId="WWNum33">
    <w:name w:val="WWNum33"/>
    <w:basedOn w:val="NoList"/>
    <w:rsid w:val="00D42545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  <w:style w:type="numbering" w:customStyle="1" w:styleId="WWNum33">
    <w:name w:val="WWNum33"/>
    <w:basedOn w:val="NoList"/>
    <w:rsid w:val="00D42545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9760E-71D8-4E86-B33D-FD54A8C0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1321580</vt:lpstr>
      <vt:lpstr>1321580</vt:lpstr>
      <vt:lpstr>1321580</vt:lpstr>
    </vt:vector>
  </TitlesOfParts>
  <Company>CSD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4</cp:revision>
  <cp:lastPrinted>2016-06-21T12:02:00Z</cp:lastPrinted>
  <dcterms:created xsi:type="dcterms:W3CDTF">2016-06-21T12:03:00Z</dcterms:created>
  <dcterms:modified xsi:type="dcterms:W3CDTF">2016-06-21T12:05:00Z</dcterms:modified>
</cp:coreProperties>
</file>