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8B2E94" w14:paraId="706D6755" w14:textId="77777777" w:rsidTr="006C129C">
        <w:trPr>
          <w:cantSplit/>
          <w:trHeight w:hRule="exact" w:val="56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14F0F9" w14:textId="28245C66" w:rsidR="00280D2B" w:rsidRPr="008B2E94" w:rsidRDefault="00280D2B" w:rsidP="00225D08">
            <w:pPr>
              <w:spacing w:after="240"/>
              <w:jc w:val="right"/>
              <w:rPr>
                <w:b/>
                <w:sz w:val="40"/>
                <w:szCs w:val="40"/>
                <w:lang w:val="fr-FR"/>
              </w:rPr>
            </w:pPr>
            <w:r w:rsidRPr="008B2E94">
              <w:rPr>
                <w:b/>
                <w:sz w:val="40"/>
                <w:szCs w:val="40"/>
                <w:lang w:val="fr-FR"/>
              </w:rPr>
              <w:t>UN/SCETDG/4</w:t>
            </w:r>
            <w:r w:rsidR="00225D08">
              <w:rPr>
                <w:b/>
                <w:sz w:val="40"/>
                <w:szCs w:val="40"/>
                <w:lang w:val="fr-FR"/>
              </w:rPr>
              <w:t>9</w:t>
            </w:r>
            <w:r w:rsidRPr="008B2E94">
              <w:rPr>
                <w:b/>
                <w:sz w:val="40"/>
                <w:szCs w:val="40"/>
                <w:lang w:val="fr-FR"/>
              </w:rPr>
              <w:t>/INF.</w:t>
            </w:r>
            <w:r w:rsidR="0003380C">
              <w:rPr>
                <w:b/>
                <w:sz w:val="40"/>
                <w:szCs w:val="40"/>
                <w:lang w:val="fr-FR"/>
              </w:rPr>
              <w:t>27</w:t>
            </w:r>
            <w:r w:rsidR="00E23CEE" w:rsidRPr="008B2E94">
              <w:rPr>
                <w:b/>
                <w:sz w:val="40"/>
                <w:szCs w:val="40"/>
                <w:lang w:val="fr-FR"/>
              </w:rPr>
              <w:br/>
            </w:r>
            <w:r w:rsidR="00E23CEE" w:rsidRPr="008B2E94">
              <w:rPr>
                <w:lang w:val="fr-FR"/>
              </w:rPr>
              <w:t xml:space="preserve"> 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280D2B" w:rsidRPr="0045083B" w14:paraId="25EA8786" w14:textId="77777777" w:rsidTr="008B2E94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02210C8" w14:textId="5C1C9BE3" w:rsidR="00280D2B" w:rsidRPr="0045083B" w:rsidRDefault="00280D2B" w:rsidP="00DE004C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DE004C">
              <w:rPr>
                <w:b/>
              </w:rPr>
              <w:t>14 June</w:t>
            </w:r>
            <w:r w:rsidR="00EF3923">
              <w:rPr>
                <w:b/>
                <w:sz w:val="18"/>
                <w:szCs w:val="24"/>
              </w:rPr>
              <w:t xml:space="preserve"> </w:t>
            </w:r>
            <w:r w:rsidR="00450B3A">
              <w:rPr>
                <w:b/>
                <w:sz w:val="18"/>
                <w:szCs w:val="24"/>
              </w:rPr>
              <w:t>201</w:t>
            </w:r>
            <w:r w:rsidR="00B57B8C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45083B" w14:paraId="2211D716" w14:textId="77777777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15DE25E" w14:textId="77777777" w:rsidR="00280D2B" w:rsidRPr="0045083B" w:rsidRDefault="00280D2B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9C1FCF2" w14:textId="77777777" w:rsidR="00280D2B" w:rsidRPr="0045083B" w:rsidRDefault="00280D2B">
            <w:pPr>
              <w:spacing w:before="120"/>
              <w:rPr>
                <w:b/>
              </w:rPr>
            </w:pPr>
          </w:p>
        </w:tc>
      </w:tr>
      <w:tr w:rsidR="00280D2B" w:rsidRPr="0045083B" w14:paraId="0E90DF0C" w14:textId="77777777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175348C" w14:textId="77777777" w:rsidR="00280D2B" w:rsidRPr="0045083B" w:rsidRDefault="00280D2B" w:rsidP="00B57B8C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 w:rsidR="00C86850">
              <w:rPr>
                <w:b/>
              </w:rPr>
              <w:t>nin</w:t>
            </w:r>
            <w:r w:rsidR="00B57B8C">
              <w:rPr>
                <w:b/>
              </w:rPr>
              <w:t>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86D9243" w14:textId="77777777" w:rsidR="00280D2B" w:rsidRPr="0045083B" w:rsidRDefault="00280D2B">
            <w:pPr>
              <w:spacing w:before="120"/>
              <w:rPr>
                <w:b/>
              </w:rPr>
            </w:pPr>
          </w:p>
        </w:tc>
      </w:tr>
      <w:tr w:rsidR="00280D2B" w:rsidRPr="0045083B" w14:paraId="3905727E" w14:textId="77777777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6C98681" w14:textId="7DEC8422" w:rsidR="00280D2B" w:rsidRPr="00F54DDA" w:rsidRDefault="00DE004C">
            <w:pPr>
              <w:spacing w:before="120"/>
              <w:ind w:left="34" w:hanging="34"/>
            </w:pPr>
            <w:r>
              <w:t xml:space="preserve">Geneva, 27 June – 6 July </w:t>
            </w:r>
            <w:r w:rsidR="00280D2B" w:rsidRPr="00F54DDA">
              <w:t>201</w:t>
            </w:r>
            <w:r w:rsidR="00B57B8C">
              <w:t>6</w:t>
            </w:r>
          </w:p>
          <w:p w14:paraId="5C39F713" w14:textId="50C31090" w:rsidR="00280D2B" w:rsidRPr="00F54DDA" w:rsidRDefault="00280D2B">
            <w:pPr>
              <w:ind w:left="34" w:hanging="34"/>
            </w:pPr>
            <w:r w:rsidRPr="00F54DDA">
              <w:t xml:space="preserve">Item </w:t>
            </w:r>
            <w:r w:rsidR="00DE004C">
              <w:t xml:space="preserve">2 (c) </w:t>
            </w:r>
            <w:r w:rsidRPr="00F54DDA">
              <w:t>of the provisional agenda</w:t>
            </w:r>
          </w:p>
          <w:p w14:paraId="3AE98B25" w14:textId="77777777" w:rsidR="005149A9" w:rsidRDefault="00DE004C" w:rsidP="00DE004C">
            <w:pPr>
              <w:ind w:left="-11" w:firstLine="11"/>
              <w:rPr>
                <w:b/>
              </w:rPr>
            </w:pPr>
            <w:r>
              <w:rPr>
                <w:b/>
              </w:rPr>
              <w:t>Explosives and related matters</w:t>
            </w:r>
          </w:p>
          <w:p w14:paraId="36C8898A" w14:textId="54C2C6FD" w:rsidR="00DE004C" w:rsidRPr="004624AF" w:rsidRDefault="00DE004C" w:rsidP="00DE004C">
            <w:pPr>
              <w:ind w:left="-11" w:firstLine="11"/>
              <w:rPr>
                <w:b/>
              </w:rPr>
            </w:pPr>
            <w:r w:rsidRPr="00DE004C">
              <w:rPr>
                <w:b/>
              </w:rPr>
              <w:t>Review of tests in parts I and II of the Manual of Tests and Criteria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65153B7" w14:textId="77777777" w:rsidR="00280D2B" w:rsidRPr="00280D2B" w:rsidRDefault="00280D2B" w:rsidP="008B2E94">
            <w:pPr>
              <w:rPr>
                <w:b/>
              </w:rPr>
            </w:pPr>
          </w:p>
        </w:tc>
      </w:tr>
    </w:tbl>
    <w:p w14:paraId="21060B8A" w14:textId="77777777" w:rsidR="00A4449F" w:rsidRPr="00735725" w:rsidRDefault="00390C04" w:rsidP="00A4449F">
      <w:pPr>
        <w:pStyle w:val="HChG"/>
      </w:pPr>
      <w:r>
        <w:tab/>
      </w:r>
      <w:r>
        <w:tab/>
      </w:r>
      <w:r w:rsidR="00F2547A" w:rsidRPr="00F2547A">
        <w:t>Test results</w:t>
      </w:r>
      <w:r w:rsidR="00CB6A95">
        <w:t xml:space="preserve"> with emulsions</w:t>
      </w:r>
      <w:r w:rsidR="00075CBF">
        <w:t xml:space="preserve"> (ANE)</w:t>
      </w:r>
      <w:r w:rsidR="00F2547A" w:rsidRPr="00F2547A">
        <w:t xml:space="preserve"> relating to the </w:t>
      </w:r>
      <w:proofErr w:type="spellStart"/>
      <w:r w:rsidR="00F2547A" w:rsidRPr="00F2547A">
        <w:t>Koenen</w:t>
      </w:r>
      <w:proofErr w:type="spellEnd"/>
      <w:r w:rsidR="00F2547A" w:rsidRPr="00F2547A">
        <w:t xml:space="preserve"> test</w:t>
      </w:r>
    </w:p>
    <w:p w14:paraId="7FF576B5" w14:textId="77777777" w:rsidR="00A4449F" w:rsidRPr="008B2E94" w:rsidRDefault="00A4449F" w:rsidP="00A4449F">
      <w:pPr>
        <w:pStyle w:val="H1G"/>
        <w:rPr>
          <w:lang w:val="en-US"/>
        </w:rPr>
      </w:pPr>
      <w:r>
        <w:tab/>
      </w:r>
      <w:r>
        <w:tab/>
        <w:t>Transmitted by th</w:t>
      </w:r>
      <w:r w:rsidR="00390C04">
        <w:t xml:space="preserve">e </w:t>
      </w:r>
      <w:r w:rsidR="00B87A6B">
        <w:t>e</w:t>
      </w:r>
      <w:r w:rsidR="00390C04">
        <w:t>xpert from Germany</w:t>
      </w:r>
    </w:p>
    <w:p w14:paraId="06D80C32" w14:textId="77777777" w:rsidR="00A4449F" w:rsidRPr="00A4449F" w:rsidRDefault="00A4449F" w:rsidP="00A4449F">
      <w:pPr>
        <w:pStyle w:val="HChG"/>
      </w:pPr>
      <w:r>
        <w:tab/>
      </w:r>
      <w:r>
        <w:tab/>
        <w:t>Introduction</w:t>
      </w:r>
    </w:p>
    <w:p w14:paraId="2958992E" w14:textId="0082FE07" w:rsidR="00BD4242" w:rsidRPr="0003380C" w:rsidRDefault="0003380C" w:rsidP="0003380C">
      <w:pPr>
        <w:pStyle w:val="SingleTxtG"/>
      </w:pPr>
      <w:r>
        <w:t>1.</w:t>
      </w:r>
      <w:r>
        <w:tab/>
      </w:r>
      <w:r w:rsidR="00CB6A95" w:rsidRPr="0003380C">
        <w:t>This paper is directly linked to working document ST/SG/AC.10/C.3/2016/6 w</w:t>
      </w:r>
      <w:r w:rsidR="00075CBF" w:rsidRPr="0003380C">
        <w:t xml:space="preserve">hich deals with the </w:t>
      </w:r>
      <w:proofErr w:type="spellStart"/>
      <w:r w:rsidR="00075CBF" w:rsidRPr="0003380C">
        <w:t>Koenen</w:t>
      </w:r>
      <w:proofErr w:type="spellEnd"/>
      <w:r w:rsidR="00075CBF" w:rsidRPr="0003380C">
        <w:t xml:space="preserve"> t</w:t>
      </w:r>
      <w:r w:rsidR="00CB6A95" w:rsidRPr="0003380C">
        <w:t xml:space="preserve">est and the steel tubes used therein. During the forty-seventh session of the TDG Sub-Committee the expert from Germany proposed to amend the quality requirement of the steel tubes (ST/SG/AC.10/C.3/2015/4). </w:t>
      </w:r>
      <w:r w:rsidR="00075CBF" w:rsidRPr="0003380C">
        <w:t xml:space="preserve">As a result from discussions </w:t>
      </w:r>
      <w:r w:rsidR="00CB6A95" w:rsidRPr="0003380C">
        <w:t xml:space="preserve">Germany offered to conduct comparative </w:t>
      </w:r>
      <w:r w:rsidR="00075CBF" w:rsidRPr="0003380C">
        <w:t>tests with Ammonium n</w:t>
      </w:r>
      <w:r w:rsidR="00CB6A95" w:rsidRPr="0003380C">
        <w:t>itrate emulsions with regard to the modified specification.</w:t>
      </w:r>
    </w:p>
    <w:p w14:paraId="46F94A55" w14:textId="3C57FBC1" w:rsidR="00DD342D" w:rsidRPr="0003380C" w:rsidRDefault="0003380C" w:rsidP="0003380C">
      <w:pPr>
        <w:pStyle w:val="SingleTxtG"/>
      </w:pPr>
      <w:r>
        <w:t>2.</w:t>
      </w:r>
      <w:r>
        <w:tab/>
      </w:r>
      <w:r w:rsidR="00CB6A95" w:rsidRPr="0003380C">
        <w:t>The main difference between steel tubes manufactured many years ago, and steel tubes available in Germany currently, is that the static bursting pressure is lower, and below, the specification</w:t>
      </w:r>
      <w:r w:rsidR="00C86850" w:rsidRPr="0003380C">
        <w:t xml:space="preserve"> </w:t>
      </w:r>
      <w:r w:rsidR="00D101E9" w:rsidRPr="0003380C">
        <w:t xml:space="preserve">currently </w:t>
      </w:r>
      <w:r w:rsidR="00C86850" w:rsidRPr="0003380C">
        <w:t>given</w:t>
      </w:r>
      <w:r w:rsidR="00CB6A95" w:rsidRPr="0003380C">
        <w:t xml:space="preserve"> in the UN Manual of Tests and Criteria</w:t>
      </w:r>
      <w:r w:rsidR="00075CBF" w:rsidRPr="0003380C">
        <w:t xml:space="preserve"> (UN-MTC)</w:t>
      </w:r>
      <w:r w:rsidR="00D101E9" w:rsidRPr="0003380C">
        <w:t xml:space="preserve"> </w:t>
      </w:r>
      <w:r w:rsidR="00C86850" w:rsidRPr="0003380C">
        <w:t xml:space="preserve">at the various occurrences of the </w:t>
      </w:r>
      <w:proofErr w:type="spellStart"/>
      <w:r w:rsidR="00C86850" w:rsidRPr="0003380C">
        <w:t>Koenen</w:t>
      </w:r>
      <w:proofErr w:type="spellEnd"/>
      <w:r w:rsidR="00C86850" w:rsidRPr="0003380C">
        <w:t xml:space="preserve"> test</w:t>
      </w:r>
      <w:r w:rsidR="00CB6A95" w:rsidRPr="0003380C">
        <w:t>.</w:t>
      </w:r>
    </w:p>
    <w:p w14:paraId="64A589CD" w14:textId="1661F136" w:rsidR="00DD342D" w:rsidRPr="0003380C" w:rsidRDefault="0003380C" w:rsidP="0003380C">
      <w:pPr>
        <w:pStyle w:val="SingleTxtG"/>
      </w:pPr>
      <w:r>
        <w:t>3.</w:t>
      </w:r>
      <w:r>
        <w:tab/>
      </w:r>
      <w:r w:rsidR="00075CBF" w:rsidRPr="0003380C">
        <w:t>Tasked by the IGUS EOS Working Group and in their name tests were done with ANEs a</w:t>
      </w:r>
      <w:r w:rsidR="00DD342D" w:rsidRPr="0003380C">
        <w:t xml:space="preserve">t the German </w:t>
      </w:r>
      <w:proofErr w:type="spellStart"/>
      <w:r w:rsidR="00C86850" w:rsidRPr="0003380C">
        <w:t>Bundesanstalt</w:t>
      </w:r>
      <w:proofErr w:type="spellEnd"/>
      <w:r w:rsidR="00C86850" w:rsidRPr="0003380C">
        <w:t xml:space="preserve"> </w:t>
      </w:r>
      <w:proofErr w:type="spellStart"/>
      <w:r w:rsidR="00C86850" w:rsidRPr="0003380C">
        <w:t>für</w:t>
      </w:r>
      <w:proofErr w:type="spellEnd"/>
      <w:r w:rsidR="00C86850" w:rsidRPr="0003380C">
        <w:t xml:space="preserve"> </w:t>
      </w:r>
      <w:proofErr w:type="spellStart"/>
      <w:r w:rsidR="00C86850" w:rsidRPr="0003380C">
        <w:t>Materialforschung</w:t>
      </w:r>
      <w:proofErr w:type="spellEnd"/>
      <w:r w:rsidR="00C86850" w:rsidRPr="0003380C">
        <w:t xml:space="preserve"> und -</w:t>
      </w:r>
      <w:proofErr w:type="spellStart"/>
      <w:r w:rsidR="00C86850" w:rsidRPr="0003380C">
        <w:t>prüfung</w:t>
      </w:r>
      <w:proofErr w:type="spellEnd"/>
      <w:r w:rsidR="00075CBF" w:rsidRPr="0003380C">
        <w:t xml:space="preserve"> (BAM). Results from these tests are reproduced in this paper.</w:t>
      </w:r>
    </w:p>
    <w:p w14:paraId="65DE7C69" w14:textId="77777777" w:rsidR="00225D08" w:rsidRDefault="00225D08" w:rsidP="00225D08">
      <w:pPr>
        <w:pStyle w:val="HChG"/>
        <w:ind w:left="0" w:firstLine="0"/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t>Test Results</w:t>
      </w:r>
    </w:p>
    <w:p w14:paraId="2357C56D" w14:textId="466F583E" w:rsidR="007405D2" w:rsidRDefault="0003380C" w:rsidP="0003380C">
      <w:pPr>
        <w:pStyle w:val="SingleTxtG"/>
      </w:pPr>
      <w:r>
        <w:t>4.</w:t>
      </w:r>
      <w:r>
        <w:tab/>
      </w:r>
      <w:proofErr w:type="spellStart"/>
      <w:r w:rsidR="001D75E8">
        <w:t>Koenen</w:t>
      </w:r>
      <w:proofErr w:type="spellEnd"/>
      <w:r w:rsidR="00075CBF">
        <w:t xml:space="preserve"> </w:t>
      </w:r>
      <w:r w:rsidR="001D75E8">
        <w:t>t</w:t>
      </w:r>
      <w:r w:rsidR="008C6B1B">
        <w:t xml:space="preserve">ests were performed with 2 different emulsions. </w:t>
      </w:r>
      <w:r w:rsidR="001D75E8">
        <w:t>With</w:t>
      </w:r>
      <w:r w:rsidR="008C6B1B">
        <w:t xml:space="preserve"> each emulsion six tests were done, three with steel tubes of the former quality from old stock, and three with the new steel tubes</w:t>
      </w:r>
      <w:r w:rsidR="007405D2">
        <w:t>.</w:t>
      </w:r>
    </w:p>
    <w:p w14:paraId="793DB50B" w14:textId="38992222" w:rsidR="00225D08" w:rsidRDefault="0003380C" w:rsidP="0003380C">
      <w:pPr>
        <w:pStyle w:val="SingleTxtG"/>
      </w:pPr>
      <w:r>
        <w:t>5.</w:t>
      </w:r>
      <w:r>
        <w:tab/>
      </w:r>
      <w:r w:rsidR="00075CBF">
        <w:t>The components</w:t>
      </w:r>
      <w:r w:rsidR="008C6B1B">
        <w:t xml:space="preserve"> o</w:t>
      </w:r>
      <w:r w:rsidR="00075CBF">
        <w:t>f both emulsions were Ammonium n</w:t>
      </w:r>
      <w:r w:rsidR="008C6B1B">
        <w:t>it</w:t>
      </w:r>
      <w:r w:rsidR="00075CBF">
        <w:t>rate, water, Sodium h</w:t>
      </w:r>
      <w:r w:rsidR="001D75E8">
        <w:t>ydroxide, A</w:t>
      </w:r>
      <w:r w:rsidR="008C6B1B">
        <w:t>cetic acid,</w:t>
      </w:r>
      <w:r w:rsidR="001D75E8">
        <w:t xml:space="preserve"> </w:t>
      </w:r>
      <w:proofErr w:type="spellStart"/>
      <w:r w:rsidR="001D75E8">
        <w:t>T</w:t>
      </w:r>
      <w:r w:rsidR="008C6B1B">
        <w:t>hiourea</w:t>
      </w:r>
      <w:proofErr w:type="spellEnd"/>
      <w:r w:rsidR="008C6B1B">
        <w:t>, fuel oil, and two different emulsifiers called “</w:t>
      </w:r>
      <w:proofErr w:type="spellStart"/>
      <w:r w:rsidR="008C6B1B">
        <w:t>Anfumol</w:t>
      </w:r>
      <w:proofErr w:type="spellEnd"/>
      <w:r w:rsidR="008C6B1B">
        <w:t>” and “E21/70”. The emulsions were prepared such to be comparable to emulsions</w:t>
      </w:r>
      <w:r w:rsidR="00D31C20">
        <w:t xml:space="preserve"> produced industrially</w:t>
      </w:r>
      <w:r w:rsidR="008C6B1B">
        <w:t>.</w:t>
      </w:r>
    </w:p>
    <w:p w14:paraId="4F576E04" w14:textId="65BF437F" w:rsidR="005A78F9" w:rsidRDefault="0003380C" w:rsidP="0003380C">
      <w:pPr>
        <w:pStyle w:val="SingleTxtG"/>
      </w:pPr>
      <w:r>
        <w:t>6.</w:t>
      </w:r>
      <w:r>
        <w:tab/>
      </w:r>
      <w:r w:rsidR="00D31C20">
        <w:t xml:space="preserve">The emulsions would not show violent behaviour in the </w:t>
      </w:r>
      <w:proofErr w:type="spellStart"/>
      <w:r w:rsidR="00D31C20">
        <w:t>Koenen</w:t>
      </w:r>
      <w:proofErr w:type="spellEnd"/>
      <w:r w:rsidR="00075CBF">
        <w:t xml:space="preserve"> </w:t>
      </w:r>
      <w:r w:rsidR="00D31C20">
        <w:t>test. In order to record results closest to the most critical conditions, of the three tests two were done at an orifice diameter of 1 mm and one at an orifice diameter of 2 mm.</w:t>
      </w:r>
    </w:p>
    <w:p w14:paraId="68247594" w14:textId="758D5479" w:rsidR="008C7A1A" w:rsidRDefault="0003380C" w:rsidP="0003380C">
      <w:pPr>
        <w:pStyle w:val="SingleTxtG"/>
      </w:pPr>
      <w:r>
        <w:lastRenderedPageBreak/>
        <w:t>7.</w:t>
      </w:r>
      <w:r>
        <w:tab/>
      </w:r>
      <w:r w:rsidR="00D31C20">
        <w:t>During the tests no explosion of the steel tube occurred. With the “</w:t>
      </w:r>
      <w:proofErr w:type="spellStart"/>
      <w:r w:rsidR="00D31C20">
        <w:t>Anfumol</w:t>
      </w:r>
      <w:proofErr w:type="spellEnd"/>
      <w:r w:rsidR="00D31C20">
        <w:t>”-emulsion the steel tubes remained fully unaffected when tested with 2 mm, however, with 1 mm consistently a light bulging of the bottom of the steel tube was observed. This bulging was independent of using the old quality steel tube or the new type. The “E21/70”-emulsion did not cause any observable changes to the steel tubes, independent of 1 mm or 2 mm</w:t>
      </w:r>
      <w:r w:rsidR="001D75E8">
        <w:t xml:space="preserve"> orifice diameter</w:t>
      </w:r>
      <w:r w:rsidR="00D31C20">
        <w:t xml:space="preserve"> or the steel quality.</w:t>
      </w:r>
    </w:p>
    <w:p w14:paraId="59BF9EB5" w14:textId="49EE9107" w:rsidR="00A2493F" w:rsidRPr="00225D08" w:rsidRDefault="0003380C" w:rsidP="0003380C">
      <w:pPr>
        <w:pStyle w:val="SingleTxtG"/>
      </w:pPr>
      <w:r>
        <w:t>8.</w:t>
      </w:r>
      <w:r>
        <w:tab/>
      </w:r>
      <w:r w:rsidR="00D31C20">
        <w:t>For better readability the test results are summarised in a Table in an Annex to this document.</w:t>
      </w:r>
    </w:p>
    <w:p w14:paraId="27386DD5" w14:textId="302B08B7" w:rsidR="00A4449F" w:rsidRPr="00735725" w:rsidRDefault="00A4449F" w:rsidP="00A4449F">
      <w:pPr>
        <w:pStyle w:val="HChG"/>
      </w:pPr>
      <w:r>
        <w:tab/>
      </w:r>
      <w:r>
        <w:tab/>
      </w:r>
      <w:r w:rsidR="00A2493F">
        <w:t>Conclusions</w:t>
      </w:r>
    </w:p>
    <w:p w14:paraId="3ADA4352" w14:textId="603EA91C" w:rsidR="008274C8" w:rsidRDefault="0003380C" w:rsidP="0003380C">
      <w:pPr>
        <w:pStyle w:val="SingleTxtG"/>
      </w:pPr>
      <w:r>
        <w:t>9.</w:t>
      </w:r>
      <w:r>
        <w:tab/>
      </w:r>
      <w:r w:rsidR="00DD342D">
        <w:t xml:space="preserve">The test results underline, that also for emulsions and slow responding samples the </w:t>
      </w:r>
      <w:r w:rsidR="005D7FBA">
        <w:t>change</w:t>
      </w:r>
      <w:r w:rsidR="00DD342D">
        <w:t xml:space="preserve"> </w:t>
      </w:r>
      <w:r w:rsidR="005D7FBA">
        <w:t>of</w:t>
      </w:r>
      <w:r w:rsidR="00DD342D">
        <w:t xml:space="preserve"> steel quality</w:t>
      </w:r>
      <w:r w:rsidR="001D75E8">
        <w:t xml:space="preserve">, as referred to in document </w:t>
      </w:r>
      <w:r w:rsidR="00075CBF">
        <w:t>ST/SG/AC.10/C.3/2015/4</w:t>
      </w:r>
      <w:r w:rsidR="001D75E8">
        <w:t>,</w:t>
      </w:r>
      <w:r w:rsidR="00DD342D">
        <w:t xml:space="preserve"> does not have an effect on the outcome of the </w:t>
      </w:r>
      <w:proofErr w:type="spellStart"/>
      <w:r w:rsidR="00DD342D">
        <w:t>Koenen</w:t>
      </w:r>
      <w:proofErr w:type="spellEnd"/>
      <w:r w:rsidR="00075CBF">
        <w:t xml:space="preserve"> </w:t>
      </w:r>
      <w:r w:rsidR="00DD342D">
        <w:t>test.</w:t>
      </w:r>
    </w:p>
    <w:p w14:paraId="01E16019" w14:textId="77777777" w:rsidR="00DD342D" w:rsidRDefault="00DD342D">
      <w:pPr>
        <w:suppressAutoHyphens w:val="0"/>
        <w:spacing w:line="240" w:lineRule="auto"/>
        <w:rPr>
          <w:u w:val="single"/>
        </w:rPr>
      </w:pPr>
      <w:bookmarkStart w:id="0" w:name="_GoBack"/>
      <w:bookmarkEnd w:id="0"/>
      <w:r>
        <w:rPr>
          <w:u w:val="single"/>
        </w:rPr>
        <w:br w:type="page"/>
      </w:r>
    </w:p>
    <w:p w14:paraId="3E3059E7" w14:textId="77777777" w:rsidR="00DD342D" w:rsidRPr="00DD342D" w:rsidRDefault="00DD342D" w:rsidP="0003380C">
      <w:pPr>
        <w:pStyle w:val="HChG"/>
      </w:pPr>
      <w:r w:rsidRPr="00DD342D">
        <w:lastRenderedPageBreak/>
        <w:t>Annex</w:t>
      </w:r>
    </w:p>
    <w:p w14:paraId="5FF5BCF3" w14:textId="38A65260" w:rsidR="00DD342D" w:rsidRDefault="002112FE" w:rsidP="0003380C">
      <w:pPr>
        <w:pStyle w:val="SingleTxtG"/>
        <w:spacing w:before="240" w:after="240"/>
      </w:pPr>
      <w:proofErr w:type="spellStart"/>
      <w:r>
        <w:t>Koenen</w:t>
      </w:r>
      <w:proofErr w:type="spellEnd"/>
      <w:r w:rsidR="005D7FBA">
        <w:t xml:space="preserve"> </w:t>
      </w:r>
      <w:r>
        <w:t>t</w:t>
      </w:r>
      <w:r w:rsidR="00DD342D">
        <w:t>est re</w:t>
      </w:r>
      <w:r>
        <w:t>sults with two emulsions, as done at BAM in March 2016.</w:t>
      </w:r>
      <w:r w:rsidR="005D7FBA">
        <w:t xml:space="preserve"> </w:t>
      </w:r>
      <w:r w:rsidR="00D101E9">
        <w:t xml:space="preserve">The observed effects </w:t>
      </w:r>
      <w:r w:rsidR="00CB333A">
        <w:t>with</w:t>
      </w:r>
      <w:r w:rsidR="00D101E9">
        <w:t xml:space="preserve"> the former type of steel tubes and the new type of steel tubes are equivalent</w:t>
      </w:r>
      <w:r w:rsidR="00F302DA">
        <w:t>.</w:t>
      </w:r>
      <w:r w:rsidR="001D75E8">
        <w:t xml:space="preserve"> Heating was discontinued after 5 minutes.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2268"/>
        <w:gridCol w:w="1979"/>
      </w:tblGrid>
      <w:tr w:rsidR="00A1631F" w14:paraId="48E19755" w14:textId="77777777" w:rsidTr="00F302DA">
        <w:tc>
          <w:tcPr>
            <w:tcW w:w="1129" w:type="dxa"/>
          </w:tcPr>
          <w:p w14:paraId="5424BC8F" w14:textId="77777777" w:rsidR="00A1631F" w:rsidRPr="00A1631F" w:rsidRDefault="00A1631F" w:rsidP="00B8100A">
            <w:pPr>
              <w:pStyle w:val="SingleTxtG"/>
              <w:spacing w:before="120"/>
              <w:ind w:left="0" w:right="0"/>
              <w:jc w:val="left"/>
              <w:rPr>
                <w:b/>
                <w:i/>
              </w:rPr>
            </w:pPr>
            <w:r w:rsidRPr="00A1631F">
              <w:rPr>
                <w:b/>
                <w:i/>
              </w:rPr>
              <w:t>Emulsion</w:t>
            </w:r>
          </w:p>
        </w:tc>
        <w:tc>
          <w:tcPr>
            <w:tcW w:w="1418" w:type="dxa"/>
          </w:tcPr>
          <w:p w14:paraId="2062AD1E" w14:textId="77777777" w:rsidR="00A1631F" w:rsidRPr="00A1631F" w:rsidRDefault="00A1631F" w:rsidP="00B8100A">
            <w:pPr>
              <w:pStyle w:val="SingleTxtG"/>
              <w:spacing w:before="120"/>
              <w:ind w:left="0" w:right="0"/>
              <w:jc w:val="left"/>
              <w:rPr>
                <w:b/>
                <w:i/>
              </w:rPr>
            </w:pPr>
            <w:r w:rsidRPr="00A1631F">
              <w:rPr>
                <w:b/>
                <w:i/>
              </w:rPr>
              <w:t>Steel tube</w:t>
            </w:r>
          </w:p>
        </w:tc>
        <w:tc>
          <w:tcPr>
            <w:tcW w:w="1701" w:type="dxa"/>
          </w:tcPr>
          <w:p w14:paraId="04981259" w14:textId="77777777" w:rsidR="00A1631F" w:rsidRPr="00A1631F" w:rsidRDefault="00A1631F" w:rsidP="00B8100A">
            <w:pPr>
              <w:pStyle w:val="SingleTxtG"/>
              <w:spacing w:before="120"/>
              <w:ind w:left="0" w:right="0"/>
              <w:jc w:val="left"/>
              <w:rPr>
                <w:b/>
                <w:i/>
              </w:rPr>
            </w:pPr>
            <w:r w:rsidRPr="00A1631F">
              <w:rPr>
                <w:b/>
                <w:i/>
              </w:rPr>
              <w:t>Orifice diameter</w:t>
            </w:r>
          </w:p>
        </w:tc>
        <w:tc>
          <w:tcPr>
            <w:tcW w:w="2268" w:type="dxa"/>
          </w:tcPr>
          <w:p w14:paraId="59048785" w14:textId="77777777" w:rsidR="00F302DA" w:rsidRPr="00A1631F" w:rsidRDefault="001D75E8" w:rsidP="00B8100A">
            <w:pPr>
              <w:pStyle w:val="SingleTxtG"/>
              <w:spacing w:before="120"/>
              <w:ind w:left="0" w:right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# of fragments / effect</w:t>
            </w:r>
          </w:p>
        </w:tc>
        <w:tc>
          <w:tcPr>
            <w:tcW w:w="1979" w:type="dxa"/>
          </w:tcPr>
          <w:p w14:paraId="1DCFD315" w14:textId="77777777" w:rsidR="00A1631F" w:rsidRPr="00A1631F" w:rsidRDefault="00A1631F" w:rsidP="00B8100A">
            <w:pPr>
              <w:pStyle w:val="SingleTxtG"/>
              <w:spacing w:before="120"/>
              <w:ind w:left="0" w:right="0"/>
              <w:jc w:val="left"/>
              <w:rPr>
                <w:b/>
                <w:i/>
              </w:rPr>
            </w:pPr>
            <w:r w:rsidRPr="00A1631F">
              <w:rPr>
                <w:b/>
                <w:i/>
              </w:rPr>
              <w:t>Remarks</w:t>
            </w:r>
          </w:p>
        </w:tc>
      </w:tr>
      <w:tr w:rsidR="00A1631F" w14:paraId="1F162AC4" w14:textId="77777777" w:rsidTr="00F302DA">
        <w:tc>
          <w:tcPr>
            <w:tcW w:w="1129" w:type="dxa"/>
          </w:tcPr>
          <w:p w14:paraId="11777565" w14:textId="77777777" w:rsidR="00A1631F" w:rsidRDefault="00A1631F" w:rsidP="00B8100A">
            <w:pPr>
              <w:pStyle w:val="SingleTxtG"/>
              <w:spacing w:before="120"/>
              <w:ind w:left="0" w:right="0"/>
              <w:jc w:val="left"/>
            </w:pPr>
            <w:r>
              <w:t>“</w:t>
            </w:r>
            <w:proofErr w:type="spellStart"/>
            <w:r>
              <w:t>Anfumol</w:t>
            </w:r>
            <w:proofErr w:type="spellEnd"/>
            <w:r>
              <w:t>”</w:t>
            </w:r>
          </w:p>
        </w:tc>
        <w:tc>
          <w:tcPr>
            <w:tcW w:w="1418" w:type="dxa"/>
          </w:tcPr>
          <w:p w14:paraId="2EDF4B2E" w14:textId="77777777" w:rsidR="00B45D52" w:rsidRDefault="00B45D52" w:rsidP="00B8100A">
            <w:pPr>
              <w:pStyle w:val="SingleTxtG"/>
              <w:spacing w:before="120"/>
              <w:ind w:left="0" w:right="0"/>
              <w:jc w:val="left"/>
            </w:pPr>
            <w:r>
              <w:t>Former type</w:t>
            </w:r>
          </w:p>
        </w:tc>
        <w:tc>
          <w:tcPr>
            <w:tcW w:w="1701" w:type="dxa"/>
          </w:tcPr>
          <w:p w14:paraId="4753F2FC" w14:textId="77777777" w:rsidR="00A1631F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1 mm</w:t>
            </w:r>
          </w:p>
        </w:tc>
        <w:tc>
          <w:tcPr>
            <w:tcW w:w="2268" w:type="dxa"/>
          </w:tcPr>
          <w:p w14:paraId="7A9D8E20" w14:textId="77777777" w:rsidR="00F302DA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A</w:t>
            </w:r>
          </w:p>
        </w:tc>
        <w:tc>
          <w:tcPr>
            <w:tcW w:w="1979" w:type="dxa"/>
          </w:tcPr>
          <w:p w14:paraId="09626700" w14:textId="77777777" w:rsidR="00A1631F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Bottom of tube slightly bulged</w:t>
            </w:r>
          </w:p>
        </w:tc>
      </w:tr>
      <w:tr w:rsidR="00A1631F" w14:paraId="146C3B7E" w14:textId="77777777" w:rsidTr="00F302DA">
        <w:tc>
          <w:tcPr>
            <w:tcW w:w="1129" w:type="dxa"/>
          </w:tcPr>
          <w:p w14:paraId="30736AC9" w14:textId="77777777" w:rsidR="00A1631F" w:rsidRDefault="00A1631F" w:rsidP="00B8100A">
            <w:pPr>
              <w:pStyle w:val="SingleTxtG"/>
              <w:spacing w:before="120"/>
              <w:ind w:left="0" w:right="0"/>
              <w:jc w:val="left"/>
            </w:pPr>
            <w:r>
              <w:t>“</w:t>
            </w:r>
            <w:proofErr w:type="spellStart"/>
            <w:r>
              <w:t>Anfumol</w:t>
            </w:r>
            <w:proofErr w:type="spellEnd"/>
            <w:r>
              <w:t>”</w:t>
            </w:r>
          </w:p>
        </w:tc>
        <w:tc>
          <w:tcPr>
            <w:tcW w:w="1418" w:type="dxa"/>
          </w:tcPr>
          <w:p w14:paraId="56D462BB" w14:textId="77777777" w:rsidR="00A1631F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Former type</w:t>
            </w:r>
          </w:p>
        </w:tc>
        <w:tc>
          <w:tcPr>
            <w:tcW w:w="1701" w:type="dxa"/>
          </w:tcPr>
          <w:p w14:paraId="2CDC853D" w14:textId="77777777" w:rsidR="00A1631F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1 mm</w:t>
            </w:r>
          </w:p>
        </w:tc>
        <w:tc>
          <w:tcPr>
            <w:tcW w:w="2268" w:type="dxa"/>
          </w:tcPr>
          <w:p w14:paraId="22F03ED1" w14:textId="77777777" w:rsidR="00A1631F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A</w:t>
            </w:r>
          </w:p>
        </w:tc>
        <w:tc>
          <w:tcPr>
            <w:tcW w:w="1979" w:type="dxa"/>
          </w:tcPr>
          <w:p w14:paraId="75A6A09A" w14:textId="77777777" w:rsidR="00A1631F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Bottom of tube slightly bulged</w:t>
            </w:r>
          </w:p>
        </w:tc>
      </w:tr>
      <w:tr w:rsidR="00A1631F" w14:paraId="5AD8D200" w14:textId="77777777" w:rsidTr="00F302DA">
        <w:tc>
          <w:tcPr>
            <w:tcW w:w="1129" w:type="dxa"/>
          </w:tcPr>
          <w:p w14:paraId="17331AE1" w14:textId="77777777" w:rsidR="00A1631F" w:rsidRDefault="00A1631F" w:rsidP="00B8100A">
            <w:pPr>
              <w:pStyle w:val="SingleTxtG"/>
              <w:spacing w:before="120"/>
              <w:ind w:left="0" w:right="0"/>
              <w:jc w:val="left"/>
            </w:pPr>
            <w:r>
              <w:t>“</w:t>
            </w:r>
            <w:proofErr w:type="spellStart"/>
            <w:r>
              <w:t>Anfumol</w:t>
            </w:r>
            <w:proofErr w:type="spellEnd"/>
            <w:r>
              <w:t>”</w:t>
            </w:r>
          </w:p>
        </w:tc>
        <w:tc>
          <w:tcPr>
            <w:tcW w:w="1418" w:type="dxa"/>
          </w:tcPr>
          <w:p w14:paraId="1E9AF5DE" w14:textId="77777777" w:rsidR="00A1631F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Former type</w:t>
            </w:r>
          </w:p>
        </w:tc>
        <w:tc>
          <w:tcPr>
            <w:tcW w:w="1701" w:type="dxa"/>
          </w:tcPr>
          <w:p w14:paraId="39D70E1B" w14:textId="77777777" w:rsidR="00A1631F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2 mm</w:t>
            </w:r>
          </w:p>
        </w:tc>
        <w:tc>
          <w:tcPr>
            <w:tcW w:w="2268" w:type="dxa"/>
          </w:tcPr>
          <w:p w14:paraId="0A44EE17" w14:textId="77777777" w:rsidR="00A1631F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O</w:t>
            </w:r>
          </w:p>
        </w:tc>
        <w:tc>
          <w:tcPr>
            <w:tcW w:w="1979" w:type="dxa"/>
          </w:tcPr>
          <w:p w14:paraId="116E9863" w14:textId="77777777" w:rsidR="00A1631F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Tube unchanged</w:t>
            </w:r>
          </w:p>
        </w:tc>
      </w:tr>
      <w:tr w:rsidR="00A1631F" w14:paraId="630F084E" w14:textId="77777777" w:rsidTr="00F302DA">
        <w:tc>
          <w:tcPr>
            <w:tcW w:w="1129" w:type="dxa"/>
          </w:tcPr>
          <w:p w14:paraId="4AFD2124" w14:textId="77777777" w:rsidR="00A1631F" w:rsidRDefault="00A1631F" w:rsidP="00B8100A">
            <w:pPr>
              <w:pStyle w:val="SingleTxtG"/>
              <w:spacing w:before="120"/>
              <w:ind w:left="0" w:right="0"/>
              <w:jc w:val="left"/>
            </w:pPr>
            <w:r>
              <w:t>“</w:t>
            </w:r>
            <w:proofErr w:type="spellStart"/>
            <w:r>
              <w:t>Anfumol</w:t>
            </w:r>
            <w:proofErr w:type="spellEnd"/>
            <w:r>
              <w:t>”</w:t>
            </w:r>
          </w:p>
        </w:tc>
        <w:tc>
          <w:tcPr>
            <w:tcW w:w="1418" w:type="dxa"/>
          </w:tcPr>
          <w:p w14:paraId="6BED456E" w14:textId="77777777" w:rsidR="00A1631F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New type</w:t>
            </w:r>
          </w:p>
        </w:tc>
        <w:tc>
          <w:tcPr>
            <w:tcW w:w="1701" w:type="dxa"/>
          </w:tcPr>
          <w:p w14:paraId="088D879F" w14:textId="77777777" w:rsidR="00A1631F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1 mm</w:t>
            </w:r>
          </w:p>
        </w:tc>
        <w:tc>
          <w:tcPr>
            <w:tcW w:w="2268" w:type="dxa"/>
          </w:tcPr>
          <w:p w14:paraId="38989F93" w14:textId="77777777" w:rsidR="00A1631F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A</w:t>
            </w:r>
          </w:p>
        </w:tc>
        <w:tc>
          <w:tcPr>
            <w:tcW w:w="1979" w:type="dxa"/>
          </w:tcPr>
          <w:p w14:paraId="522EA8D0" w14:textId="77777777" w:rsidR="00A1631F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Bottom of tube slightly bulged</w:t>
            </w:r>
          </w:p>
        </w:tc>
      </w:tr>
      <w:tr w:rsidR="00A1631F" w14:paraId="6C2EFCCC" w14:textId="77777777" w:rsidTr="00F302DA">
        <w:tc>
          <w:tcPr>
            <w:tcW w:w="1129" w:type="dxa"/>
          </w:tcPr>
          <w:p w14:paraId="52BE82E2" w14:textId="77777777" w:rsidR="00A1631F" w:rsidRDefault="00A1631F" w:rsidP="00B8100A">
            <w:pPr>
              <w:pStyle w:val="SingleTxtG"/>
              <w:spacing w:before="120"/>
              <w:ind w:left="0" w:right="0"/>
              <w:jc w:val="left"/>
            </w:pPr>
            <w:r>
              <w:t>“</w:t>
            </w:r>
            <w:proofErr w:type="spellStart"/>
            <w:r>
              <w:t>Anfumol</w:t>
            </w:r>
            <w:proofErr w:type="spellEnd"/>
            <w:r>
              <w:t>”</w:t>
            </w:r>
          </w:p>
        </w:tc>
        <w:tc>
          <w:tcPr>
            <w:tcW w:w="1418" w:type="dxa"/>
          </w:tcPr>
          <w:p w14:paraId="71AFFD2D" w14:textId="77777777" w:rsidR="00A1631F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New type</w:t>
            </w:r>
          </w:p>
        </w:tc>
        <w:tc>
          <w:tcPr>
            <w:tcW w:w="1701" w:type="dxa"/>
          </w:tcPr>
          <w:p w14:paraId="0790A8D4" w14:textId="77777777" w:rsidR="00A1631F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1 mm</w:t>
            </w:r>
          </w:p>
        </w:tc>
        <w:tc>
          <w:tcPr>
            <w:tcW w:w="2268" w:type="dxa"/>
          </w:tcPr>
          <w:p w14:paraId="53A97BB2" w14:textId="77777777" w:rsidR="00A1631F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A</w:t>
            </w:r>
          </w:p>
        </w:tc>
        <w:tc>
          <w:tcPr>
            <w:tcW w:w="1979" w:type="dxa"/>
          </w:tcPr>
          <w:p w14:paraId="27FB3BB9" w14:textId="77777777" w:rsidR="00A1631F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Bottom of tube slightly bulged</w:t>
            </w:r>
          </w:p>
        </w:tc>
      </w:tr>
      <w:tr w:rsidR="00A1631F" w14:paraId="66A3709A" w14:textId="77777777" w:rsidTr="00F302DA">
        <w:tc>
          <w:tcPr>
            <w:tcW w:w="1129" w:type="dxa"/>
          </w:tcPr>
          <w:p w14:paraId="61A52115" w14:textId="77777777" w:rsidR="00A1631F" w:rsidRDefault="00A1631F" w:rsidP="00B8100A">
            <w:pPr>
              <w:pStyle w:val="SingleTxtG"/>
              <w:spacing w:before="120"/>
              <w:ind w:left="0" w:right="0"/>
              <w:jc w:val="left"/>
            </w:pPr>
            <w:r>
              <w:t>“</w:t>
            </w:r>
            <w:proofErr w:type="spellStart"/>
            <w:r>
              <w:t>Anfumol</w:t>
            </w:r>
            <w:proofErr w:type="spellEnd"/>
            <w:r>
              <w:t>”</w:t>
            </w:r>
          </w:p>
        </w:tc>
        <w:tc>
          <w:tcPr>
            <w:tcW w:w="1418" w:type="dxa"/>
          </w:tcPr>
          <w:p w14:paraId="16F30FF4" w14:textId="77777777" w:rsidR="00A1631F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New type</w:t>
            </w:r>
          </w:p>
        </w:tc>
        <w:tc>
          <w:tcPr>
            <w:tcW w:w="1701" w:type="dxa"/>
          </w:tcPr>
          <w:p w14:paraId="05B7B7A5" w14:textId="77777777" w:rsidR="00A1631F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2 mm</w:t>
            </w:r>
          </w:p>
        </w:tc>
        <w:tc>
          <w:tcPr>
            <w:tcW w:w="2268" w:type="dxa"/>
          </w:tcPr>
          <w:p w14:paraId="740CEAAA" w14:textId="77777777" w:rsidR="00A1631F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O</w:t>
            </w:r>
          </w:p>
        </w:tc>
        <w:tc>
          <w:tcPr>
            <w:tcW w:w="1979" w:type="dxa"/>
          </w:tcPr>
          <w:p w14:paraId="2E935EAA" w14:textId="77777777" w:rsidR="00A1631F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Tube unchanged</w:t>
            </w:r>
          </w:p>
        </w:tc>
      </w:tr>
      <w:tr w:rsidR="00A1631F" w14:paraId="6B5925CD" w14:textId="77777777" w:rsidTr="00F302DA">
        <w:tc>
          <w:tcPr>
            <w:tcW w:w="1129" w:type="dxa"/>
          </w:tcPr>
          <w:p w14:paraId="2723C3C6" w14:textId="77777777" w:rsidR="00A1631F" w:rsidRDefault="00B45D52" w:rsidP="00B8100A">
            <w:pPr>
              <w:pStyle w:val="SingleTxtG"/>
              <w:spacing w:before="120"/>
              <w:ind w:left="0" w:right="0"/>
              <w:jc w:val="left"/>
            </w:pPr>
            <w:r>
              <w:t>“E21/70”</w:t>
            </w:r>
          </w:p>
        </w:tc>
        <w:tc>
          <w:tcPr>
            <w:tcW w:w="1418" w:type="dxa"/>
          </w:tcPr>
          <w:p w14:paraId="221A5820" w14:textId="77777777" w:rsidR="00A1631F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Former type</w:t>
            </w:r>
          </w:p>
        </w:tc>
        <w:tc>
          <w:tcPr>
            <w:tcW w:w="1701" w:type="dxa"/>
          </w:tcPr>
          <w:p w14:paraId="67B38B41" w14:textId="77777777" w:rsidR="00A1631F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1 mm</w:t>
            </w:r>
          </w:p>
        </w:tc>
        <w:tc>
          <w:tcPr>
            <w:tcW w:w="2268" w:type="dxa"/>
          </w:tcPr>
          <w:p w14:paraId="6DF22F53" w14:textId="77777777" w:rsidR="00A1631F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O</w:t>
            </w:r>
          </w:p>
        </w:tc>
        <w:tc>
          <w:tcPr>
            <w:tcW w:w="1979" w:type="dxa"/>
          </w:tcPr>
          <w:p w14:paraId="7F0E86DF" w14:textId="77777777" w:rsidR="00A1631F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Tube unchanged</w:t>
            </w:r>
          </w:p>
        </w:tc>
      </w:tr>
      <w:tr w:rsidR="00B45D52" w14:paraId="0E3E42B7" w14:textId="77777777" w:rsidTr="00F302DA">
        <w:tc>
          <w:tcPr>
            <w:tcW w:w="1129" w:type="dxa"/>
          </w:tcPr>
          <w:p w14:paraId="560C0F00" w14:textId="77777777" w:rsidR="00B45D52" w:rsidRDefault="00B45D52" w:rsidP="00B8100A">
            <w:pPr>
              <w:pStyle w:val="SingleTxtG"/>
              <w:spacing w:before="120"/>
              <w:ind w:left="0" w:right="0"/>
              <w:jc w:val="left"/>
            </w:pPr>
            <w:r>
              <w:t>“E21/70”</w:t>
            </w:r>
          </w:p>
        </w:tc>
        <w:tc>
          <w:tcPr>
            <w:tcW w:w="1418" w:type="dxa"/>
          </w:tcPr>
          <w:p w14:paraId="27A851A3" w14:textId="77777777" w:rsidR="00B45D52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Former type</w:t>
            </w:r>
          </w:p>
        </w:tc>
        <w:tc>
          <w:tcPr>
            <w:tcW w:w="1701" w:type="dxa"/>
          </w:tcPr>
          <w:p w14:paraId="7F509D7F" w14:textId="77777777" w:rsidR="00B45D52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1 mm</w:t>
            </w:r>
          </w:p>
        </w:tc>
        <w:tc>
          <w:tcPr>
            <w:tcW w:w="2268" w:type="dxa"/>
          </w:tcPr>
          <w:p w14:paraId="52B715AF" w14:textId="77777777" w:rsidR="00B45D52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O</w:t>
            </w:r>
          </w:p>
        </w:tc>
        <w:tc>
          <w:tcPr>
            <w:tcW w:w="1979" w:type="dxa"/>
          </w:tcPr>
          <w:p w14:paraId="54C7C0DA" w14:textId="77777777" w:rsidR="00B45D52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Tube unchanged</w:t>
            </w:r>
          </w:p>
        </w:tc>
      </w:tr>
      <w:tr w:rsidR="00B45D52" w14:paraId="4A28D169" w14:textId="77777777" w:rsidTr="00F302DA">
        <w:tc>
          <w:tcPr>
            <w:tcW w:w="1129" w:type="dxa"/>
          </w:tcPr>
          <w:p w14:paraId="05921FF4" w14:textId="77777777" w:rsidR="00B45D52" w:rsidRDefault="00B45D52" w:rsidP="00B8100A">
            <w:pPr>
              <w:pStyle w:val="SingleTxtG"/>
              <w:spacing w:before="120"/>
              <w:ind w:left="0" w:right="0"/>
              <w:jc w:val="left"/>
            </w:pPr>
            <w:r>
              <w:t>“E21/70”</w:t>
            </w:r>
          </w:p>
        </w:tc>
        <w:tc>
          <w:tcPr>
            <w:tcW w:w="1418" w:type="dxa"/>
          </w:tcPr>
          <w:p w14:paraId="51E09354" w14:textId="77777777" w:rsidR="00B45D52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Former type</w:t>
            </w:r>
          </w:p>
        </w:tc>
        <w:tc>
          <w:tcPr>
            <w:tcW w:w="1701" w:type="dxa"/>
          </w:tcPr>
          <w:p w14:paraId="2F80E67E" w14:textId="77777777" w:rsidR="00B45D52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2 mm</w:t>
            </w:r>
          </w:p>
        </w:tc>
        <w:tc>
          <w:tcPr>
            <w:tcW w:w="2268" w:type="dxa"/>
          </w:tcPr>
          <w:p w14:paraId="7F17359A" w14:textId="77777777" w:rsidR="00B45D52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O</w:t>
            </w:r>
          </w:p>
        </w:tc>
        <w:tc>
          <w:tcPr>
            <w:tcW w:w="1979" w:type="dxa"/>
          </w:tcPr>
          <w:p w14:paraId="3870603D" w14:textId="77777777" w:rsidR="00B45D52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Tube unchanged</w:t>
            </w:r>
          </w:p>
        </w:tc>
      </w:tr>
      <w:tr w:rsidR="00B45D52" w14:paraId="2E929C4C" w14:textId="77777777" w:rsidTr="00F302DA">
        <w:tc>
          <w:tcPr>
            <w:tcW w:w="1129" w:type="dxa"/>
          </w:tcPr>
          <w:p w14:paraId="1AF68D67" w14:textId="77777777" w:rsidR="00B45D52" w:rsidRDefault="00B45D52" w:rsidP="00B8100A">
            <w:pPr>
              <w:pStyle w:val="SingleTxtG"/>
              <w:spacing w:before="120"/>
              <w:ind w:left="0" w:right="0"/>
              <w:jc w:val="left"/>
            </w:pPr>
            <w:r>
              <w:t>“E21/70”</w:t>
            </w:r>
          </w:p>
        </w:tc>
        <w:tc>
          <w:tcPr>
            <w:tcW w:w="1418" w:type="dxa"/>
          </w:tcPr>
          <w:p w14:paraId="7F9B5D3D" w14:textId="77777777" w:rsidR="00B45D52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New type</w:t>
            </w:r>
          </w:p>
        </w:tc>
        <w:tc>
          <w:tcPr>
            <w:tcW w:w="1701" w:type="dxa"/>
          </w:tcPr>
          <w:p w14:paraId="0654EF8A" w14:textId="77777777" w:rsidR="00B45D52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1 mm</w:t>
            </w:r>
          </w:p>
        </w:tc>
        <w:tc>
          <w:tcPr>
            <w:tcW w:w="2268" w:type="dxa"/>
          </w:tcPr>
          <w:p w14:paraId="037636B6" w14:textId="77777777" w:rsidR="00B45D52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O</w:t>
            </w:r>
          </w:p>
        </w:tc>
        <w:tc>
          <w:tcPr>
            <w:tcW w:w="1979" w:type="dxa"/>
          </w:tcPr>
          <w:p w14:paraId="691D92B8" w14:textId="77777777" w:rsidR="00B45D52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Tube unchanged</w:t>
            </w:r>
          </w:p>
        </w:tc>
      </w:tr>
      <w:tr w:rsidR="00B45D52" w14:paraId="302A9CE0" w14:textId="77777777" w:rsidTr="00F302DA">
        <w:tc>
          <w:tcPr>
            <w:tcW w:w="1129" w:type="dxa"/>
          </w:tcPr>
          <w:p w14:paraId="4982E853" w14:textId="77777777" w:rsidR="00B45D52" w:rsidRDefault="00B45D52" w:rsidP="00B8100A">
            <w:pPr>
              <w:pStyle w:val="SingleTxtG"/>
              <w:spacing w:before="120"/>
              <w:ind w:left="0" w:right="0"/>
              <w:jc w:val="left"/>
            </w:pPr>
            <w:r>
              <w:t>“E21/70”</w:t>
            </w:r>
          </w:p>
        </w:tc>
        <w:tc>
          <w:tcPr>
            <w:tcW w:w="1418" w:type="dxa"/>
          </w:tcPr>
          <w:p w14:paraId="3E179464" w14:textId="77777777" w:rsidR="00B45D52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New type</w:t>
            </w:r>
          </w:p>
        </w:tc>
        <w:tc>
          <w:tcPr>
            <w:tcW w:w="1701" w:type="dxa"/>
          </w:tcPr>
          <w:p w14:paraId="29A48ACF" w14:textId="77777777" w:rsidR="00B45D52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1 mm</w:t>
            </w:r>
          </w:p>
        </w:tc>
        <w:tc>
          <w:tcPr>
            <w:tcW w:w="2268" w:type="dxa"/>
          </w:tcPr>
          <w:p w14:paraId="286DEFCE" w14:textId="77777777" w:rsidR="00B45D52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O</w:t>
            </w:r>
          </w:p>
        </w:tc>
        <w:tc>
          <w:tcPr>
            <w:tcW w:w="1979" w:type="dxa"/>
          </w:tcPr>
          <w:p w14:paraId="1C958C0D" w14:textId="77777777" w:rsidR="00B45D52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Tube unchanged</w:t>
            </w:r>
          </w:p>
        </w:tc>
      </w:tr>
      <w:tr w:rsidR="00B45D52" w14:paraId="5E69B67D" w14:textId="77777777" w:rsidTr="00F302DA">
        <w:tc>
          <w:tcPr>
            <w:tcW w:w="1129" w:type="dxa"/>
          </w:tcPr>
          <w:p w14:paraId="6DD10228" w14:textId="77777777" w:rsidR="00B45D52" w:rsidRDefault="00B45D52" w:rsidP="00B8100A">
            <w:pPr>
              <w:pStyle w:val="SingleTxtG"/>
              <w:spacing w:before="120"/>
              <w:ind w:left="0" w:right="0"/>
              <w:jc w:val="left"/>
            </w:pPr>
            <w:r>
              <w:t>“E21/70”</w:t>
            </w:r>
          </w:p>
        </w:tc>
        <w:tc>
          <w:tcPr>
            <w:tcW w:w="1418" w:type="dxa"/>
          </w:tcPr>
          <w:p w14:paraId="064CAEFF" w14:textId="77777777" w:rsidR="00B45D52" w:rsidRDefault="00B8100A" w:rsidP="00B8100A">
            <w:pPr>
              <w:pStyle w:val="SingleTxtG"/>
              <w:spacing w:before="120"/>
              <w:ind w:left="0" w:right="0"/>
              <w:jc w:val="left"/>
            </w:pPr>
            <w:r>
              <w:t>New type</w:t>
            </w:r>
          </w:p>
        </w:tc>
        <w:tc>
          <w:tcPr>
            <w:tcW w:w="1701" w:type="dxa"/>
          </w:tcPr>
          <w:p w14:paraId="46E226DB" w14:textId="77777777" w:rsidR="00B45D52" w:rsidRDefault="00B8100A" w:rsidP="00F302DA">
            <w:pPr>
              <w:pStyle w:val="SingleTxtG"/>
              <w:spacing w:before="120"/>
              <w:ind w:left="0" w:right="0"/>
              <w:jc w:val="center"/>
            </w:pPr>
            <w:r>
              <w:t>2 mm</w:t>
            </w:r>
          </w:p>
        </w:tc>
        <w:tc>
          <w:tcPr>
            <w:tcW w:w="2268" w:type="dxa"/>
          </w:tcPr>
          <w:p w14:paraId="6CF97E91" w14:textId="77777777" w:rsidR="00B45D52" w:rsidRDefault="00F302DA" w:rsidP="00F302DA">
            <w:pPr>
              <w:pStyle w:val="SingleTxtG"/>
              <w:spacing w:before="120"/>
              <w:ind w:left="0" w:right="0"/>
              <w:jc w:val="center"/>
            </w:pPr>
            <w:r>
              <w:t>0 / O</w:t>
            </w:r>
          </w:p>
        </w:tc>
        <w:tc>
          <w:tcPr>
            <w:tcW w:w="1979" w:type="dxa"/>
          </w:tcPr>
          <w:p w14:paraId="3A7966CE" w14:textId="77777777" w:rsidR="00B45D52" w:rsidRDefault="001D75E8" w:rsidP="00B8100A">
            <w:pPr>
              <w:pStyle w:val="SingleTxtG"/>
              <w:spacing w:before="120"/>
              <w:ind w:left="0" w:right="0"/>
              <w:jc w:val="left"/>
            </w:pPr>
            <w:r>
              <w:t>Tube unchanged</w:t>
            </w:r>
          </w:p>
        </w:tc>
      </w:tr>
    </w:tbl>
    <w:p w14:paraId="188AC875" w14:textId="122892D4" w:rsidR="00B77B26" w:rsidRPr="0003380C" w:rsidRDefault="0003380C" w:rsidP="0003380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7B26" w:rsidRPr="0003380C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5AACB" w14:textId="77777777" w:rsidR="00C41C15" w:rsidRDefault="00C41C15"/>
  </w:endnote>
  <w:endnote w:type="continuationSeparator" w:id="0">
    <w:p w14:paraId="32D62D29" w14:textId="77777777" w:rsidR="00C41C15" w:rsidRDefault="00C41C15"/>
  </w:endnote>
  <w:endnote w:type="continuationNotice" w:id="1">
    <w:p w14:paraId="5ACD2B04" w14:textId="77777777" w:rsidR="00C41C15" w:rsidRDefault="00C41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FA96" w14:textId="77777777" w:rsidR="004C6E3D" w:rsidRPr="00796B95" w:rsidRDefault="0049223B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4C6E3D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03380C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1AF7D" w14:textId="77777777" w:rsidR="004C6E3D" w:rsidRPr="0005570C" w:rsidRDefault="004C6E3D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49223B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49223B" w:rsidRPr="0005570C">
      <w:rPr>
        <w:b/>
        <w:sz w:val="18"/>
      </w:rPr>
      <w:fldChar w:fldCharType="separate"/>
    </w:r>
    <w:r w:rsidR="0003380C">
      <w:rPr>
        <w:b/>
        <w:noProof/>
        <w:sz w:val="18"/>
      </w:rPr>
      <w:t>3</w:t>
    </w:r>
    <w:r w:rsidR="0049223B"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65EB8" w14:textId="77777777" w:rsidR="00C41C15" w:rsidRPr="000B175B" w:rsidRDefault="00C41C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583017" w14:textId="77777777" w:rsidR="00C41C15" w:rsidRPr="00FC68B7" w:rsidRDefault="00C41C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3224A1" w14:textId="77777777" w:rsidR="00C41C15" w:rsidRDefault="00C41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93CD" w14:textId="68C38750" w:rsidR="004C6E3D" w:rsidRPr="00F54DDA" w:rsidRDefault="004C6E3D" w:rsidP="00F54DDA">
    <w:pPr>
      <w:pStyle w:val="Header"/>
    </w:pPr>
    <w:r w:rsidRPr="00F54DDA">
      <w:rPr>
        <w:noProof/>
      </w:rPr>
      <w:t>UN/SCETDG/4</w:t>
    </w:r>
    <w:r w:rsidR="00BB3979">
      <w:rPr>
        <w:noProof/>
      </w:rPr>
      <w:t>9</w:t>
    </w:r>
    <w:r w:rsidR="006C129C">
      <w:rPr>
        <w:noProof/>
      </w:rPr>
      <w:t>/INF.</w:t>
    </w:r>
    <w:r w:rsidR="0003380C">
      <w:rPr>
        <w:noProof/>
      </w:rPr>
      <w:t>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1943" w14:textId="6683F992" w:rsidR="004C6E3D" w:rsidRPr="0005570C" w:rsidRDefault="004C6E3D" w:rsidP="0005570C">
    <w:pPr>
      <w:pStyle w:val="Header"/>
      <w:jc w:val="right"/>
    </w:pPr>
    <w:r w:rsidRPr="00F54DDA">
      <w:t>UN/SCETDG/4</w:t>
    </w:r>
    <w:r w:rsidR="0003380C">
      <w:t>9</w:t>
    </w:r>
    <w:r w:rsidRPr="00F54DDA">
      <w:t>/INF.</w:t>
    </w:r>
    <w:r w:rsidR="0003380C"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D81E01"/>
    <w:multiLevelType w:val="hybridMultilevel"/>
    <w:tmpl w:val="F62C76D6"/>
    <w:lvl w:ilvl="0" w:tplc="E0FA5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1A667145"/>
    <w:multiLevelType w:val="hybridMultilevel"/>
    <w:tmpl w:val="32FA10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A97A4A"/>
    <w:multiLevelType w:val="hybridMultilevel"/>
    <w:tmpl w:val="5216A528"/>
    <w:lvl w:ilvl="0" w:tplc="97E6B68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D0541"/>
    <w:multiLevelType w:val="hybridMultilevel"/>
    <w:tmpl w:val="C02854C2"/>
    <w:lvl w:ilvl="0" w:tplc="E0FA5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77009F"/>
    <w:multiLevelType w:val="hybridMultilevel"/>
    <w:tmpl w:val="0C9E60EC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792C04"/>
    <w:multiLevelType w:val="hybridMultilevel"/>
    <w:tmpl w:val="F8AC8536"/>
    <w:lvl w:ilvl="0" w:tplc="BE58C1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8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0">
    <w:nsid w:val="5B7272E9"/>
    <w:multiLevelType w:val="hybridMultilevel"/>
    <w:tmpl w:val="D958C3E6"/>
    <w:lvl w:ilvl="0" w:tplc="E71A663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06A1E1D"/>
    <w:multiLevelType w:val="hybridMultilevel"/>
    <w:tmpl w:val="5098487A"/>
    <w:lvl w:ilvl="0" w:tplc="6AE06F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58D78F2"/>
    <w:multiLevelType w:val="hybridMultilevel"/>
    <w:tmpl w:val="0FCEB126"/>
    <w:lvl w:ilvl="0" w:tplc="816210BC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7D2A1773"/>
    <w:multiLevelType w:val="hybridMultilevel"/>
    <w:tmpl w:val="A518F4BE"/>
    <w:lvl w:ilvl="0" w:tplc="DDAA6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0"/>
  </w:num>
  <w:num w:numId="14">
    <w:abstractNumId w:val="31"/>
  </w:num>
  <w:num w:numId="15">
    <w:abstractNumId w:val="15"/>
  </w:num>
  <w:num w:numId="16">
    <w:abstractNumId w:val="11"/>
  </w:num>
  <w:num w:numId="17">
    <w:abstractNumId w:val="33"/>
  </w:num>
  <w:num w:numId="18">
    <w:abstractNumId w:val="24"/>
  </w:num>
  <w:num w:numId="19">
    <w:abstractNumId w:val="13"/>
  </w:num>
  <w:num w:numId="20">
    <w:abstractNumId w:val="27"/>
  </w:num>
  <w:num w:numId="21">
    <w:abstractNumId w:val="17"/>
  </w:num>
  <w:num w:numId="22">
    <w:abstractNumId w:val="14"/>
  </w:num>
  <w:num w:numId="23">
    <w:abstractNumId w:val="16"/>
  </w:num>
  <w:num w:numId="24">
    <w:abstractNumId w:val="26"/>
  </w:num>
  <w:num w:numId="25">
    <w:abstractNumId w:val="28"/>
  </w:num>
  <w:num w:numId="26">
    <w:abstractNumId w:val="29"/>
  </w:num>
  <w:num w:numId="27">
    <w:abstractNumId w:val="35"/>
  </w:num>
  <w:num w:numId="28">
    <w:abstractNumId w:val="25"/>
  </w:num>
  <w:num w:numId="29">
    <w:abstractNumId w:val="20"/>
  </w:num>
  <w:num w:numId="30">
    <w:abstractNumId w:val="34"/>
  </w:num>
  <w:num w:numId="31">
    <w:abstractNumId w:val="18"/>
  </w:num>
  <w:num w:numId="32">
    <w:abstractNumId w:val="32"/>
  </w:num>
  <w:num w:numId="33">
    <w:abstractNumId w:val="21"/>
  </w:num>
  <w:num w:numId="34">
    <w:abstractNumId w:val="12"/>
  </w:num>
  <w:num w:numId="35">
    <w:abstractNumId w:val="23"/>
  </w:num>
  <w:num w:numId="36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4B0B"/>
    <w:rsid w:val="00006600"/>
    <w:rsid w:val="000105B7"/>
    <w:rsid w:val="00010DB3"/>
    <w:rsid w:val="00015A1E"/>
    <w:rsid w:val="00027F2A"/>
    <w:rsid w:val="0003260B"/>
    <w:rsid w:val="0003380C"/>
    <w:rsid w:val="00044167"/>
    <w:rsid w:val="000458D9"/>
    <w:rsid w:val="0005011F"/>
    <w:rsid w:val="00050F6B"/>
    <w:rsid w:val="0005111B"/>
    <w:rsid w:val="0005570C"/>
    <w:rsid w:val="00064F24"/>
    <w:rsid w:val="00067C1A"/>
    <w:rsid w:val="000719CE"/>
    <w:rsid w:val="00071BC5"/>
    <w:rsid w:val="000726F2"/>
    <w:rsid w:val="00072C8C"/>
    <w:rsid w:val="000732CC"/>
    <w:rsid w:val="00073E97"/>
    <w:rsid w:val="00075CBF"/>
    <w:rsid w:val="0007718E"/>
    <w:rsid w:val="000814A8"/>
    <w:rsid w:val="000869B4"/>
    <w:rsid w:val="00086BA4"/>
    <w:rsid w:val="00091419"/>
    <w:rsid w:val="00092DE4"/>
    <w:rsid w:val="000931C0"/>
    <w:rsid w:val="000950E9"/>
    <w:rsid w:val="00097A34"/>
    <w:rsid w:val="000A0405"/>
    <w:rsid w:val="000A2E07"/>
    <w:rsid w:val="000A3ADF"/>
    <w:rsid w:val="000A4318"/>
    <w:rsid w:val="000A607C"/>
    <w:rsid w:val="000A71A2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27B4"/>
    <w:rsid w:val="000E572A"/>
    <w:rsid w:val="000F0909"/>
    <w:rsid w:val="000F143A"/>
    <w:rsid w:val="000F1D1F"/>
    <w:rsid w:val="000F5FF7"/>
    <w:rsid w:val="00103C0E"/>
    <w:rsid w:val="00114E72"/>
    <w:rsid w:val="00117787"/>
    <w:rsid w:val="00120F5D"/>
    <w:rsid w:val="00125758"/>
    <w:rsid w:val="00125775"/>
    <w:rsid w:val="001266BA"/>
    <w:rsid w:val="00131D42"/>
    <w:rsid w:val="0014496C"/>
    <w:rsid w:val="00144FC4"/>
    <w:rsid w:val="0015653A"/>
    <w:rsid w:val="0016063F"/>
    <w:rsid w:val="00160BC1"/>
    <w:rsid w:val="001633FB"/>
    <w:rsid w:val="00166B07"/>
    <w:rsid w:val="00177434"/>
    <w:rsid w:val="00187869"/>
    <w:rsid w:val="00190361"/>
    <w:rsid w:val="0019061B"/>
    <w:rsid w:val="00191BE2"/>
    <w:rsid w:val="001967AB"/>
    <w:rsid w:val="001A6691"/>
    <w:rsid w:val="001B0DDE"/>
    <w:rsid w:val="001B10FC"/>
    <w:rsid w:val="001B4B04"/>
    <w:rsid w:val="001B574E"/>
    <w:rsid w:val="001C6663"/>
    <w:rsid w:val="001C7895"/>
    <w:rsid w:val="001D0C12"/>
    <w:rsid w:val="001D26DF"/>
    <w:rsid w:val="001D2FDC"/>
    <w:rsid w:val="001D2FE8"/>
    <w:rsid w:val="001D75E8"/>
    <w:rsid w:val="001E3023"/>
    <w:rsid w:val="001F1227"/>
    <w:rsid w:val="001F57B4"/>
    <w:rsid w:val="002112FE"/>
    <w:rsid w:val="00211CD6"/>
    <w:rsid w:val="00211E0B"/>
    <w:rsid w:val="00225D08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5778"/>
    <w:rsid w:val="002B79CF"/>
    <w:rsid w:val="002B7D6F"/>
    <w:rsid w:val="002C54A4"/>
    <w:rsid w:val="002C7649"/>
    <w:rsid w:val="002D7530"/>
    <w:rsid w:val="002E040D"/>
    <w:rsid w:val="002E4E12"/>
    <w:rsid w:val="002E7C35"/>
    <w:rsid w:val="002F0918"/>
    <w:rsid w:val="002F1234"/>
    <w:rsid w:val="00302963"/>
    <w:rsid w:val="00303816"/>
    <w:rsid w:val="003107FA"/>
    <w:rsid w:val="00310B32"/>
    <w:rsid w:val="00316C13"/>
    <w:rsid w:val="00320A76"/>
    <w:rsid w:val="003229D8"/>
    <w:rsid w:val="00322F52"/>
    <w:rsid w:val="00323BE7"/>
    <w:rsid w:val="003262BE"/>
    <w:rsid w:val="003311AD"/>
    <w:rsid w:val="003323B3"/>
    <w:rsid w:val="00333732"/>
    <w:rsid w:val="0034522A"/>
    <w:rsid w:val="00347184"/>
    <w:rsid w:val="003570B2"/>
    <w:rsid w:val="003611C0"/>
    <w:rsid w:val="00372BDC"/>
    <w:rsid w:val="00373815"/>
    <w:rsid w:val="00374763"/>
    <w:rsid w:val="00381262"/>
    <w:rsid w:val="00390C04"/>
    <w:rsid w:val="0039277A"/>
    <w:rsid w:val="00396C00"/>
    <w:rsid w:val="003972E0"/>
    <w:rsid w:val="003A358E"/>
    <w:rsid w:val="003B4359"/>
    <w:rsid w:val="003B47CC"/>
    <w:rsid w:val="003C2CC4"/>
    <w:rsid w:val="003C6BA6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741B"/>
    <w:rsid w:val="004179D7"/>
    <w:rsid w:val="004325CB"/>
    <w:rsid w:val="00437F3F"/>
    <w:rsid w:val="0044017E"/>
    <w:rsid w:val="00442686"/>
    <w:rsid w:val="0044679E"/>
    <w:rsid w:val="00446C28"/>
    <w:rsid w:val="00446DE4"/>
    <w:rsid w:val="004479B5"/>
    <w:rsid w:val="00450B3A"/>
    <w:rsid w:val="00451CCB"/>
    <w:rsid w:val="004522E0"/>
    <w:rsid w:val="004624AF"/>
    <w:rsid w:val="00464C2B"/>
    <w:rsid w:val="0047319B"/>
    <w:rsid w:val="004735FB"/>
    <w:rsid w:val="00475444"/>
    <w:rsid w:val="0049223B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C6E3D"/>
    <w:rsid w:val="004E1150"/>
    <w:rsid w:val="004E4DCE"/>
    <w:rsid w:val="00500DCD"/>
    <w:rsid w:val="00512574"/>
    <w:rsid w:val="005149A9"/>
    <w:rsid w:val="00515763"/>
    <w:rsid w:val="0051609A"/>
    <w:rsid w:val="005206A2"/>
    <w:rsid w:val="005248FF"/>
    <w:rsid w:val="0052704D"/>
    <w:rsid w:val="00527910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90144"/>
    <w:rsid w:val="00592C65"/>
    <w:rsid w:val="005A1FEB"/>
    <w:rsid w:val="005A37A2"/>
    <w:rsid w:val="005A77C6"/>
    <w:rsid w:val="005A78F9"/>
    <w:rsid w:val="005B2C26"/>
    <w:rsid w:val="005B3614"/>
    <w:rsid w:val="005B3DB3"/>
    <w:rsid w:val="005B6EC0"/>
    <w:rsid w:val="005B6FA9"/>
    <w:rsid w:val="005D1C0C"/>
    <w:rsid w:val="005D407C"/>
    <w:rsid w:val="005D7FBA"/>
    <w:rsid w:val="005E29AE"/>
    <w:rsid w:val="005E6C20"/>
    <w:rsid w:val="00611FC4"/>
    <w:rsid w:val="0061401C"/>
    <w:rsid w:val="006176FB"/>
    <w:rsid w:val="0063330C"/>
    <w:rsid w:val="00633C10"/>
    <w:rsid w:val="0063419C"/>
    <w:rsid w:val="00634398"/>
    <w:rsid w:val="00640B26"/>
    <w:rsid w:val="00641876"/>
    <w:rsid w:val="00647621"/>
    <w:rsid w:val="00650267"/>
    <w:rsid w:val="00657AC6"/>
    <w:rsid w:val="00664F8E"/>
    <w:rsid w:val="00677B40"/>
    <w:rsid w:val="00682466"/>
    <w:rsid w:val="0068393D"/>
    <w:rsid w:val="006A0AE9"/>
    <w:rsid w:val="006A7392"/>
    <w:rsid w:val="006B3590"/>
    <w:rsid w:val="006B7406"/>
    <w:rsid w:val="006B79A2"/>
    <w:rsid w:val="006C0D34"/>
    <w:rsid w:val="006C129C"/>
    <w:rsid w:val="006C1C4A"/>
    <w:rsid w:val="006C51B3"/>
    <w:rsid w:val="006D1BA6"/>
    <w:rsid w:val="006D7899"/>
    <w:rsid w:val="006D7D5F"/>
    <w:rsid w:val="006E564B"/>
    <w:rsid w:val="006E7B3F"/>
    <w:rsid w:val="00707A67"/>
    <w:rsid w:val="0071233A"/>
    <w:rsid w:val="00716D0F"/>
    <w:rsid w:val="00723B8F"/>
    <w:rsid w:val="00725764"/>
    <w:rsid w:val="0072632A"/>
    <w:rsid w:val="007405D2"/>
    <w:rsid w:val="007428A0"/>
    <w:rsid w:val="0075177E"/>
    <w:rsid w:val="00757A17"/>
    <w:rsid w:val="0076099B"/>
    <w:rsid w:val="0077383A"/>
    <w:rsid w:val="00790791"/>
    <w:rsid w:val="007909EA"/>
    <w:rsid w:val="007920A5"/>
    <w:rsid w:val="00795779"/>
    <w:rsid w:val="007965B5"/>
    <w:rsid w:val="00796B95"/>
    <w:rsid w:val="007B3D26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42D7"/>
    <w:rsid w:val="008274C8"/>
    <w:rsid w:val="00832905"/>
    <w:rsid w:val="00842FAF"/>
    <w:rsid w:val="00844A23"/>
    <w:rsid w:val="008553AE"/>
    <w:rsid w:val="008566E6"/>
    <w:rsid w:val="008616E6"/>
    <w:rsid w:val="0086798F"/>
    <w:rsid w:val="00871FD5"/>
    <w:rsid w:val="0087202A"/>
    <w:rsid w:val="008749E1"/>
    <w:rsid w:val="008900F3"/>
    <w:rsid w:val="00891033"/>
    <w:rsid w:val="0089467C"/>
    <w:rsid w:val="00894AA2"/>
    <w:rsid w:val="008979B1"/>
    <w:rsid w:val="008A2299"/>
    <w:rsid w:val="008A6B25"/>
    <w:rsid w:val="008A6C4F"/>
    <w:rsid w:val="008A7362"/>
    <w:rsid w:val="008B0C07"/>
    <w:rsid w:val="008B2E94"/>
    <w:rsid w:val="008C1535"/>
    <w:rsid w:val="008C6B1B"/>
    <w:rsid w:val="008C7A1A"/>
    <w:rsid w:val="008D44E2"/>
    <w:rsid w:val="008E0E46"/>
    <w:rsid w:val="008E1D4C"/>
    <w:rsid w:val="008F36A7"/>
    <w:rsid w:val="008F42F2"/>
    <w:rsid w:val="00905AEA"/>
    <w:rsid w:val="00910229"/>
    <w:rsid w:val="00910E37"/>
    <w:rsid w:val="009145E5"/>
    <w:rsid w:val="00915E24"/>
    <w:rsid w:val="009174F9"/>
    <w:rsid w:val="009178F6"/>
    <w:rsid w:val="00920726"/>
    <w:rsid w:val="00924330"/>
    <w:rsid w:val="0093457E"/>
    <w:rsid w:val="00945A5D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F46"/>
    <w:rsid w:val="009D7741"/>
    <w:rsid w:val="009E2874"/>
    <w:rsid w:val="009E35FF"/>
    <w:rsid w:val="009E587B"/>
    <w:rsid w:val="00A12267"/>
    <w:rsid w:val="00A1427D"/>
    <w:rsid w:val="00A1631F"/>
    <w:rsid w:val="00A22441"/>
    <w:rsid w:val="00A2493F"/>
    <w:rsid w:val="00A24E0D"/>
    <w:rsid w:val="00A25434"/>
    <w:rsid w:val="00A27584"/>
    <w:rsid w:val="00A3317D"/>
    <w:rsid w:val="00A3734E"/>
    <w:rsid w:val="00A40281"/>
    <w:rsid w:val="00A4449F"/>
    <w:rsid w:val="00A475B8"/>
    <w:rsid w:val="00A52017"/>
    <w:rsid w:val="00A549AB"/>
    <w:rsid w:val="00A6043B"/>
    <w:rsid w:val="00A64ED3"/>
    <w:rsid w:val="00A66610"/>
    <w:rsid w:val="00A679F9"/>
    <w:rsid w:val="00A7181F"/>
    <w:rsid w:val="00A72F22"/>
    <w:rsid w:val="00A748A6"/>
    <w:rsid w:val="00A7523F"/>
    <w:rsid w:val="00A75EC9"/>
    <w:rsid w:val="00A76B37"/>
    <w:rsid w:val="00A80FD5"/>
    <w:rsid w:val="00A81CD3"/>
    <w:rsid w:val="00A879A4"/>
    <w:rsid w:val="00AA022C"/>
    <w:rsid w:val="00AA2DB2"/>
    <w:rsid w:val="00AB390A"/>
    <w:rsid w:val="00AC0EEF"/>
    <w:rsid w:val="00AC1F60"/>
    <w:rsid w:val="00AC3364"/>
    <w:rsid w:val="00AC38F2"/>
    <w:rsid w:val="00AC7451"/>
    <w:rsid w:val="00AD4C3F"/>
    <w:rsid w:val="00AE2BC1"/>
    <w:rsid w:val="00AE313E"/>
    <w:rsid w:val="00AE3359"/>
    <w:rsid w:val="00AE3791"/>
    <w:rsid w:val="00AF1489"/>
    <w:rsid w:val="00AF248C"/>
    <w:rsid w:val="00B0125E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45D52"/>
    <w:rsid w:val="00B57B8C"/>
    <w:rsid w:val="00B62799"/>
    <w:rsid w:val="00B65BD4"/>
    <w:rsid w:val="00B742AE"/>
    <w:rsid w:val="00B7575E"/>
    <w:rsid w:val="00B76D98"/>
    <w:rsid w:val="00B77B26"/>
    <w:rsid w:val="00B80DD3"/>
    <w:rsid w:val="00B8100A"/>
    <w:rsid w:val="00B81E12"/>
    <w:rsid w:val="00B8308C"/>
    <w:rsid w:val="00B84410"/>
    <w:rsid w:val="00B87A6B"/>
    <w:rsid w:val="00B90984"/>
    <w:rsid w:val="00B910C6"/>
    <w:rsid w:val="00B93068"/>
    <w:rsid w:val="00B96106"/>
    <w:rsid w:val="00BA4AAC"/>
    <w:rsid w:val="00BA611E"/>
    <w:rsid w:val="00BB3979"/>
    <w:rsid w:val="00BB6685"/>
    <w:rsid w:val="00BC4804"/>
    <w:rsid w:val="00BC553A"/>
    <w:rsid w:val="00BC5CF4"/>
    <w:rsid w:val="00BC74E9"/>
    <w:rsid w:val="00BD4242"/>
    <w:rsid w:val="00BD42B2"/>
    <w:rsid w:val="00BE618E"/>
    <w:rsid w:val="00C01730"/>
    <w:rsid w:val="00C12FE8"/>
    <w:rsid w:val="00C17582"/>
    <w:rsid w:val="00C20E3D"/>
    <w:rsid w:val="00C23226"/>
    <w:rsid w:val="00C3461F"/>
    <w:rsid w:val="00C4186E"/>
    <w:rsid w:val="00C41C15"/>
    <w:rsid w:val="00C463DD"/>
    <w:rsid w:val="00C46E2A"/>
    <w:rsid w:val="00C60D9F"/>
    <w:rsid w:val="00C60DCD"/>
    <w:rsid w:val="00C626EA"/>
    <w:rsid w:val="00C62F76"/>
    <w:rsid w:val="00C64CF9"/>
    <w:rsid w:val="00C67F22"/>
    <w:rsid w:val="00C72209"/>
    <w:rsid w:val="00C745C3"/>
    <w:rsid w:val="00C835F0"/>
    <w:rsid w:val="00C85F9B"/>
    <w:rsid w:val="00C86850"/>
    <w:rsid w:val="00CA1406"/>
    <w:rsid w:val="00CA1CBE"/>
    <w:rsid w:val="00CA5C02"/>
    <w:rsid w:val="00CB333A"/>
    <w:rsid w:val="00CB4C9D"/>
    <w:rsid w:val="00CB6A95"/>
    <w:rsid w:val="00CC18B3"/>
    <w:rsid w:val="00CC23F0"/>
    <w:rsid w:val="00CD42C3"/>
    <w:rsid w:val="00CD68B3"/>
    <w:rsid w:val="00CE4A8F"/>
    <w:rsid w:val="00CE58B6"/>
    <w:rsid w:val="00CE5C4D"/>
    <w:rsid w:val="00CE7E5D"/>
    <w:rsid w:val="00CF4639"/>
    <w:rsid w:val="00CF6553"/>
    <w:rsid w:val="00CF7C69"/>
    <w:rsid w:val="00CF7FCE"/>
    <w:rsid w:val="00D00E69"/>
    <w:rsid w:val="00D01ACC"/>
    <w:rsid w:val="00D02365"/>
    <w:rsid w:val="00D04934"/>
    <w:rsid w:val="00D0609D"/>
    <w:rsid w:val="00D101E9"/>
    <w:rsid w:val="00D11828"/>
    <w:rsid w:val="00D13382"/>
    <w:rsid w:val="00D2031B"/>
    <w:rsid w:val="00D2387E"/>
    <w:rsid w:val="00D25FE2"/>
    <w:rsid w:val="00D31C20"/>
    <w:rsid w:val="00D3794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4DB1"/>
    <w:rsid w:val="00D9208C"/>
    <w:rsid w:val="00D95849"/>
    <w:rsid w:val="00D96CC5"/>
    <w:rsid w:val="00D978C6"/>
    <w:rsid w:val="00DA67AD"/>
    <w:rsid w:val="00DA71EC"/>
    <w:rsid w:val="00DB0284"/>
    <w:rsid w:val="00DB0442"/>
    <w:rsid w:val="00DB281B"/>
    <w:rsid w:val="00DB4C88"/>
    <w:rsid w:val="00DC16B9"/>
    <w:rsid w:val="00DC1797"/>
    <w:rsid w:val="00DD342D"/>
    <w:rsid w:val="00DD41E5"/>
    <w:rsid w:val="00DD70B8"/>
    <w:rsid w:val="00DE004C"/>
    <w:rsid w:val="00DE19A0"/>
    <w:rsid w:val="00DE4184"/>
    <w:rsid w:val="00DE5A50"/>
    <w:rsid w:val="00DF0081"/>
    <w:rsid w:val="00DF7129"/>
    <w:rsid w:val="00E011D0"/>
    <w:rsid w:val="00E049CA"/>
    <w:rsid w:val="00E130AB"/>
    <w:rsid w:val="00E154D5"/>
    <w:rsid w:val="00E15862"/>
    <w:rsid w:val="00E21A5F"/>
    <w:rsid w:val="00E23CEE"/>
    <w:rsid w:val="00E24107"/>
    <w:rsid w:val="00E26B83"/>
    <w:rsid w:val="00E274C0"/>
    <w:rsid w:val="00E305E0"/>
    <w:rsid w:val="00E35BAA"/>
    <w:rsid w:val="00E40163"/>
    <w:rsid w:val="00E4194D"/>
    <w:rsid w:val="00E44882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A5271"/>
    <w:rsid w:val="00EB6541"/>
    <w:rsid w:val="00EB6832"/>
    <w:rsid w:val="00EC42EA"/>
    <w:rsid w:val="00EC5D78"/>
    <w:rsid w:val="00EC7379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23940"/>
    <w:rsid w:val="00F2547A"/>
    <w:rsid w:val="00F302DA"/>
    <w:rsid w:val="00F40E75"/>
    <w:rsid w:val="00F416AA"/>
    <w:rsid w:val="00F45C14"/>
    <w:rsid w:val="00F45D1A"/>
    <w:rsid w:val="00F475EB"/>
    <w:rsid w:val="00F5272A"/>
    <w:rsid w:val="00F54674"/>
    <w:rsid w:val="00F54DDA"/>
    <w:rsid w:val="00F57710"/>
    <w:rsid w:val="00F6331D"/>
    <w:rsid w:val="00F660F2"/>
    <w:rsid w:val="00F72912"/>
    <w:rsid w:val="00F739F6"/>
    <w:rsid w:val="00F73E3B"/>
    <w:rsid w:val="00F74124"/>
    <w:rsid w:val="00F85D7A"/>
    <w:rsid w:val="00F873E7"/>
    <w:rsid w:val="00F93B34"/>
    <w:rsid w:val="00F957FD"/>
    <w:rsid w:val="00FA54B1"/>
    <w:rsid w:val="00FB6DCF"/>
    <w:rsid w:val="00FB7905"/>
    <w:rsid w:val="00FC0AAF"/>
    <w:rsid w:val="00FC3415"/>
    <w:rsid w:val="00FC68B7"/>
    <w:rsid w:val="00FD2AAF"/>
    <w:rsid w:val="00FD6B2B"/>
    <w:rsid w:val="00FE0B49"/>
    <w:rsid w:val="00FE4A81"/>
    <w:rsid w:val="00FE752E"/>
    <w:rsid w:val="00FF03BB"/>
    <w:rsid w:val="00FF557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A63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C4A54-3059-40B4-88E4-0FE5BE49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2016-06-14T13:21:00Z</cp:lastPrinted>
  <dcterms:created xsi:type="dcterms:W3CDTF">2016-06-14T13:18:00Z</dcterms:created>
  <dcterms:modified xsi:type="dcterms:W3CDTF">2016-06-14T13:22:00Z</dcterms:modified>
</cp:coreProperties>
</file>