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6220BD" w:rsidTr="00CF376E">
        <w:trPr>
          <w:cantSplit/>
          <w:trHeight w:hRule="exact" w:val="851"/>
        </w:trPr>
        <w:tc>
          <w:tcPr>
            <w:tcW w:w="9639" w:type="dxa"/>
            <w:tcBorders>
              <w:bottom w:val="single" w:sz="4" w:space="0" w:color="auto"/>
            </w:tcBorders>
            <w:vAlign w:val="bottom"/>
          </w:tcPr>
          <w:p w:rsidR="00ED4C0B" w:rsidRPr="006220BD" w:rsidRDefault="00ED4C0B" w:rsidP="004C5648">
            <w:pPr>
              <w:jc w:val="right"/>
              <w:rPr>
                <w:b/>
                <w:sz w:val="40"/>
                <w:szCs w:val="40"/>
              </w:rPr>
            </w:pPr>
            <w:r w:rsidRPr="006220BD">
              <w:rPr>
                <w:b/>
                <w:sz w:val="40"/>
                <w:szCs w:val="40"/>
              </w:rPr>
              <w:t>UN/SCETDG/4</w:t>
            </w:r>
            <w:r w:rsidR="00E9678C" w:rsidRPr="006220BD">
              <w:rPr>
                <w:b/>
                <w:sz w:val="40"/>
                <w:szCs w:val="40"/>
              </w:rPr>
              <w:t>9</w:t>
            </w:r>
            <w:r w:rsidRPr="006220BD">
              <w:rPr>
                <w:b/>
                <w:sz w:val="40"/>
                <w:szCs w:val="40"/>
              </w:rPr>
              <w:t>/INF.</w:t>
            </w:r>
            <w:r w:rsidR="004C5648">
              <w:rPr>
                <w:b/>
                <w:sz w:val="40"/>
                <w:szCs w:val="40"/>
              </w:rPr>
              <w:t>26</w:t>
            </w:r>
          </w:p>
        </w:tc>
      </w:tr>
      <w:tr w:rsidR="00ED4C0B" w:rsidRPr="006220BD" w:rsidTr="00CF376E">
        <w:trPr>
          <w:cantSplit/>
          <w:trHeight w:val="2456"/>
        </w:trPr>
        <w:tc>
          <w:tcPr>
            <w:tcW w:w="9639" w:type="dxa"/>
            <w:tcBorders>
              <w:top w:val="single" w:sz="4" w:space="0" w:color="auto"/>
            </w:tcBorders>
          </w:tcPr>
          <w:p w:rsidR="00ED4C0B" w:rsidRPr="006220BD" w:rsidRDefault="00ED4C0B" w:rsidP="00CF376E">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rsidR="00ED4C0B" w:rsidRPr="006220BD" w:rsidRDefault="00ED4C0B" w:rsidP="00740FD7">
            <w:pPr>
              <w:tabs>
                <w:tab w:val="left" w:pos="7920"/>
              </w:tabs>
              <w:spacing w:before="120"/>
              <w:rPr>
                <w:b/>
              </w:rPr>
            </w:pPr>
            <w:r w:rsidRPr="006220BD">
              <w:rPr>
                <w:b/>
              </w:rPr>
              <w:t>Sub-Committee of Experts on the Transport of Dangerous Goods</w:t>
            </w:r>
            <w:r w:rsidRPr="006220BD">
              <w:rPr>
                <w:b/>
              </w:rPr>
              <w:tab/>
            </w:r>
            <w:r w:rsidR="004C5648">
              <w:rPr>
                <w:b/>
              </w:rPr>
              <w:t>14</w:t>
            </w:r>
            <w:r w:rsidR="005452EB">
              <w:rPr>
                <w:b/>
              </w:rPr>
              <w:t xml:space="preserve"> June</w:t>
            </w:r>
            <w:r w:rsidR="00314BF3" w:rsidRPr="006220BD">
              <w:rPr>
                <w:b/>
              </w:rPr>
              <w:t xml:space="preserve"> </w:t>
            </w:r>
            <w:r w:rsidRPr="006220BD">
              <w:rPr>
                <w:b/>
              </w:rPr>
              <w:t>201</w:t>
            </w:r>
            <w:r w:rsidR="00911775" w:rsidRPr="006220BD">
              <w:rPr>
                <w:b/>
              </w:rPr>
              <w:t>6</w:t>
            </w:r>
          </w:p>
          <w:p w:rsidR="00ED4C0B" w:rsidRPr="006220BD" w:rsidRDefault="00BE18CC" w:rsidP="00CF376E">
            <w:pPr>
              <w:spacing w:before="120"/>
              <w:rPr>
                <w:b/>
              </w:rPr>
            </w:pPr>
            <w:r w:rsidRPr="006220BD">
              <w:rPr>
                <w:b/>
              </w:rPr>
              <w:t>Forty-</w:t>
            </w:r>
            <w:r w:rsidR="00E9678C" w:rsidRPr="006220BD">
              <w:rPr>
                <w:b/>
              </w:rPr>
              <w:t>ninth</w:t>
            </w:r>
            <w:r w:rsidRPr="006220BD">
              <w:rPr>
                <w:b/>
              </w:rPr>
              <w:t xml:space="preserve"> session</w:t>
            </w:r>
          </w:p>
          <w:p w:rsidR="00ED4C0B" w:rsidRPr="006220BD" w:rsidRDefault="00ED4C0B" w:rsidP="00CF376E">
            <w:r w:rsidRPr="006220BD">
              <w:t xml:space="preserve">Geneva, </w:t>
            </w:r>
            <w:r w:rsidR="00E9678C" w:rsidRPr="006220BD">
              <w:t>27 June</w:t>
            </w:r>
            <w:r w:rsidR="00520847" w:rsidRPr="006220BD">
              <w:t xml:space="preserve"> </w:t>
            </w:r>
            <w:r w:rsidRPr="006220BD">
              <w:t>–</w:t>
            </w:r>
            <w:r w:rsidR="00520847" w:rsidRPr="006220BD">
              <w:t xml:space="preserve"> </w:t>
            </w:r>
            <w:r w:rsidR="00E9678C" w:rsidRPr="006220BD">
              <w:t>06</w:t>
            </w:r>
            <w:r w:rsidR="004345E0" w:rsidRPr="006220BD">
              <w:t xml:space="preserve"> </w:t>
            </w:r>
            <w:r w:rsidR="00E9678C" w:rsidRPr="006220BD">
              <w:t xml:space="preserve">July </w:t>
            </w:r>
            <w:r w:rsidRPr="006220BD">
              <w:t>201</w:t>
            </w:r>
          </w:p>
          <w:p w:rsidR="003F4773" w:rsidRPr="006220BD" w:rsidRDefault="00610992" w:rsidP="006861C4">
            <w:pPr>
              <w:pStyle w:val="Default"/>
              <w:rPr>
                <w:sz w:val="20"/>
                <w:szCs w:val="20"/>
              </w:rPr>
            </w:pPr>
            <w:r w:rsidRPr="006220BD">
              <w:rPr>
                <w:sz w:val="20"/>
                <w:szCs w:val="20"/>
              </w:rPr>
              <w:t xml:space="preserve">Item </w:t>
            </w:r>
            <w:r w:rsidR="005452EB">
              <w:rPr>
                <w:sz w:val="20"/>
                <w:szCs w:val="20"/>
              </w:rPr>
              <w:t>6</w:t>
            </w:r>
            <w:r w:rsidR="0078662B">
              <w:rPr>
                <w:sz w:val="20"/>
                <w:szCs w:val="20"/>
              </w:rPr>
              <w:t xml:space="preserve"> (</w:t>
            </w:r>
            <w:r w:rsidR="005452EB">
              <w:rPr>
                <w:sz w:val="20"/>
                <w:szCs w:val="20"/>
              </w:rPr>
              <w:t>a</w:t>
            </w:r>
            <w:r w:rsidR="0078662B">
              <w:rPr>
                <w:sz w:val="20"/>
                <w:szCs w:val="20"/>
              </w:rPr>
              <w:t>)</w:t>
            </w:r>
            <w:r w:rsidR="006861C4" w:rsidRPr="006220BD">
              <w:rPr>
                <w:sz w:val="20"/>
                <w:szCs w:val="20"/>
              </w:rPr>
              <w:t xml:space="preserve"> </w:t>
            </w:r>
            <w:r w:rsidR="003F4773" w:rsidRPr="006220BD">
              <w:rPr>
                <w:sz w:val="20"/>
                <w:szCs w:val="20"/>
              </w:rPr>
              <w:t>of the provisional agenda</w:t>
            </w:r>
          </w:p>
          <w:p w:rsidR="005452EB" w:rsidRPr="0078662B" w:rsidRDefault="005452EB" w:rsidP="00E91C51">
            <w:pPr>
              <w:spacing w:after="120"/>
              <w:rPr>
                <w:b/>
              </w:rPr>
            </w:pPr>
            <w:r>
              <w:rPr>
                <w:b/>
              </w:rPr>
              <w:t>M</w:t>
            </w:r>
            <w:r w:rsidR="0078662B" w:rsidRPr="0078662B">
              <w:rPr>
                <w:b/>
              </w:rPr>
              <w:t>iscellaneous</w:t>
            </w:r>
            <w:r>
              <w:rPr>
                <w:b/>
              </w:rPr>
              <w:t xml:space="preserve"> proposals for amendments for the Model Regulations</w:t>
            </w:r>
            <w:r>
              <w:rPr>
                <w:b/>
              </w:rPr>
              <w:br/>
              <w:t>on the Transport of Dangerous Goods: dangerous goods in machinery, apparatus or articles, N.O.S.</w:t>
            </w:r>
          </w:p>
        </w:tc>
      </w:tr>
    </w:tbl>
    <w:p w:rsidR="00FD20F3" w:rsidRPr="009432DB" w:rsidRDefault="00FD20F3" w:rsidP="00E91C51">
      <w:pPr>
        <w:pStyle w:val="HChG"/>
      </w:pPr>
      <w:r>
        <w:tab/>
      </w:r>
      <w:r>
        <w:tab/>
      </w:r>
      <w:r w:rsidR="005452EB">
        <w:rPr>
          <w:lang w:val="en-US"/>
        </w:rPr>
        <w:t>Remarks on ST/SG/AC.10/C.3/2016/34 D</w:t>
      </w:r>
      <w:r w:rsidR="005452EB" w:rsidRPr="005452EB">
        <w:t xml:space="preserve">angerous goods in machinery, apparatus or articles, N.O.S </w:t>
      </w:r>
    </w:p>
    <w:p w:rsidR="00FD20F3" w:rsidRPr="00CC4C79" w:rsidRDefault="00FD20F3" w:rsidP="00E91C51">
      <w:pPr>
        <w:pStyle w:val="H1G"/>
      </w:pPr>
      <w:r w:rsidRPr="00E73F7D">
        <w:rPr>
          <w:szCs w:val="28"/>
        </w:rPr>
        <w:tab/>
      </w:r>
      <w:r w:rsidRPr="00E73F7D">
        <w:rPr>
          <w:szCs w:val="28"/>
        </w:rPr>
        <w:tab/>
      </w:r>
      <w:r w:rsidR="0078662B">
        <w:t xml:space="preserve">Transmitted by </w:t>
      </w:r>
      <w:r w:rsidR="005452EB">
        <w:t>the expert from the Netherlands</w:t>
      </w:r>
    </w:p>
    <w:p w:rsidR="00FD20F3" w:rsidRPr="005452EB" w:rsidRDefault="00FD20F3" w:rsidP="005452EB">
      <w:pPr>
        <w:pStyle w:val="HChG"/>
        <w:rPr>
          <w:lang w:val="en-US"/>
        </w:rPr>
      </w:pPr>
      <w:r w:rsidRPr="00E73F7D">
        <w:tab/>
      </w:r>
      <w:r w:rsidRPr="00E73F7D">
        <w:tab/>
      </w:r>
      <w:r w:rsidRPr="00E91C51">
        <w:t>Introduction</w:t>
      </w:r>
      <w:r>
        <w:t xml:space="preserve"> </w:t>
      </w:r>
    </w:p>
    <w:p w:rsidR="00B74130" w:rsidRPr="00507F85" w:rsidRDefault="005452EB" w:rsidP="004C5648">
      <w:pPr>
        <w:pStyle w:val="SingleTxtG"/>
        <w:rPr>
          <w:lang w:val="en-US"/>
        </w:rPr>
      </w:pPr>
      <w:r>
        <w:rPr>
          <w:lang w:val="en-US"/>
        </w:rPr>
        <w:t xml:space="preserve">1. </w:t>
      </w:r>
      <w:r>
        <w:rPr>
          <w:lang w:val="en-US"/>
        </w:rPr>
        <w:tab/>
      </w:r>
      <w:r w:rsidR="00507F85">
        <w:rPr>
          <w:lang w:val="en-US"/>
        </w:rPr>
        <w:t xml:space="preserve">Reference is made to </w:t>
      </w:r>
      <w:r w:rsidR="00507F85" w:rsidRPr="00507F85">
        <w:rPr>
          <w:lang w:val="en-US"/>
        </w:rPr>
        <w:t>document</w:t>
      </w:r>
      <w:r w:rsidR="00507F85">
        <w:rPr>
          <w:lang w:val="en-US"/>
        </w:rPr>
        <w:t>s</w:t>
      </w:r>
      <w:r w:rsidR="00507F85" w:rsidRPr="00507F85">
        <w:rPr>
          <w:lang w:val="en-US"/>
        </w:rPr>
        <w:t xml:space="preserve"> ST/SG/AC.10/C.3/2016/34 and </w:t>
      </w:r>
      <w:r w:rsidR="004C5648">
        <w:rPr>
          <w:lang w:val="en-US"/>
        </w:rPr>
        <w:t xml:space="preserve">informal document </w:t>
      </w:r>
      <w:r w:rsidR="00507F85" w:rsidRPr="00507F85">
        <w:rPr>
          <w:bCs/>
          <w:spacing w:val="-4"/>
        </w:rPr>
        <w:t>INF.17</w:t>
      </w:r>
      <w:r w:rsidR="00507F85">
        <w:rPr>
          <w:bCs/>
          <w:spacing w:val="-4"/>
        </w:rPr>
        <w:t xml:space="preserve"> </w:t>
      </w:r>
      <w:r w:rsidR="004C5648">
        <w:rPr>
          <w:bCs/>
          <w:spacing w:val="-4"/>
        </w:rPr>
        <w:t>(49</w:t>
      </w:r>
      <w:r w:rsidR="004C5648" w:rsidRPr="004C5648">
        <w:rPr>
          <w:bCs/>
          <w:spacing w:val="-4"/>
          <w:vertAlign w:val="superscript"/>
        </w:rPr>
        <w:t>th</w:t>
      </w:r>
      <w:r w:rsidR="004C5648">
        <w:rPr>
          <w:bCs/>
          <w:spacing w:val="-4"/>
        </w:rPr>
        <w:t xml:space="preserve"> session) </w:t>
      </w:r>
      <w:r w:rsidR="00507F85">
        <w:rPr>
          <w:bCs/>
          <w:spacing w:val="-4"/>
        </w:rPr>
        <w:t>submitted by the United Kingdom</w:t>
      </w:r>
      <w:r w:rsidR="00507F85">
        <w:rPr>
          <w:lang w:val="en-US"/>
        </w:rPr>
        <w:t xml:space="preserve">. </w:t>
      </w:r>
      <w:r w:rsidR="00B74130">
        <w:rPr>
          <w:lang w:val="en-US"/>
        </w:rPr>
        <w:t xml:space="preserve">This delegation </w:t>
      </w:r>
      <w:r w:rsidR="007E071B">
        <w:rPr>
          <w:lang w:val="en-US"/>
        </w:rPr>
        <w:t xml:space="preserve">appreciates </w:t>
      </w:r>
      <w:r w:rsidR="00507F85">
        <w:rPr>
          <w:lang w:val="en-US"/>
        </w:rPr>
        <w:t xml:space="preserve">the amount of work done by </w:t>
      </w:r>
      <w:r w:rsidRPr="00B74130">
        <w:rPr>
          <w:lang w:val="en-US"/>
        </w:rPr>
        <w:t xml:space="preserve">the United Kingdom </w:t>
      </w:r>
      <w:r w:rsidR="00507F85">
        <w:rPr>
          <w:lang w:val="en-US"/>
        </w:rPr>
        <w:t>in</w:t>
      </w:r>
      <w:r w:rsidRPr="00B74130">
        <w:rPr>
          <w:lang w:val="en-US"/>
        </w:rPr>
        <w:t xml:space="preserve"> the development of </w:t>
      </w:r>
      <w:r w:rsidR="00B74130" w:rsidRPr="00B74130">
        <w:rPr>
          <w:lang w:val="en-US"/>
        </w:rPr>
        <w:t xml:space="preserve">general </w:t>
      </w:r>
      <w:r w:rsidRPr="00507F85">
        <w:rPr>
          <w:lang w:val="en-US"/>
        </w:rPr>
        <w:t>provisions for dangerous su</w:t>
      </w:r>
      <w:r w:rsidR="00507F85">
        <w:rPr>
          <w:lang w:val="en-US"/>
        </w:rPr>
        <w:t>bstances contained in articles.</w:t>
      </w:r>
    </w:p>
    <w:p w:rsidR="00B74130" w:rsidRDefault="00B74130" w:rsidP="004C5648">
      <w:pPr>
        <w:pStyle w:val="SingleTxtG"/>
        <w:rPr>
          <w:lang w:val="en-US"/>
        </w:rPr>
      </w:pPr>
      <w:r>
        <w:rPr>
          <w:lang w:val="en-US"/>
        </w:rPr>
        <w:t>2.</w:t>
      </w:r>
      <w:r>
        <w:rPr>
          <w:lang w:val="en-US"/>
        </w:rPr>
        <w:tab/>
        <w:t>Currently,</w:t>
      </w:r>
      <w:r w:rsidRPr="004C422B">
        <w:rPr>
          <w:lang w:val="en-US"/>
        </w:rPr>
        <w:t xml:space="preserve"> </w:t>
      </w:r>
      <w:r>
        <w:rPr>
          <w:lang w:val="en-US"/>
        </w:rPr>
        <w:t xml:space="preserve">the </w:t>
      </w:r>
      <w:r w:rsidRPr="004C422B">
        <w:rPr>
          <w:lang w:val="en-US"/>
        </w:rPr>
        <w:t>appropriate</w:t>
      </w:r>
      <w:r>
        <w:rPr>
          <w:lang w:val="en-US"/>
        </w:rPr>
        <w:t xml:space="preserve"> conditions for safe</w:t>
      </w:r>
      <w:r w:rsidRPr="004C422B">
        <w:rPr>
          <w:lang w:val="en-US"/>
        </w:rPr>
        <w:t xml:space="preserve"> transport </w:t>
      </w:r>
      <w:r>
        <w:rPr>
          <w:lang w:val="en-US"/>
        </w:rPr>
        <w:t>of</w:t>
      </w:r>
      <w:r w:rsidRPr="004C422B">
        <w:rPr>
          <w:lang w:val="en-US"/>
        </w:rPr>
        <w:t xml:space="preserve"> dangerous goods contained in articles </w:t>
      </w:r>
      <w:r>
        <w:rPr>
          <w:lang w:val="en-US"/>
        </w:rPr>
        <w:t xml:space="preserve">is </w:t>
      </w:r>
      <w:r w:rsidR="00D53FF5">
        <w:rPr>
          <w:lang w:val="en-US"/>
        </w:rPr>
        <w:t xml:space="preserve">often </w:t>
      </w:r>
      <w:r>
        <w:rPr>
          <w:lang w:val="en-US"/>
        </w:rPr>
        <w:t xml:space="preserve">achieved </w:t>
      </w:r>
      <w:r w:rsidRPr="004C422B">
        <w:rPr>
          <w:lang w:val="en-US"/>
        </w:rPr>
        <w:t xml:space="preserve">by means of </w:t>
      </w:r>
      <w:r w:rsidR="00507F85">
        <w:rPr>
          <w:lang w:val="en-US"/>
        </w:rPr>
        <w:t xml:space="preserve">assigning </w:t>
      </w:r>
      <w:r w:rsidRPr="004C422B">
        <w:rPr>
          <w:lang w:val="en-US"/>
        </w:rPr>
        <w:t>specific UN numbers, special provisions or packing provisions</w:t>
      </w:r>
      <w:r>
        <w:rPr>
          <w:lang w:val="en-US"/>
        </w:rPr>
        <w:t xml:space="preserve"> that are tailored to the specific type of </w:t>
      </w:r>
      <w:r w:rsidR="00EE392B">
        <w:rPr>
          <w:lang w:val="en-US"/>
        </w:rPr>
        <w:t xml:space="preserve">hazard and </w:t>
      </w:r>
      <w:r>
        <w:rPr>
          <w:lang w:val="en-US"/>
        </w:rPr>
        <w:t>article</w:t>
      </w:r>
      <w:r w:rsidR="007E071B">
        <w:rPr>
          <w:lang w:val="en-US"/>
        </w:rPr>
        <w:t xml:space="preserve"> </w:t>
      </w:r>
      <w:r>
        <w:rPr>
          <w:lang w:val="en-US"/>
        </w:rPr>
        <w:t xml:space="preserve"> in question</w:t>
      </w:r>
      <w:r w:rsidRPr="004C422B">
        <w:rPr>
          <w:lang w:val="en-US"/>
        </w:rPr>
        <w:t xml:space="preserve">. </w:t>
      </w:r>
      <w:r w:rsidR="00D53FF5">
        <w:rPr>
          <w:lang w:val="en-US"/>
        </w:rPr>
        <w:t>W</w:t>
      </w:r>
      <w:r>
        <w:rPr>
          <w:lang w:val="en-US"/>
        </w:rPr>
        <w:t>hen generic provisions using</w:t>
      </w:r>
      <w:r w:rsidRPr="004C422B">
        <w:rPr>
          <w:lang w:val="en-US"/>
        </w:rPr>
        <w:t xml:space="preserve"> generic </w:t>
      </w:r>
      <w:r w:rsidR="00D53FF5">
        <w:rPr>
          <w:lang w:val="en-US"/>
        </w:rPr>
        <w:t>packing instructions are used</w:t>
      </w:r>
      <w:r>
        <w:rPr>
          <w:lang w:val="en-US"/>
        </w:rPr>
        <w:t xml:space="preserve"> </w:t>
      </w:r>
      <w:r w:rsidRPr="004C422B">
        <w:rPr>
          <w:lang w:val="en-US"/>
        </w:rPr>
        <w:t>for the transport of dangerous goods</w:t>
      </w:r>
      <w:r>
        <w:rPr>
          <w:lang w:val="en-US"/>
        </w:rPr>
        <w:t xml:space="preserve"> in all classes and divisions (excluding </w:t>
      </w:r>
      <w:r w:rsidR="004C43C5">
        <w:rPr>
          <w:lang w:val="en-US"/>
        </w:rPr>
        <w:t>C</w:t>
      </w:r>
      <w:r w:rsidRPr="004C422B">
        <w:rPr>
          <w:lang w:val="en-US"/>
        </w:rPr>
        <w:t>l</w:t>
      </w:r>
      <w:r>
        <w:rPr>
          <w:lang w:val="en-US"/>
        </w:rPr>
        <w:t xml:space="preserve">ass 1, </w:t>
      </w:r>
      <w:r w:rsidR="004C43C5">
        <w:rPr>
          <w:lang w:val="en-US"/>
        </w:rPr>
        <w:t>D</w:t>
      </w:r>
      <w:r>
        <w:rPr>
          <w:lang w:val="en-US"/>
        </w:rPr>
        <w:t xml:space="preserve">ivision 6.2 and </w:t>
      </w:r>
      <w:r w:rsidR="004C43C5">
        <w:rPr>
          <w:lang w:val="en-US"/>
        </w:rPr>
        <w:t>C</w:t>
      </w:r>
      <w:r>
        <w:rPr>
          <w:lang w:val="en-US"/>
        </w:rPr>
        <w:t xml:space="preserve">lass 7), </w:t>
      </w:r>
      <w:r w:rsidR="002C4376">
        <w:rPr>
          <w:lang w:val="en-US"/>
        </w:rPr>
        <w:t>comprising</w:t>
      </w:r>
      <w:r>
        <w:rPr>
          <w:lang w:val="en-US"/>
        </w:rPr>
        <w:t xml:space="preserve"> hazards ranging from PG</w:t>
      </w:r>
      <w:r w:rsidR="002D7B20">
        <w:rPr>
          <w:lang w:val="en-US"/>
        </w:rPr>
        <w:t xml:space="preserve"> </w:t>
      </w:r>
      <w:r>
        <w:rPr>
          <w:lang w:val="en-US"/>
        </w:rPr>
        <w:t>I through PG III, in quantities that can be well above the limited quantities, in articles that</w:t>
      </w:r>
      <w:r w:rsidR="00D53FF5">
        <w:rPr>
          <w:lang w:val="en-US"/>
        </w:rPr>
        <w:t xml:space="preserve"> can</w:t>
      </w:r>
      <w:r>
        <w:rPr>
          <w:lang w:val="en-US"/>
        </w:rPr>
        <w:t xml:space="preserve"> vary greatly in robustness</w:t>
      </w:r>
      <w:r w:rsidR="00D53FF5">
        <w:rPr>
          <w:lang w:val="en-US"/>
        </w:rPr>
        <w:t>, such tailor-made provisions are</w:t>
      </w:r>
      <w:r w:rsidR="00D53FF5" w:rsidRPr="004C422B">
        <w:rPr>
          <w:lang w:val="en-US"/>
        </w:rPr>
        <w:t xml:space="preserve"> no</w:t>
      </w:r>
      <w:r w:rsidR="00D53FF5">
        <w:rPr>
          <w:lang w:val="en-US"/>
        </w:rPr>
        <w:t>t</w:t>
      </w:r>
      <w:r w:rsidR="00D53FF5" w:rsidRPr="004C422B">
        <w:rPr>
          <w:lang w:val="en-US"/>
        </w:rPr>
        <w:t xml:space="preserve"> </w:t>
      </w:r>
      <w:r w:rsidR="00D53FF5">
        <w:rPr>
          <w:lang w:val="en-US"/>
        </w:rPr>
        <w:t>possible</w:t>
      </w:r>
      <w:r>
        <w:rPr>
          <w:lang w:val="en-US"/>
        </w:rPr>
        <w:t>. T</w:t>
      </w:r>
      <w:r w:rsidR="00D53FF5">
        <w:rPr>
          <w:lang w:val="en-US"/>
        </w:rPr>
        <w:t>herefore, t</w:t>
      </w:r>
      <w:r>
        <w:rPr>
          <w:lang w:val="en-US"/>
        </w:rPr>
        <w:t xml:space="preserve">he generic provisions and packing instructions </w:t>
      </w:r>
      <w:r w:rsidR="00D53FF5">
        <w:rPr>
          <w:lang w:val="en-US"/>
        </w:rPr>
        <w:t xml:space="preserve">must be sufficient </w:t>
      </w:r>
      <w:r>
        <w:rPr>
          <w:lang w:val="en-US"/>
        </w:rPr>
        <w:t xml:space="preserve">to ensure that the transport of this large variety of articles is safe, and consistent with other </w:t>
      </w:r>
      <w:r w:rsidR="00D53FF5">
        <w:rPr>
          <w:lang w:val="en-US"/>
        </w:rPr>
        <w:t>requirements of the regulations</w:t>
      </w:r>
      <w:r>
        <w:rPr>
          <w:lang w:val="en-US"/>
        </w:rPr>
        <w:t xml:space="preserve">. </w:t>
      </w:r>
    </w:p>
    <w:p w:rsidR="005452EB" w:rsidRPr="004C422B" w:rsidRDefault="00B74130" w:rsidP="004C5648">
      <w:pPr>
        <w:pStyle w:val="SingleTxtG"/>
        <w:rPr>
          <w:lang w:val="en-US"/>
        </w:rPr>
      </w:pPr>
      <w:r>
        <w:rPr>
          <w:lang w:val="en-US"/>
        </w:rPr>
        <w:t>3.</w:t>
      </w:r>
      <w:r>
        <w:rPr>
          <w:lang w:val="en-US"/>
        </w:rPr>
        <w:tab/>
      </w:r>
      <w:r w:rsidR="00D53FF5">
        <w:rPr>
          <w:lang w:val="en-US"/>
        </w:rPr>
        <w:t xml:space="preserve">This delegation has identified several aspects of the current proposal where further considerations and clarifications are needed before these general provisions are adopted. </w:t>
      </w:r>
    </w:p>
    <w:p w:rsidR="005452EB" w:rsidRPr="00B74130" w:rsidRDefault="004C5648" w:rsidP="004C5648">
      <w:pPr>
        <w:pStyle w:val="HChG"/>
        <w:rPr>
          <w:lang w:val="en-US"/>
        </w:rPr>
      </w:pPr>
      <w:r>
        <w:rPr>
          <w:lang w:val="en-US"/>
        </w:rPr>
        <w:tab/>
      </w:r>
      <w:r>
        <w:rPr>
          <w:lang w:val="en-US"/>
        </w:rPr>
        <w:tab/>
      </w:r>
      <w:r w:rsidR="00B74130">
        <w:rPr>
          <w:lang w:val="en-US"/>
        </w:rPr>
        <w:t>The p</w:t>
      </w:r>
      <w:r w:rsidR="005452EB" w:rsidRPr="005452EB">
        <w:rPr>
          <w:lang w:val="en-US"/>
        </w:rPr>
        <w:t>acking instructions</w:t>
      </w:r>
    </w:p>
    <w:p w:rsidR="005F7B4D" w:rsidRDefault="005F7B4D" w:rsidP="004C5648">
      <w:pPr>
        <w:pStyle w:val="SingleTxtG"/>
        <w:rPr>
          <w:lang w:val="en-US"/>
        </w:rPr>
      </w:pPr>
      <w:r>
        <w:rPr>
          <w:lang w:val="en-US"/>
        </w:rPr>
        <w:t>4.</w:t>
      </w:r>
      <w:r>
        <w:rPr>
          <w:lang w:val="en-US"/>
        </w:rPr>
        <w:tab/>
      </w:r>
      <w:r>
        <w:rPr>
          <w:i/>
          <w:lang w:val="en-US"/>
        </w:rPr>
        <w:t>The c</w:t>
      </w:r>
      <w:r w:rsidRPr="005F7B4D">
        <w:rPr>
          <w:i/>
          <w:lang w:val="en-US"/>
        </w:rPr>
        <w:t>hoice of packaging performance level</w:t>
      </w:r>
      <w:r>
        <w:rPr>
          <w:lang w:val="en-US"/>
        </w:rPr>
        <w:t xml:space="preserve">. The default packing group II is proposed for the wide range of articles falling under the scope of these provisions. The justification for this choice is not clear. The proposed provisions use the precedence of hazard table in 2.0.3.3 to determine the primary and secondary hazards of the goods contained in the article. Therefore, all the information is available that is necessary to use the current </w:t>
      </w:r>
      <w:r w:rsidRPr="002E7195">
        <w:rPr>
          <w:lang w:val="en-US"/>
        </w:rPr>
        <w:t>system</w:t>
      </w:r>
      <w:r>
        <w:rPr>
          <w:lang w:val="en-US"/>
        </w:rPr>
        <w:t xml:space="preserve"> of choosing packaging performance level (PG I, II or III) for the articles. </w:t>
      </w:r>
      <w:r w:rsidR="002C4376">
        <w:rPr>
          <w:lang w:val="en-US"/>
        </w:rPr>
        <w:t>This would ensure</w:t>
      </w:r>
      <w:r>
        <w:rPr>
          <w:lang w:val="en-US"/>
        </w:rPr>
        <w:t xml:space="preserve"> the same safety level </w:t>
      </w:r>
      <w:r w:rsidR="002C4376">
        <w:rPr>
          <w:lang w:val="en-US"/>
        </w:rPr>
        <w:t xml:space="preserve">for articles </w:t>
      </w:r>
      <w:r>
        <w:rPr>
          <w:lang w:val="en-US"/>
        </w:rPr>
        <w:t xml:space="preserve">as for packaged </w:t>
      </w:r>
      <w:r w:rsidR="002C4376">
        <w:rPr>
          <w:lang w:val="en-US"/>
        </w:rPr>
        <w:t>substances</w:t>
      </w:r>
      <w:r>
        <w:rPr>
          <w:lang w:val="en-US"/>
        </w:rPr>
        <w:t xml:space="preserve">. </w:t>
      </w:r>
    </w:p>
    <w:p w:rsidR="005F7B4D" w:rsidRDefault="00F4465B" w:rsidP="004C5648">
      <w:pPr>
        <w:pStyle w:val="SingleTxtG"/>
        <w:rPr>
          <w:lang w:val="en-US"/>
        </w:rPr>
      </w:pPr>
      <w:r>
        <w:rPr>
          <w:lang w:val="en-US"/>
        </w:rPr>
        <w:t>5.</w:t>
      </w:r>
      <w:r>
        <w:rPr>
          <w:lang w:val="en-US"/>
        </w:rPr>
        <w:tab/>
      </w:r>
      <w:r w:rsidR="005F7B4D">
        <w:rPr>
          <w:lang w:val="en-US"/>
        </w:rPr>
        <w:t xml:space="preserve">It is the opinion of this delegation that the current </w:t>
      </w:r>
      <w:r w:rsidR="00740990">
        <w:rPr>
          <w:lang w:val="en-US"/>
        </w:rPr>
        <w:t>method</w:t>
      </w:r>
      <w:r w:rsidR="005F7B4D">
        <w:rPr>
          <w:lang w:val="en-US"/>
        </w:rPr>
        <w:t xml:space="preserve"> of determining the packaging performance level for packaged substance can be used for articles as well when the article is considered to be </w:t>
      </w:r>
      <w:r w:rsidR="004C43C5">
        <w:rPr>
          <w:lang w:val="en-US"/>
        </w:rPr>
        <w:t>an</w:t>
      </w:r>
      <w:r w:rsidR="0080201A">
        <w:rPr>
          <w:lang w:val="en-US"/>
        </w:rPr>
        <w:t xml:space="preserve"> </w:t>
      </w:r>
      <w:r w:rsidR="005F7B4D">
        <w:rPr>
          <w:lang w:val="en-US"/>
        </w:rPr>
        <w:t>inner packaging</w:t>
      </w:r>
      <w:r w:rsidR="004C43C5">
        <w:rPr>
          <w:lang w:val="en-US"/>
        </w:rPr>
        <w:t xml:space="preserve"> for solids or liquids, as appropriate</w:t>
      </w:r>
      <w:r w:rsidR="005F7B4D">
        <w:rPr>
          <w:lang w:val="en-US"/>
        </w:rPr>
        <w:t xml:space="preserve">.  </w:t>
      </w:r>
    </w:p>
    <w:p w:rsidR="005F7B4D" w:rsidRDefault="005F7B4D" w:rsidP="005F7B4D">
      <w:pPr>
        <w:ind w:left="1134" w:right="1134"/>
        <w:jc w:val="both"/>
        <w:rPr>
          <w:lang w:val="en-US"/>
        </w:rPr>
      </w:pPr>
    </w:p>
    <w:p w:rsidR="005452EB" w:rsidRDefault="00F4465B" w:rsidP="004C5648">
      <w:pPr>
        <w:pStyle w:val="SingleTxtG"/>
        <w:rPr>
          <w:lang w:val="en-US"/>
        </w:rPr>
      </w:pPr>
      <w:r>
        <w:rPr>
          <w:lang w:val="en-US"/>
        </w:rPr>
        <w:t>6</w:t>
      </w:r>
      <w:r w:rsidR="005452EB">
        <w:rPr>
          <w:lang w:val="en-US"/>
        </w:rPr>
        <w:t>.</w:t>
      </w:r>
      <w:r w:rsidR="005452EB">
        <w:rPr>
          <w:lang w:val="en-US"/>
        </w:rPr>
        <w:tab/>
      </w:r>
      <w:r w:rsidR="005452EB" w:rsidRPr="00507F85">
        <w:rPr>
          <w:i/>
          <w:lang w:val="en-US"/>
        </w:rPr>
        <w:t>Testing of packaging performance in P00X</w:t>
      </w:r>
      <w:r w:rsidR="008E7441" w:rsidRPr="00507F85">
        <w:rPr>
          <w:i/>
          <w:lang w:val="en-US"/>
        </w:rPr>
        <w:t xml:space="preserve"> and LP00X</w:t>
      </w:r>
      <w:r w:rsidR="005452EB">
        <w:rPr>
          <w:lang w:val="en-US"/>
        </w:rPr>
        <w:t xml:space="preserve">. In the current proposal, packagings shall conform to the packing group II performance level, and shall meet </w:t>
      </w:r>
      <w:r w:rsidR="00651617">
        <w:rPr>
          <w:lang w:val="en-US"/>
        </w:rPr>
        <w:t xml:space="preserve">the general provision of 4.1.1 </w:t>
      </w:r>
      <w:r w:rsidR="00507F85">
        <w:rPr>
          <w:lang w:val="en-US"/>
        </w:rPr>
        <w:t>and 4.1.3</w:t>
      </w:r>
      <w:r w:rsidR="005452EB">
        <w:rPr>
          <w:lang w:val="en-US"/>
        </w:rPr>
        <w:t xml:space="preserve">. </w:t>
      </w:r>
      <w:r w:rsidR="00651617">
        <w:rPr>
          <w:lang w:val="en-US"/>
        </w:rPr>
        <w:t xml:space="preserve">However, </w:t>
      </w:r>
      <w:r w:rsidR="000B5D4E">
        <w:rPr>
          <w:lang w:val="en-US"/>
        </w:rPr>
        <w:t xml:space="preserve">with the exception of </w:t>
      </w:r>
      <w:r w:rsidR="005F7B4D">
        <w:rPr>
          <w:lang w:val="en-US"/>
        </w:rPr>
        <w:t xml:space="preserve">6.1.5.1.7 on “V” packaging, </w:t>
      </w:r>
      <w:r w:rsidR="00651617">
        <w:rPr>
          <w:lang w:val="en-US"/>
        </w:rPr>
        <w:t xml:space="preserve">the </w:t>
      </w:r>
      <w:r w:rsidR="007E071B">
        <w:rPr>
          <w:lang w:val="en-US"/>
        </w:rPr>
        <w:t>current</w:t>
      </w:r>
      <w:r w:rsidR="005F7B4D">
        <w:rPr>
          <w:lang w:val="en-US"/>
        </w:rPr>
        <w:t xml:space="preserve"> </w:t>
      </w:r>
      <w:r w:rsidR="00651617">
        <w:rPr>
          <w:lang w:val="en-US"/>
        </w:rPr>
        <w:t>provisions of</w:t>
      </w:r>
      <w:r w:rsidR="00D60C7E">
        <w:rPr>
          <w:lang w:val="en-US"/>
        </w:rPr>
        <w:t xml:space="preserve"> </w:t>
      </w:r>
      <w:r w:rsidR="004C43C5">
        <w:rPr>
          <w:lang w:val="en-US"/>
        </w:rPr>
        <w:t>C</w:t>
      </w:r>
      <w:r w:rsidR="00D60C7E">
        <w:rPr>
          <w:lang w:val="en-US"/>
        </w:rPr>
        <w:t xml:space="preserve">hapter 4.1 and </w:t>
      </w:r>
      <w:r w:rsidR="004C43C5">
        <w:rPr>
          <w:lang w:val="en-US"/>
        </w:rPr>
        <w:t>C</w:t>
      </w:r>
      <w:r w:rsidR="00D60C7E" w:rsidRPr="004C43C5">
        <w:rPr>
          <w:lang w:val="en-US"/>
        </w:rPr>
        <w:t>hapter 6.</w:t>
      </w:r>
      <w:r w:rsidR="00651617" w:rsidRPr="004C43C5">
        <w:rPr>
          <w:lang w:val="en-US"/>
        </w:rPr>
        <w:t xml:space="preserve">1 </w:t>
      </w:r>
      <w:r w:rsidR="00D60C7E">
        <w:rPr>
          <w:lang w:val="en-US"/>
        </w:rPr>
        <w:t xml:space="preserve"> are </w:t>
      </w:r>
      <w:r w:rsidR="00651617">
        <w:rPr>
          <w:lang w:val="en-US"/>
        </w:rPr>
        <w:t xml:space="preserve">not clear </w:t>
      </w:r>
      <w:r w:rsidR="00D60C7E">
        <w:rPr>
          <w:lang w:val="en-US"/>
        </w:rPr>
        <w:t xml:space="preserve">with regard to articles and the testing of </w:t>
      </w:r>
      <w:r w:rsidR="00651617">
        <w:rPr>
          <w:lang w:val="en-US"/>
        </w:rPr>
        <w:t xml:space="preserve">packaged </w:t>
      </w:r>
      <w:r w:rsidR="00D60C7E">
        <w:rPr>
          <w:lang w:val="en-US"/>
        </w:rPr>
        <w:t>articles</w:t>
      </w:r>
      <w:r w:rsidR="005F7B4D">
        <w:rPr>
          <w:lang w:val="en-US"/>
        </w:rPr>
        <w:t>. For example</w:t>
      </w:r>
      <w:r w:rsidR="002C4376">
        <w:rPr>
          <w:lang w:val="en-US"/>
        </w:rPr>
        <w:t xml:space="preserve">, </w:t>
      </w:r>
      <w:r w:rsidR="00C07EF7">
        <w:rPr>
          <w:lang w:val="en-US"/>
        </w:rPr>
        <w:t xml:space="preserve">as the proposed packing instructions P00X do not mention inner </w:t>
      </w:r>
      <w:proofErr w:type="spellStart"/>
      <w:r w:rsidR="00C07EF7">
        <w:rPr>
          <w:lang w:val="en-US"/>
        </w:rPr>
        <w:t>packagings</w:t>
      </w:r>
      <w:proofErr w:type="spellEnd"/>
      <w:r w:rsidR="00C07EF7">
        <w:rPr>
          <w:lang w:val="en-US"/>
        </w:rPr>
        <w:t xml:space="preserve">, it is not clear whether inner </w:t>
      </w:r>
      <w:proofErr w:type="spellStart"/>
      <w:r w:rsidR="00C07EF7">
        <w:rPr>
          <w:lang w:val="en-US"/>
        </w:rPr>
        <w:t>packagings</w:t>
      </w:r>
      <w:proofErr w:type="spellEnd"/>
      <w:r w:rsidR="00C07EF7">
        <w:rPr>
          <w:lang w:val="en-US"/>
        </w:rPr>
        <w:t xml:space="preserve"> are not allowed, or whether the article itself is considered to be an inner packaging</w:t>
      </w:r>
      <w:r w:rsidR="00AC4574">
        <w:rPr>
          <w:lang w:val="en-US"/>
        </w:rPr>
        <w:t xml:space="preserve">. </w:t>
      </w:r>
      <w:r w:rsidR="00C07EF7">
        <w:rPr>
          <w:lang w:val="en-US"/>
        </w:rPr>
        <w:t xml:space="preserve">Also, </w:t>
      </w:r>
      <w:r w:rsidR="002C4376">
        <w:rPr>
          <w:lang w:val="en-US"/>
        </w:rPr>
        <w:t>w</w:t>
      </w:r>
      <w:r w:rsidR="00B36CAA">
        <w:rPr>
          <w:lang w:val="en-US"/>
        </w:rPr>
        <w:t xml:space="preserve">hich </w:t>
      </w:r>
      <w:r w:rsidR="002C4376">
        <w:rPr>
          <w:lang w:val="en-US"/>
        </w:rPr>
        <w:t xml:space="preserve">testing regime should </w:t>
      </w:r>
      <w:r w:rsidR="005452EB">
        <w:rPr>
          <w:lang w:val="en-US"/>
        </w:rPr>
        <w:t>be used for the required performance tests</w:t>
      </w:r>
      <w:r w:rsidR="00B36CAA">
        <w:rPr>
          <w:lang w:val="en-US"/>
        </w:rPr>
        <w:t xml:space="preserve">? </w:t>
      </w:r>
      <w:proofErr w:type="gramStart"/>
      <w:r w:rsidR="00740990">
        <w:rPr>
          <w:lang w:val="en-US"/>
        </w:rPr>
        <w:t>If an article contains liquids, should the testing regime for liquids be used or the testing regime for solids?</w:t>
      </w:r>
      <w:proofErr w:type="gramEnd"/>
      <w:r w:rsidR="00740990">
        <w:rPr>
          <w:lang w:val="en-US"/>
        </w:rPr>
        <w:t xml:space="preserve"> </w:t>
      </w:r>
      <w:r w:rsidR="00AC4574">
        <w:rPr>
          <w:lang w:val="en-US"/>
        </w:rPr>
        <w:t xml:space="preserve">And which marks of 6.1.3 should be used? </w:t>
      </w:r>
      <w:r w:rsidR="00740990">
        <w:rPr>
          <w:lang w:val="en-US"/>
        </w:rPr>
        <w:t xml:space="preserve">This should be explicitly mentioned. </w:t>
      </w:r>
    </w:p>
    <w:p w:rsidR="005452EB" w:rsidRPr="001B5A34" w:rsidRDefault="00F4465B" w:rsidP="004C5648">
      <w:pPr>
        <w:pStyle w:val="SingleTxtG"/>
        <w:rPr>
          <w:lang w:val="en-US"/>
        </w:rPr>
      </w:pPr>
      <w:r>
        <w:rPr>
          <w:lang w:val="en-US"/>
        </w:rPr>
        <w:t>7</w:t>
      </w:r>
      <w:r w:rsidR="004C5648">
        <w:rPr>
          <w:lang w:val="en-US"/>
        </w:rPr>
        <w:t>.</w:t>
      </w:r>
      <w:r w:rsidR="004C5648">
        <w:rPr>
          <w:lang w:val="en-US"/>
        </w:rPr>
        <w:tab/>
      </w:r>
      <w:r w:rsidR="00D60C7E">
        <w:rPr>
          <w:lang w:val="en-US"/>
        </w:rPr>
        <w:t xml:space="preserve">This delegation believes that the article </w:t>
      </w:r>
      <w:r w:rsidR="004C43C5">
        <w:rPr>
          <w:lang w:val="en-US"/>
        </w:rPr>
        <w:t xml:space="preserve">could </w:t>
      </w:r>
      <w:r w:rsidR="00D60C7E">
        <w:rPr>
          <w:lang w:val="en-US"/>
        </w:rPr>
        <w:t xml:space="preserve">be considered as </w:t>
      </w:r>
      <w:r w:rsidR="004C43C5">
        <w:rPr>
          <w:lang w:val="en-US"/>
        </w:rPr>
        <w:t xml:space="preserve">an </w:t>
      </w:r>
      <w:r w:rsidR="00D60C7E">
        <w:rPr>
          <w:lang w:val="en-US"/>
        </w:rPr>
        <w:t xml:space="preserve">inner packaging for the dangerous goods contained in the article, and would support </w:t>
      </w:r>
      <w:r w:rsidR="002C4376">
        <w:rPr>
          <w:lang w:val="en-US"/>
        </w:rPr>
        <w:t>editorial clarifications</w:t>
      </w:r>
      <w:r w:rsidR="00D60C7E">
        <w:rPr>
          <w:lang w:val="en-US"/>
        </w:rPr>
        <w:t xml:space="preserve"> to </w:t>
      </w:r>
      <w:r w:rsidR="004C43C5">
        <w:rPr>
          <w:lang w:val="en-US"/>
        </w:rPr>
        <w:t>C</w:t>
      </w:r>
      <w:r w:rsidR="00D60C7E">
        <w:rPr>
          <w:lang w:val="en-US"/>
        </w:rPr>
        <w:t xml:space="preserve">hapter 4.1 </w:t>
      </w:r>
      <w:r w:rsidR="00740990">
        <w:rPr>
          <w:lang w:val="en-US"/>
        </w:rPr>
        <w:t xml:space="preserve">and </w:t>
      </w:r>
      <w:r w:rsidR="004C43C5">
        <w:rPr>
          <w:lang w:val="en-US"/>
        </w:rPr>
        <w:t>C</w:t>
      </w:r>
      <w:r w:rsidR="00740990">
        <w:rPr>
          <w:lang w:val="en-US"/>
        </w:rPr>
        <w:t>hapter 6</w:t>
      </w:r>
      <w:r w:rsidR="004C43C5">
        <w:rPr>
          <w:lang w:val="en-US"/>
        </w:rPr>
        <w:t xml:space="preserve">.1 </w:t>
      </w:r>
      <w:r w:rsidR="00D60C7E">
        <w:rPr>
          <w:lang w:val="en-US"/>
        </w:rPr>
        <w:t>to clarify this.</w:t>
      </w:r>
    </w:p>
    <w:p w:rsidR="005452EB" w:rsidRDefault="00F4465B" w:rsidP="004C5648">
      <w:pPr>
        <w:pStyle w:val="SingleTxtG"/>
        <w:rPr>
          <w:lang w:val="en-US"/>
        </w:rPr>
      </w:pPr>
      <w:r>
        <w:rPr>
          <w:lang w:val="en-US"/>
        </w:rPr>
        <w:t>8</w:t>
      </w:r>
      <w:r w:rsidR="005452EB">
        <w:rPr>
          <w:lang w:val="en-US"/>
        </w:rPr>
        <w:t>.</w:t>
      </w:r>
      <w:r w:rsidR="005452EB">
        <w:rPr>
          <w:lang w:val="en-US"/>
        </w:rPr>
        <w:tab/>
      </w:r>
      <w:r w:rsidR="005452EB" w:rsidRPr="005F7B4D">
        <w:rPr>
          <w:i/>
          <w:lang w:val="en-US"/>
        </w:rPr>
        <w:t>Special transport conditions</w:t>
      </w:r>
      <w:r w:rsidR="005452EB">
        <w:rPr>
          <w:lang w:val="en-US"/>
        </w:rPr>
        <w:t xml:space="preserve">. </w:t>
      </w:r>
      <w:r w:rsidR="00963578">
        <w:rPr>
          <w:lang w:val="en-US"/>
        </w:rPr>
        <w:t>The</w:t>
      </w:r>
      <w:r w:rsidR="00963578" w:rsidRPr="004C422B">
        <w:rPr>
          <w:lang w:val="en-US"/>
        </w:rPr>
        <w:t xml:space="preserve"> safe transport</w:t>
      </w:r>
      <w:r w:rsidR="00963578">
        <w:rPr>
          <w:lang w:val="en-US"/>
        </w:rPr>
        <w:t xml:space="preserve"> </w:t>
      </w:r>
      <w:r w:rsidR="002C4376">
        <w:rPr>
          <w:lang w:val="en-US"/>
        </w:rPr>
        <w:t xml:space="preserve">of substances with specific hazard properties, such as </w:t>
      </w:r>
      <w:r w:rsidR="00963578">
        <w:rPr>
          <w:lang w:val="en-US"/>
        </w:rPr>
        <w:t>o</w:t>
      </w:r>
      <w:r w:rsidR="005452EB" w:rsidRPr="004C422B">
        <w:rPr>
          <w:lang w:val="en-US"/>
        </w:rPr>
        <w:t xml:space="preserve">rganic peroxides and self-reactive </w:t>
      </w:r>
      <w:proofErr w:type="gramStart"/>
      <w:r w:rsidR="005452EB" w:rsidRPr="004C422B">
        <w:rPr>
          <w:lang w:val="en-US"/>
        </w:rPr>
        <w:t>substances</w:t>
      </w:r>
      <w:r w:rsidR="002C4376">
        <w:rPr>
          <w:lang w:val="en-US"/>
        </w:rPr>
        <w:t>,</w:t>
      </w:r>
      <w:proofErr w:type="gramEnd"/>
      <w:r w:rsidR="005452EB" w:rsidRPr="004C422B">
        <w:rPr>
          <w:lang w:val="en-US"/>
        </w:rPr>
        <w:t xml:space="preserve"> </w:t>
      </w:r>
      <w:r w:rsidR="005452EB">
        <w:rPr>
          <w:lang w:val="en-US"/>
        </w:rPr>
        <w:t xml:space="preserve">may </w:t>
      </w:r>
      <w:r w:rsidR="005452EB" w:rsidRPr="004C422B">
        <w:rPr>
          <w:lang w:val="en-US"/>
        </w:rPr>
        <w:t xml:space="preserve">require </w:t>
      </w:r>
      <w:r w:rsidR="005452EB">
        <w:rPr>
          <w:lang w:val="en-US"/>
        </w:rPr>
        <w:t>specific</w:t>
      </w:r>
      <w:r w:rsidR="005452EB" w:rsidRPr="004C422B">
        <w:rPr>
          <w:lang w:val="en-US"/>
        </w:rPr>
        <w:t xml:space="preserve"> measur</w:t>
      </w:r>
      <w:r w:rsidR="00963578">
        <w:rPr>
          <w:lang w:val="en-US"/>
        </w:rPr>
        <w:t>es such as temperature control</w:t>
      </w:r>
      <w:r w:rsidR="005452EB" w:rsidRPr="004C422B">
        <w:rPr>
          <w:lang w:val="en-US"/>
        </w:rPr>
        <w:t>. These additional measures are currently missing from the proposed</w:t>
      </w:r>
      <w:r w:rsidR="005452EB">
        <w:rPr>
          <w:lang w:val="en-US"/>
        </w:rPr>
        <w:t xml:space="preserve"> transport</w:t>
      </w:r>
      <w:r w:rsidR="005452EB" w:rsidRPr="004C422B">
        <w:rPr>
          <w:lang w:val="en-US"/>
        </w:rPr>
        <w:t xml:space="preserve"> provisions</w:t>
      </w:r>
      <w:r w:rsidR="004C43C5">
        <w:rPr>
          <w:lang w:val="en-US"/>
        </w:rPr>
        <w:t xml:space="preserve"> for dangerous goods in articles.</w:t>
      </w:r>
    </w:p>
    <w:p w:rsidR="00224741" w:rsidRPr="004C422B" w:rsidRDefault="00F4465B" w:rsidP="004C5648">
      <w:pPr>
        <w:pStyle w:val="SingleTxtG"/>
        <w:rPr>
          <w:lang w:val="en-US"/>
        </w:rPr>
      </w:pPr>
      <w:r>
        <w:rPr>
          <w:lang w:val="en-US"/>
        </w:rPr>
        <w:t>9</w:t>
      </w:r>
      <w:r w:rsidR="00224741" w:rsidRPr="002E7195">
        <w:rPr>
          <w:lang w:val="en-US"/>
        </w:rPr>
        <w:t xml:space="preserve">. </w:t>
      </w:r>
      <w:r w:rsidR="00224741" w:rsidRPr="002E7195">
        <w:rPr>
          <w:lang w:val="en-US"/>
        </w:rPr>
        <w:tab/>
      </w:r>
      <w:r w:rsidR="005F7B4D">
        <w:rPr>
          <w:i/>
          <w:lang w:val="en-US"/>
        </w:rPr>
        <w:t>The a</w:t>
      </w:r>
      <w:r w:rsidR="00224741" w:rsidRPr="005F7B4D">
        <w:rPr>
          <w:i/>
          <w:lang w:val="en-US"/>
        </w:rPr>
        <w:t>lternative packing instructions</w:t>
      </w:r>
      <w:r w:rsidR="002E7195">
        <w:rPr>
          <w:lang w:val="en-US"/>
        </w:rPr>
        <w:t xml:space="preserve">. </w:t>
      </w:r>
      <w:r w:rsidR="00937A56">
        <w:rPr>
          <w:lang w:val="en-US"/>
        </w:rPr>
        <w:t>The</w:t>
      </w:r>
      <w:r w:rsidR="002E7195">
        <w:rPr>
          <w:lang w:val="en-US"/>
        </w:rPr>
        <w:t xml:space="preserve"> al</w:t>
      </w:r>
      <w:r w:rsidR="00937A56">
        <w:rPr>
          <w:lang w:val="en-US"/>
        </w:rPr>
        <w:t xml:space="preserve">ternative packing instructions presented in the Annex give more flexibility to </w:t>
      </w:r>
      <w:r w:rsidR="002E7195">
        <w:rPr>
          <w:lang w:val="en-US"/>
        </w:rPr>
        <w:t xml:space="preserve">take </w:t>
      </w:r>
      <w:r w:rsidR="005F7B4D">
        <w:rPr>
          <w:lang w:val="en-US"/>
        </w:rPr>
        <w:t xml:space="preserve">into account </w:t>
      </w:r>
      <w:r w:rsidR="00E20B71">
        <w:rPr>
          <w:lang w:val="en-US"/>
        </w:rPr>
        <w:t>the specific conditions required for each hazard class or division</w:t>
      </w:r>
      <w:r w:rsidR="00937A56">
        <w:rPr>
          <w:lang w:val="en-US"/>
        </w:rPr>
        <w:t xml:space="preserve">. However, </w:t>
      </w:r>
      <w:r w:rsidR="007E071B">
        <w:rPr>
          <w:lang w:val="en-US"/>
        </w:rPr>
        <w:t>they</w:t>
      </w:r>
      <w:r w:rsidR="00937A56">
        <w:rPr>
          <w:lang w:val="en-US"/>
        </w:rPr>
        <w:t xml:space="preserve"> </w:t>
      </w:r>
      <w:r w:rsidR="00831BCD">
        <w:rPr>
          <w:lang w:val="en-US"/>
        </w:rPr>
        <w:t xml:space="preserve">only </w:t>
      </w:r>
      <w:r w:rsidR="007E071B">
        <w:rPr>
          <w:lang w:val="en-US"/>
        </w:rPr>
        <w:t xml:space="preserve">describe </w:t>
      </w:r>
      <w:r w:rsidR="00831BCD">
        <w:rPr>
          <w:lang w:val="en-US"/>
        </w:rPr>
        <w:t xml:space="preserve">subjective </w:t>
      </w:r>
      <w:r w:rsidR="00937A56">
        <w:rPr>
          <w:lang w:val="en-US"/>
        </w:rPr>
        <w:t>performance criteria</w:t>
      </w:r>
      <w:r w:rsidR="00E20B71">
        <w:rPr>
          <w:lang w:val="en-US"/>
        </w:rPr>
        <w:t>. We therefore</w:t>
      </w:r>
      <w:r w:rsidR="006055B5">
        <w:rPr>
          <w:lang w:val="en-US"/>
        </w:rPr>
        <w:t xml:space="preserve"> prefer to modify the existing provisions rather </w:t>
      </w:r>
      <w:r w:rsidR="00844283">
        <w:rPr>
          <w:lang w:val="en-US"/>
        </w:rPr>
        <w:t>than use</w:t>
      </w:r>
      <w:r w:rsidR="00E20B71">
        <w:rPr>
          <w:lang w:val="en-US"/>
        </w:rPr>
        <w:t xml:space="preserve"> th</w:t>
      </w:r>
      <w:r w:rsidR="006055B5">
        <w:rPr>
          <w:lang w:val="en-US"/>
        </w:rPr>
        <w:t>e</w:t>
      </w:r>
      <w:r w:rsidR="00E20B71">
        <w:rPr>
          <w:lang w:val="en-US"/>
        </w:rPr>
        <w:t xml:space="preserve"> alternative packing instructions</w:t>
      </w:r>
      <w:r w:rsidR="006055B5">
        <w:rPr>
          <w:lang w:val="en-US"/>
        </w:rPr>
        <w:t xml:space="preserve">.  This does not exclude further work on packing provisions for articles that are robust enough to be transported </w:t>
      </w:r>
      <w:r w:rsidR="00513BBA">
        <w:rPr>
          <w:lang w:val="en-US"/>
        </w:rPr>
        <w:t xml:space="preserve">safely </w:t>
      </w:r>
      <w:r w:rsidR="006055B5">
        <w:rPr>
          <w:lang w:val="en-US"/>
        </w:rPr>
        <w:t xml:space="preserve">unpackaged.  </w:t>
      </w:r>
    </w:p>
    <w:p w:rsidR="005452EB" w:rsidRPr="005452EB" w:rsidRDefault="004C5648" w:rsidP="004C5648">
      <w:pPr>
        <w:pStyle w:val="HChG"/>
        <w:rPr>
          <w:lang w:val="en-US"/>
        </w:rPr>
      </w:pPr>
      <w:r>
        <w:rPr>
          <w:lang w:val="en-US"/>
        </w:rPr>
        <w:tab/>
      </w:r>
      <w:r>
        <w:rPr>
          <w:lang w:val="en-US"/>
        </w:rPr>
        <w:tab/>
      </w:r>
      <w:r w:rsidR="005452EB" w:rsidRPr="005452EB">
        <w:rPr>
          <w:lang w:val="en-US"/>
        </w:rPr>
        <w:t>Definition of an article</w:t>
      </w:r>
    </w:p>
    <w:p w:rsidR="005452EB" w:rsidRPr="004C422B" w:rsidRDefault="00F4465B" w:rsidP="004C5648">
      <w:pPr>
        <w:pStyle w:val="SingleTxtG"/>
        <w:rPr>
          <w:lang w:val="en-US"/>
        </w:rPr>
      </w:pPr>
      <w:r>
        <w:rPr>
          <w:lang w:val="en-US"/>
        </w:rPr>
        <w:t>10</w:t>
      </w:r>
      <w:r w:rsidR="005452EB" w:rsidRPr="004C422B">
        <w:rPr>
          <w:lang w:val="en-US"/>
        </w:rPr>
        <w:t>.</w:t>
      </w:r>
      <w:r w:rsidR="005452EB" w:rsidRPr="004C422B">
        <w:rPr>
          <w:lang w:val="en-US"/>
        </w:rPr>
        <w:tab/>
      </w:r>
      <w:r w:rsidR="00937A56">
        <w:rPr>
          <w:lang w:val="en-US"/>
        </w:rPr>
        <w:t xml:space="preserve">Chapter 1.2 does not contain a definition of an article. </w:t>
      </w:r>
      <w:r w:rsidR="005452EB">
        <w:rPr>
          <w:lang w:val="en-US"/>
        </w:rPr>
        <w:t xml:space="preserve">For the purpose of these provisions, we suggest </w:t>
      </w:r>
      <w:r w:rsidR="00937A56">
        <w:rPr>
          <w:lang w:val="en-US"/>
        </w:rPr>
        <w:t>a clarification of the definition b</w:t>
      </w:r>
      <w:r w:rsidR="005452EB">
        <w:rPr>
          <w:lang w:val="en-US"/>
        </w:rPr>
        <w:t>y re</w:t>
      </w:r>
      <w:r w:rsidR="00937A56">
        <w:rPr>
          <w:lang w:val="en-US"/>
        </w:rPr>
        <w:t>vision of</w:t>
      </w:r>
      <w:r w:rsidR="005452EB">
        <w:rPr>
          <w:lang w:val="en-US"/>
        </w:rPr>
        <w:t xml:space="preserve"> Note 1</w:t>
      </w:r>
      <w:r w:rsidR="005452EB" w:rsidRPr="004C422B">
        <w:rPr>
          <w:lang w:val="en-US"/>
        </w:rPr>
        <w:t>, w</w:t>
      </w:r>
      <w:r w:rsidR="005452EB">
        <w:rPr>
          <w:lang w:val="en-US"/>
        </w:rPr>
        <w:t>hich would necessitate a revision</w:t>
      </w:r>
      <w:r w:rsidR="005452EB" w:rsidRPr="004C422B">
        <w:rPr>
          <w:lang w:val="en-US"/>
        </w:rPr>
        <w:t xml:space="preserve"> of </w:t>
      </w:r>
      <w:r w:rsidR="005452EB">
        <w:rPr>
          <w:lang w:val="en-US"/>
        </w:rPr>
        <w:t xml:space="preserve">the proposed </w:t>
      </w:r>
      <w:r w:rsidR="005452EB" w:rsidRPr="004C422B">
        <w:rPr>
          <w:lang w:val="en-US"/>
        </w:rPr>
        <w:t>2.0.5.1</w:t>
      </w:r>
      <w:r w:rsidR="005452EB">
        <w:rPr>
          <w:lang w:val="en-US"/>
        </w:rPr>
        <w:t xml:space="preserve"> as shown below with additions </w:t>
      </w:r>
      <w:r w:rsidR="005452EB" w:rsidRPr="0085450C">
        <w:rPr>
          <w:u w:val="single"/>
          <w:lang w:val="en-US"/>
        </w:rPr>
        <w:t>underlined</w:t>
      </w:r>
      <w:r w:rsidR="005452EB">
        <w:rPr>
          <w:lang w:val="en-US"/>
        </w:rPr>
        <w:t xml:space="preserve"> and deletions in</w:t>
      </w:r>
      <w:r w:rsidR="005452EB" w:rsidRPr="0085450C">
        <w:rPr>
          <w:lang w:val="en-US"/>
        </w:rPr>
        <w:t xml:space="preserve"> </w:t>
      </w:r>
      <w:r w:rsidR="005452EB" w:rsidRPr="0085450C">
        <w:rPr>
          <w:strike/>
          <w:lang w:val="en-US"/>
        </w:rPr>
        <w:t>strikethrough</w:t>
      </w:r>
      <w:r w:rsidR="00AC4574">
        <w:rPr>
          <w:lang w:val="en-US"/>
        </w:rPr>
        <w:t>. Alternatively, this note could be included as regular text in 2.0.5.</w:t>
      </w:r>
    </w:p>
    <w:p w:rsidR="005452EB" w:rsidRPr="004C5648" w:rsidRDefault="00844283" w:rsidP="005452EB">
      <w:pPr>
        <w:pStyle w:val="SingleTxtG"/>
        <w:rPr>
          <w:i/>
        </w:rPr>
      </w:pPr>
      <w:r w:rsidRPr="004C5648">
        <w:rPr>
          <w:i/>
          <w:lang w:val="en-US"/>
        </w:rPr>
        <w:t>“</w:t>
      </w:r>
      <w:r w:rsidR="005452EB" w:rsidRPr="004C5648">
        <w:rPr>
          <w:b/>
          <w:i/>
          <w:lang w:val="en-US"/>
        </w:rPr>
        <w:t>NOTE 1:</w:t>
      </w:r>
      <w:r w:rsidR="005452EB" w:rsidRPr="004C5648">
        <w:rPr>
          <w:i/>
          <w:lang w:val="en-US"/>
        </w:rPr>
        <w:tab/>
      </w:r>
      <w:r w:rsidR="005452EB" w:rsidRPr="004C5648">
        <w:rPr>
          <w:i/>
          <w:u w:val="single"/>
        </w:rPr>
        <w:t>For the purpose of this section</w:t>
      </w:r>
      <w:r w:rsidR="005452EB" w:rsidRPr="004C5648">
        <w:rPr>
          <w:i/>
        </w:rPr>
        <w:t xml:space="preserve">, </w:t>
      </w:r>
      <w:proofErr w:type="gramStart"/>
      <w:r w:rsidR="005452EB" w:rsidRPr="004C5648">
        <w:rPr>
          <w:i/>
          <w:strike/>
        </w:rPr>
        <w:t>The</w:t>
      </w:r>
      <w:proofErr w:type="gramEnd"/>
      <w:r w:rsidR="005452EB" w:rsidRPr="004C5648">
        <w:rPr>
          <w:i/>
          <w:strike/>
        </w:rPr>
        <w:t xml:space="preserve"> term</w:t>
      </w:r>
      <w:r w:rsidR="005452EB" w:rsidRPr="004C5648">
        <w:rPr>
          <w:i/>
        </w:rPr>
        <w:t xml:space="preserve"> </w:t>
      </w:r>
      <w:r w:rsidR="005452EB" w:rsidRPr="004C5648">
        <w:rPr>
          <w:i/>
          <w:u w:val="single"/>
        </w:rPr>
        <w:t>an</w:t>
      </w:r>
      <w:r w:rsidR="005452EB" w:rsidRPr="004C5648">
        <w:rPr>
          <w:i/>
        </w:rPr>
        <w:t xml:space="preserve"> ‘article’ </w:t>
      </w:r>
      <w:r w:rsidR="005452EB" w:rsidRPr="004C5648">
        <w:rPr>
          <w:i/>
          <w:strike/>
        </w:rPr>
        <w:t>includes</w:t>
      </w:r>
      <w:r w:rsidR="005452EB" w:rsidRPr="004C5648">
        <w:rPr>
          <w:i/>
        </w:rPr>
        <w:t xml:space="preserve"> </w:t>
      </w:r>
      <w:r w:rsidR="00740990" w:rsidRPr="004C5648">
        <w:rPr>
          <w:i/>
          <w:u w:val="single"/>
        </w:rPr>
        <w:t>means</w:t>
      </w:r>
      <w:r w:rsidR="005452EB" w:rsidRPr="004C5648">
        <w:rPr>
          <w:i/>
        </w:rPr>
        <w:t xml:space="preserve"> machinery, </w:t>
      </w:r>
      <w:r w:rsidR="005452EB" w:rsidRPr="004C5648">
        <w:rPr>
          <w:i/>
          <w:strike/>
        </w:rPr>
        <w:t>and</w:t>
      </w:r>
      <w:r w:rsidR="005452EB" w:rsidRPr="004C5648">
        <w:rPr>
          <w:i/>
        </w:rPr>
        <w:t xml:space="preserve"> apparatus </w:t>
      </w:r>
      <w:r w:rsidR="00740990" w:rsidRPr="004C5648">
        <w:rPr>
          <w:i/>
          <w:u w:val="single"/>
        </w:rPr>
        <w:t>or other device</w:t>
      </w:r>
      <w:r w:rsidR="005452EB" w:rsidRPr="004C5648">
        <w:rPr>
          <w:i/>
        </w:rPr>
        <w:t xml:space="preserve"> containing </w:t>
      </w:r>
      <w:r w:rsidR="005452EB" w:rsidRPr="004C5648">
        <w:rPr>
          <w:i/>
          <w:u w:val="single"/>
        </w:rPr>
        <w:t>one or more</w:t>
      </w:r>
      <w:r w:rsidR="005452EB" w:rsidRPr="004C5648">
        <w:rPr>
          <w:i/>
        </w:rPr>
        <w:t xml:space="preserve"> dangerous goods </w:t>
      </w:r>
      <w:r w:rsidR="00831BCD" w:rsidRPr="004C5648">
        <w:rPr>
          <w:i/>
          <w:lang w:val="en-US"/>
        </w:rPr>
        <w:t>(</w:t>
      </w:r>
      <w:r w:rsidR="00831BCD" w:rsidRPr="004C5648">
        <w:rPr>
          <w:i/>
          <w:u w:val="single"/>
          <w:lang w:val="en-US"/>
        </w:rPr>
        <w:t>or</w:t>
      </w:r>
      <w:r w:rsidR="005452EB" w:rsidRPr="004C5648">
        <w:rPr>
          <w:i/>
          <w:u w:val="single"/>
        </w:rPr>
        <w:t xml:space="preserve"> residue</w:t>
      </w:r>
      <w:r w:rsidR="00831BCD" w:rsidRPr="004C5648">
        <w:rPr>
          <w:i/>
          <w:u w:val="single"/>
          <w:lang w:val="en-US"/>
        </w:rPr>
        <w:t>s thereof)</w:t>
      </w:r>
      <w:r w:rsidR="005452EB" w:rsidRPr="004C5648">
        <w:rPr>
          <w:i/>
          <w:u w:val="single"/>
        </w:rPr>
        <w:t xml:space="preserve"> or as an integral element of the article, which are necessary for its functioning and cannot be removed for the purpose of transport.</w:t>
      </w:r>
      <w:r w:rsidR="005452EB" w:rsidRPr="004C5648">
        <w:rPr>
          <w:i/>
        </w:rPr>
        <w:t xml:space="preserve"> </w:t>
      </w:r>
      <w:proofErr w:type="gramStart"/>
      <w:r w:rsidR="005452EB" w:rsidRPr="004C5648">
        <w:rPr>
          <w:i/>
          <w:strike/>
        </w:rPr>
        <w:t>which</w:t>
      </w:r>
      <w:proofErr w:type="gramEnd"/>
      <w:r w:rsidR="005452EB" w:rsidRPr="004C5648">
        <w:rPr>
          <w:i/>
        </w:rPr>
        <w:t xml:space="preserve"> </w:t>
      </w:r>
      <w:r w:rsidR="005452EB" w:rsidRPr="004C5648">
        <w:rPr>
          <w:i/>
          <w:u w:val="single"/>
        </w:rPr>
        <w:t>Articles</w:t>
      </w:r>
      <w:r w:rsidR="005452EB" w:rsidRPr="004C5648">
        <w:rPr>
          <w:i/>
        </w:rPr>
        <w:t xml:space="preserve"> may in addition contain batteries. Lithium batteries that are integral to the article shall meet the requirements of 2.9.4, except when otherwise specified by these Regulations (e.g. for prototype batteries and small production runs under special provision 310 or damaged batteries under special provision 376). </w:t>
      </w:r>
      <w:r w:rsidR="005452EB" w:rsidRPr="004C5648">
        <w:rPr>
          <w:i/>
          <w:u w:val="single"/>
        </w:rPr>
        <w:t>Inner packagings shall not be considered as articles</w:t>
      </w:r>
      <w:r w:rsidR="005452EB" w:rsidRPr="004C5648">
        <w:rPr>
          <w:i/>
        </w:rPr>
        <w:t>.</w:t>
      </w:r>
    </w:p>
    <w:p w:rsidR="005452EB" w:rsidRDefault="005452EB" w:rsidP="004C5648">
      <w:pPr>
        <w:pStyle w:val="SingleTxtG"/>
        <w:rPr>
          <w:lang w:val="en-US"/>
        </w:rPr>
      </w:pPr>
      <w:r w:rsidRPr="004C422B">
        <w:rPr>
          <w:lang w:val="en-US"/>
        </w:rPr>
        <w:t>2.0.5.1</w:t>
      </w:r>
      <w:r w:rsidRPr="004C422B">
        <w:rPr>
          <w:lang w:val="en-US"/>
        </w:rPr>
        <w:tab/>
      </w:r>
      <w:r w:rsidRPr="004C422B">
        <w:rPr>
          <w:lang w:val="en-US"/>
        </w:rPr>
        <w:tab/>
        <w:t>This section</w:t>
      </w:r>
      <w:r w:rsidRPr="004C422B">
        <w:rPr>
          <w:strike/>
          <w:lang w:val="en-US"/>
        </w:rPr>
        <w:t xml:space="preserve"> only applies to articles containing dangerous goods as a residue or an integral element of the article</w:t>
      </w:r>
      <w:r w:rsidRPr="004C422B">
        <w:rPr>
          <w:lang w:val="en-US"/>
        </w:rPr>
        <w:t xml:space="preserve"> shall not be used for articles for which a</w:t>
      </w:r>
      <w:r w:rsidR="00831BCD">
        <w:rPr>
          <w:lang w:val="en-US"/>
        </w:rPr>
        <w:t xml:space="preserve"> </w:t>
      </w:r>
      <w:r w:rsidR="00831BCD">
        <w:rPr>
          <w:u w:val="single"/>
          <w:lang w:val="en-US"/>
        </w:rPr>
        <w:t>more specific</w:t>
      </w:r>
      <w:r w:rsidRPr="004C422B">
        <w:rPr>
          <w:lang w:val="en-US"/>
        </w:rPr>
        <w:t xml:space="preserve"> proper shipping name already exists in the Dangerous Goods List of Chapter 3.2. Mass produced articles containing dangerous goods shall be manufactured under a quality management </w:t>
      </w:r>
      <w:proofErr w:type="spellStart"/>
      <w:r w:rsidRPr="004C422B">
        <w:rPr>
          <w:lang w:val="en-US"/>
        </w:rPr>
        <w:t>programme</w:t>
      </w:r>
      <w:proofErr w:type="spellEnd"/>
      <w:r w:rsidRPr="004C422B">
        <w:rPr>
          <w:lang w:val="en-US"/>
        </w:rPr>
        <w:t xml:space="preserve"> (see 2.9.4 (e)).</w:t>
      </w:r>
      <w:r w:rsidR="00844283">
        <w:rPr>
          <w:lang w:val="en-US"/>
        </w:rPr>
        <w:t>”</w:t>
      </w:r>
    </w:p>
    <w:p w:rsidR="004C5648" w:rsidRDefault="004C5648" w:rsidP="004C5648">
      <w:pPr>
        <w:pStyle w:val="HChG"/>
        <w:rPr>
          <w:lang w:val="en-US"/>
        </w:rPr>
      </w:pPr>
      <w:r>
        <w:rPr>
          <w:lang w:val="en-US"/>
        </w:rPr>
        <w:tab/>
      </w:r>
      <w:r>
        <w:rPr>
          <w:lang w:val="en-US"/>
        </w:rPr>
        <w:tab/>
      </w:r>
    </w:p>
    <w:p w:rsidR="004C5648" w:rsidRDefault="004C5648">
      <w:pPr>
        <w:suppressAutoHyphens w:val="0"/>
        <w:spacing w:line="240" w:lineRule="auto"/>
        <w:rPr>
          <w:b/>
          <w:sz w:val="28"/>
          <w:lang w:val="en-US"/>
        </w:rPr>
      </w:pPr>
      <w:r>
        <w:rPr>
          <w:lang w:val="en-US"/>
        </w:rPr>
        <w:br w:type="page"/>
      </w:r>
    </w:p>
    <w:p w:rsidR="005452EB" w:rsidRPr="005452EB" w:rsidRDefault="004C5648" w:rsidP="004C5648">
      <w:pPr>
        <w:pStyle w:val="HChG"/>
        <w:rPr>
          <w:lang w:val="en-US"/>
        </w:rPr>
      </w:pPr>
      <w:r>
        <w:rPr>
          <w:lang w:val="en-US"/>
        </w:rPr>
        <w:tab/>
      </w:r>
      <w:r>
        <w:rPr>
          <w:lang w:val="en-US"/>
        </w:rPr>
        <w:tab/>
      </w:r>
      <w:r w:rsidR="005452EB" w:rsidRPr="005452EB">
        <w:rPr>
          <w:lang w:val="en-US"/>
        </w:rPr>
        <w:t>Labelling</w:t>
      </w:r>
    </w:p>
    <w:p w:rsidR="005452EB" w:rsidRPr="004C422B" w:rsidRDefault="00F4465B" w:rsidP="005452EB">
      <w:pPr>
        <w:ind w:left="1134" w:right="1134"/>
        <w:jc w:val="both"/>
        <w:rPr>
          <w:lang w:val="en-US"/>
        </w:rPr>
      </w:pPr>
      <w:r>
        <w:rPr>
          <w:lang w:val="en-US"/>
        </w:rPr>
        <w:t>11</w:t>
      </w:r>
      <w:r w:rsidR="005452EB" w:rsidRPr="004C422B">
        <w:rPr>
          <w:lang w:val="en-US"/>
        </w:rPr>
        <w:t>.</w:t>
      </w:r>
      <w:r w:rsidR="005452EB" w:rsidRPr="004C422B">
        <w:rPr>
          <w:lang w:val="en-US"/>
        </w:rPr>
        <w:tab/>
      </w:r>
      <w:r w:rsidR="005452EB" w:rsidRPr="00740990">
        <w:rPr>
          <w:i/>
          <w:lang w:val="en-US"/>
        </w:rPr>
        <w:t>Labelling of articles and packaged articles</w:t>
      </w:r>
      <w:r w:rsidR="005452EB">
        <w:rPr>
          <w:lang w:val="en-US"/>
        </w:rPr>
        <w:t xml:space="preserve">. </w:t>
      </w:r>
      <w:r w:rsidR="005452EB" w:rsidRPr="004C422B">
        <w:rPr>
          <w:lang w:val="en-US"/>
        </w:rPr>
        <w:t xml:space="preserve">The proposed 5.2.2.1.13.1 requires labelling of the article </w:t>
      </w:r>
      <w:r w:rsidR="00740990">
        <w:rPr>
          <w:lang w:val="en-US"/>
        </w:rPr>
        <w:t>it</w:t>
      </w:r>
      <w:r w:rsidR="005452EB" w:rsidRPr="004C422B">
        <w:rPr>
          <w:lang w:val="en-US"/>
        </w:rPr>
        <w:t xml:space="preserve">self for transport purposes. This is appropriate for articles transported </w:t>
      </w:r>
      <w:r w:rsidR="00861A50">
        <w:rPr>
          <w:lang w:val="en-US"/>
        </w:rPr>
        <w:t>without packaging</w:t>
      </w:r>
      <w:r w:rsidR="005452EB" w:rsidRPr="004C422B">
        <w:rPr>
          <w:lang w:val="en-US"/>
        </w:rPr>
        <w:t xml:space="preserve"> but appears to have limited value for hazard communication of packaged articles. We suggest adding provisions </w:t>
      </w:r>
      <w:r w:rsidR="00740990">
        <w:rPr>
          <w:lang w:val="en-US"/>
        </w:rPr>
        <w:t xml:space="preserve">to 5.2.2.1.13.1 </w:t>
      </w:r>
      <w:r w:rsidR="005452EB" w:rsidRPr="004C422B">
        <w:rPr>
          <w:lang w:val="en-US"/>
        </w:rPr>
        <w:t xml:space="preserve">requiring labelling of the package containing articles to </w:t>
      </w:r>
      <w:r w:rsidR="005452EB">
        <w:rPr>
          <w:lang w:val="en-US"/>
        </w:rPr>
        <w:t>5.2.2.1.13.1 as shown in paragraph 6.</w:t>
      </w:r>
    </w:p>
    <w:p w:rsidR="005452EB" w:rsidRPr="004C422B" w:rsidRDefault="00F4465B" w:rsidP="004C5648">
      <w:pPr>
        <w:pStyle w:val="SingleTxtG"/>
        <w:spacing w:before="120"/>
        <w:rPr>
          <w:lang w:val="en-US"/>
        </w:rPr>
      </w:pPr>
      <w:r>
        <w:rPr>
          <w:lang w:val="en-US"/>
        </w:rPr>
        <w:t>12</w:t>
      </w:r>
      <w:bookmarkStart w:id="0" w:name="_GoBack"/>
      <w:bookmarkEnd w:id="0"/>
      <w:r w:rsidR="005452EB">
        <w:rPr>
          <w:lang w:val="en-US"/>
        </w:rPr>
        <w:t>.</w:t>
      </w:r>
      <w:r w:rsidR="005452EB">
        <w:rPr>
          <w:lang w:val="en-US"/>
        </w:rPr>
        <w:tab/>
      </w:r>
      <w:r w:rsidR="005452EB" w:rsidRPr="00740990">
        <w:rPr>
          <w:i/>
          <w:lang w:val="en-US"/>
        </w:rPr>
        <w:t>Labelling of</w:t>
      </w:r>
      <w:r w:rsidR="004C43C5">
        <w:rPr>
          <w:i/>
          <w:lang w:val="en-US"/>
        </w:rPr>
        <w:t xml:space="preserve"> packages with</w:t>
      </w:r>
      <w:r w:rsidR="005452EB" w:rsidRPr="00740990">
        <w:rPr>
          <w:i/>
          <w:lang w:val="en-US"/>
        </w:rPr>
        <w:t xml:space="preserve"> articles containing lithium batteries</w:t>
      </w:r>
      <w:r w:rsidR="005452EB">
        <w:rPr>
          <w:lang w:val="en-US"/>
        </w:rPr>
        <w:t xml:space="preserve">. The current provisions allow the transported article to contain a lithium battery in addition to the other dangerous goods. However, </w:t>
      </w:r>
      <w:r w:rsidR="00861A50">
        <w:rPr>
          <w:lang w:val="en-US"/>
        </w:rPr>
        <w:t>there are no</w:t>
      </w:r>
      <w:r w:rsidR="005452EB">
        <w:rPr>
          <w:lang w:val="en-US"/>
        </w:rPr>
        <w:t xml:space="preserve"> provisions communicating t</w:t>
      </w:r>
      <w:r w:rsidR="005452EB" w:rsidRPr="004C422B">
        <w:rPr>
          <w:lang w:val="en-US"/>
        </w:rPr>
        <w:t xml:space="preserve">he presence of the lithium battery </w:t>
      </w:r>
      <w:r w:rsidR="005452EB">
        <w:rPr>
          <w:lang w:val="en-US"/>
        </w:rPr>
        <w:t>in such articles</w:t>
      </w:r>
      <w:r w:rsidR="00963578">
        <w:rPr>
          <w:lang w:val="en-US"/>
        </w:rPr>
        <w:t>.</w:t>
      </w:r>
      <w:r w:rsidR="005452EB">
        <w:rPr>
          <w:lang w:val="en-US"/>
        </w:rPr>
        <w:t xml:space="preserve"> </w:t>
      </w:r>
      <w:r w:rsidR="00861A50">
        <w:rPr>
          <w:lang w:val="en-US"/>
        </w:rPr>
        <w:t>Given the recent adoption of a mark and a label to identify lithium batteries</w:t>
      </w:r>
      <w:r w:rsidR="003C1057">
        <w:rPr>
          <w:lang w:val="en-US"/>
        </w:rPr>
        <w:t>, including those packed in equipment and</w:t>
      </w:r>
      <w:r w:rsidR="00861A50">
        <w:rPr>
          <w:lang w:val="en-US"/>
        </w:rPr>
        <w:t xml:space="preserve"> transported under </w:t>
      </w:r>
      <w:r w:rsidR="00861A50" w:rsidRPr="004C422B">
        <w:rPr>
          <w:lang w:val="en-US"/>
        </w:rPr>
        <w:t>UN 3091 and 3481</w:t>
      </w:r>
      <w:r w:rsidR="00861A50">
        <w:rPr>
          <w:lang w:val="en-US"/>
        </w:rPr>
        <w:t xml:space="preserve">, the question rises whether such marking </w:t>
      </w:r>
      <w:r w:rsidR="003C1057">
        <w:rPr>
          <w:lang w:val="en-US"/>
        </w:rPr>
        <w:t>and</w:t>
      </w:r>
      <w:r w:rsidR="00861A50">
        <w:rPr>
          <w:lang w:val="en-US"/>
        </w:rPr>
        <w:t xml:space="preserve"> labelling should also be required for lithium batteries in articles. </w:t>
      </w:r>
      <w:r w:rsidR="00740990">
        <w:rPr>
          <w:lang w:val="en-US"/>
        </w:rPr>
        <w:t>An</w:t>
      </w:r>
      <w:r w:rsidR="005452EB">
        <w:rPr>
          <w:lang w:val="en-US"/>
        </w:rPr>
        <w:t xml:space="preserve"> </w:t>
      </w:r>
      <w:r w:rsidR="005452EB" w:rsidRPr="004C422B">
        <w:rPr>
          <w:lang w:val="en-US"/>
        </w:rPr>
        <w:t>option</w:t>
      </w:r>
      <w:r w:rsidR="00861A50">
        <w:rPr>
          <w:lang w:val="en-US"/>
        </w:rPr>
        <w:t xml:space="preserve"> would be</w:t>
      </w:r>
      <w:r w:rsidR="005452EB">
        <w:rPr>
          <w:lang w:val="en-US"/>
        </w:rPr>
        <w:t xml:space="preserve"> to require provisions similar to those </w:t>
      </w:r>
      <w:r w:rsidR="005452EB" w:rsidRPr="004C422B">
        <w:rPr>
          <w:lang w:val="en-US"/>
        </w:rPr>
        <w:t>for lithium batteries in equipment</w:t>
      </w:r>
      <w:r w:rsidR="005452EB">
        <w:rPr>
          <w:lang w:val="en-US"/>
        </w:rPr>
        <w:t xml:space="preserve">, or use marking provisions </w:t>
      </w:r>
      <w:r w:rsidR="00963578">
        <w:rPr>
          <w:lang w:val="en-US"/>
        </w:rPr>
        <w:t>of</w:t>
      </w:r>
      <w:r w:rsidR="005452EB">
        <w:rPr>
          <w:lang w:val="en-US"/>
        </w:rPr>
        <w:t xml:space="preserve"> 5.2.1.9. This</w:t>
      </w:r>
      <w:r w:rsidR="00740990">
        <w:rPr>
          <w:lang w:val="en-US"/>
        </w:rPr>
        <w:t xml:space="preserve"> requires further work and</w:t>
      </w:r>
      <w:r w:rsidR="005452EB">
        <w:rPr>
          <w:lang w:val="en-US"/>
        </w:rPr>
        <w:t xml:space="preserve"> would </w:t>
      </w:r>
      <w:r w:rsidR="00740990">
        <w:rPr>
          <w:lang w:val="en-US"/>
        </w:rPr>
        <w:t xml:space="preserve">also </w:t>
      </w:r>
      <w:r w:rsidR="005452EB">
        <w:rPr>
          <w:lang w:val="en-US"/>
        </w:rPr>
        <w:t>require consequential amendments in other sections of the Model Regulations.</w:t>
      </w:r>
    </w:p>
    <w:p w:rsidR="005452EB" w:rsidRPr="004C5648" w:rsidRDefault="005452EB" w:rsidP="004C5648">
      <w:pPr>
        <w:pStyle w:val="SingleTxtG"/>
        <w:rPr>
          <w:i/>
        </w:rPr>
      </w:pPr>
      <w:r w:rsidRPr="004C5648">
        <w:rPr>
          <w:i/>
        </w:rPr>
        <w:t>“5.2.2.1.13</w:t>
      </w:r>
      <w:r w:rsidRPr="004C5648">
        <w:rPr>
          <w:i/>
        </w:rPr>
        <w:tab/>
      </w:r>
      <w:proofErr w:type="spellStart"/>
      <w:r w:rsidRPr="004C5648">
        <w:rPr>
          <w:i/>
        </w:rPr>
        <w:t>Label</w:t>
      </w:r>
      <w:r w:rsidRPr="004C5648">
        <w:rPr>
          <w:i/>
          <w:strike/>
        </w:rPr>
        <w:t>s</w:t>
      </w:r>
      <w:r w:rsidRPr="004C5648">
        <w:rPr>
          <w:i/>
          <w:u w:val="single"/>
        </w:rPr>
        <w:t>ling</w:t>
      </w:r>
      <w:proofErr w:type="spellEnd"/>
      <w:r w:rsidRPr="004C5648">
        <w:rPr>
          <w:i/>
        </w:rPr>
        <w:t xml:space="preserve"> </w:t>
      </w:r>
      <w:r w:rsidRPr="004C5648">
        <w:rPr>
          <w:i/>
          <w:strike/>
        </w:rPr>
        <w:t>for articles containing</w:t>
      </w:r>
      <w:r w:rsidRPr="004C5648">
        <w:rPr>
          <w:i/>
        </w:rPr>
        <w:t xml:space="preserve"> </w:t>
      </w:r>
      <w:r w:rsidRPr="004C5648">
        <w:rPr>
          <w:i/>
          <w:u w:val="single"/>
        </w:rPr>
        <w:t>of</w:t>
      </w:r>
      <w:r w:rsidR="00831BCD" w:rsidRPr="004C5648">
        <w:rPr>
          <w:i/>
          <w:u w:val="single"/>
          <w:lang w:val="en-US"/>
        </w:rPr>
        <w:t xml:space="preserve"> packages containing</w:t>
      </w:r>
      <w:r w:rsidR="00831BCD" w:rsidRPr="004C5648">
        <w:rPr>
          <w:i/>
          <w:lang w:val="en-US"/>
        </w:rPr>
        <w:t xml:space="preserve"> </w:t>
      </w:r>
      <w:r w:rsidRPr="004C5648">
        <w:rPr>
          <w:i/>
        </w:rPr>
        <w:t xml:space="preserve">dangerous </w:t>
      </w:r>
      <w:r w:rsidRPr="004C5648">
        <w:rPr>
          <w:i/>
          <w:u w:val="single"/>
        </w:rPr>
        <w:t>goods</w:t>
      </w:r>
      <w:r w:rsidRPr="004C5648">
        <w:rPr>
          <w:i/>
        </w:rPr>
        <w:t xml:space="preserve"> </w:t>
      </w:r>
      <w:r w:rsidRPr="004C5648">
        <w:rPr>
          <w:i/>
          <w:strike/>
        </w:rPr>
        <w:t>substances</w:t>
      </w:r>
      <w:r w:rsidRPr="004C5648">
        <w:rPr>
          <w:i/>
        </w:rPr>
        <w:t xml:space="preserve"> </w:t>
      </w:r>
      <w:r w:rsidRPr="004C5648">
        <w:rPr>
          <w:i/>
          <w:u w:val="single"/>
        </w:rPr>
        <w:t xml:space="preserve"> in articles</w:t>
      </w:r>
      <w:r w:rsidRPr="004C5648">
        <w:rPr>
          <w:i/>
        </w:rPr>
        <w:t xml:space="preserve"> transported as UN Nos. 35AA, 35BB, 35CC, 35DD, 35EE, 35FF, 35GG, 35HH, 35II, 35JJ, 35KK and 35LL</w:t>
      </w:r>
    </w:p>
    <w:p w:rsidR="005452EB" w:rsidRPr="004C5648" w:rsidRDefault="005452EB" w:rsidP="004C5648">
      <w:pPr>
        <w:pStyle w:val="SingleTxtG"/>
      </w:pPr>
      <w:r w:rsidRPr="004C5648">
        <w:t>5.2.2.1.13.1</w:t>
      </w:r>
      <w:r w:rsidRPr="004C5648">
        <w:tab/>
      </w:r>
      <w:r w:rsidRPr="004C5648">
        <w:rPr>
          <w:u w:val="single"/>
        </w:rPr>
        <w:t>Packages</w:t>
      </w:r>
      <w:r w:rsidRPr="004C5648">
        <w:t xml:space="preserve"> </w:t>
      </w:r>
      <w:r w:rsidRPr="004C5648">
        <w:rPr>
          <w:strike/>
        </w:rPr>
        <w:t>Articles</w:t>
      </w:r>
      <w:r w:rsidRPr="004C5648">
        <w:t xml:space="preserve"> containing dangerous goods </w:t>
      </w:r>
      <w:r w:rsidRPr="004C5648">
        <w:rPr>
          <w:u w:val="single"/>
        </w:rPr>
        <w:t xml:space="preserve">in </w:t>
      </w:r>
      <w:proofErr w:type="gramStart"/>
      <w:r w:rsidR="00844283" w:rsidRPr="004C5648">
        <w:rPr>
          <w:u w:val="single"/>
        </w:rPr>
        <w:t>articles,</w:t>
      </w:r>
      <w:proofErr w:type="gramEnd"/>
      <w:r w:rsidRPr="004C5648">
        <w:t xml:space="preserve"> </w:t>
      </w:r>
      <w:r w:rsidRPr="004C5648">
        <w:rPr>
          <w:u w:val="single"/>
        </w:rPr>
        <w:t>and dangerous goods in articles that</w:t>
      </w:r>
      <w:r w:rsidR="00831BCD" w:rsidRPr="004C5648">
        <w:rPr>
          <w:u w:val="single"/>
        </w:rPr>
        <w:t xml:space="preserve"> are</w:t>
      </w:r>
      <w:r w:rsidRPr="004C5648">
        <w:rPr>
          <w:u w:val="single"/>
        </w:rPr>
        <w:t xml:space="preserve"> transported unpacked</w:t>
      </w:r>
      <w:r w:rsidRPr="004C5648">
        <w:t xml:space="preserve"> shall be labelled according to 5.2.2.1.2 reflecting the primary hazard and subsidiary risks e</w:t>
      </w:r>
      <w:r w:rsidR="004C5648">
        <w:t xml:space="preserve">stablished according to 2.0.5. </w:t>
      </w:r>
      <w:r w:rsidRPr="004C5648">
        <w:rPr>
          <w:u w:val="single"/>
        </w:rPr>
        <w:t>If a lithium battery is contained in the article [provisions 5.2.1.9 and sp</w:t>
      </w:r>
      <w:r w:rsidR="00831BCD" w:rsidRPr="004C5648">
        <w:rPr>
          <w:u w:val="single"/>
        </w:rPr>
        <w:t>ecial provision 384 shall apply</w:t>
      </w:r>
      <w:r w:rsidRPr="004C5648">
        <w:rPr>
          <w:u w:val="single"/>
        </w:rPr>
        <w:t>] [or another appropriate provision yet to be developed]</w:t>
      </w:r>
      <w:r w:rsidR="00831BCD" w:rsidRPr="004C5648">
        <w:rPr>
          <w:u w:val="single"/>
        </w:rPr>
        <w:t>.</w:t>
      </w:r>
      <w:r w:rsidR="00844283" w:rsidRPr="004C5648">
        <w:rPr>
          <w:u w:val="single"/>
        </w:rPr>
        <w:t>”</w:t>
      </w:r>
    </w:p>
    <w:p w:rsidR="0001491B" w:rsidRPr="007819C3" w:rsidRDefault="007819C3" w:rsidP="007819C3">
      <w:pPr>
        <w:pStyle w:val="HChG"/>
        <w:keepNext w:val="0"/>
        <w:keepLines w:val="0"/>
        <w:spacing w:before="240" w:after="0" w:line="240" w:lineRule="atLeast"/>
        <w:ind w:firstLine="0"/>
        <w:jc w:val="center"/>
        <w:rPr>
          <w:b w:val="0"/>
          <w:u w:val="single"/>
        </w:rPr>
      </w:pPr>
      <w:r>
        <w:rPr>
          <w:b w:val="0"/>
          <w:u w:val="single"/>
        </w:rPr>
        <w:tab/>
      </w:r>
      <w:r>
        <w:rPr>
          <w:b w:val="0"/>
          <w:u w:val="single"/>
        </w:rPr>
        <w:tab/>
      </w:r>
      <w:r>
        <w:rPr>
          <w:b w:val="0"/>
          <w:u w:val="single"/>
        </w:rPr>
        <w:tab/>
      </w:r>
    </w:p>
    <w:sectPr w:rsidR="0001491B" w:rsidRPr="007819C3" w:rsidSect="00F3171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16" w:rsidRDefault="00646D16"/>
  </w:endnote>
  <w:endnote w:type="continuationSeparator" w:id="0">
    <w:p w:rsidR="00646D16" w:rsidRDefault="00646D16"/>
  </w:endnote>
  <w:endnote w:type="continuationNotice" w:id="1">
    <w:p w:rsidR="00646D16" w:rsidRDefault="00646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Corpo 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16" w:rsidRPr="00587799" w:rsidRDefault="00646D16" w:rsidP="0001491B">
    <w:pPr>
      <w:pStyle w:val="Footer"/>
      <w:rPr>
        <w:b/>
      </w:rPr>
    </w:pPr>
    <w:r w:rsidRPr="00587799">
      <w:rPr>
        <w:b/>
      </w:rPr>
      <w:fldChar w:fldCharType="begin"/>
    </w:r>
    <w:r w:rsidRPr="00587799">
      <w:rPr>
        <w:b/>
      </w:rPr>
      <w:instrText xml:space="preserve"> PAGE   \* MERGEFORMAT </w:instrText>
    </w:r>
    <w:r w:rsidRPr="00587799">
      <w:rPr>
        <w:b/>
      </w:rPr>
      <w:fldChar w:fldCharType="separate"/>
    </w:r>
    <w:r w:rsidR="00F4465B">
      <w:rPr>
        <w:b/>
        <w:noProof/>
      </w:rPr>
      <w:t>2</w:t>
    </w:r>
    <w:r w:rsidRPr="00587799">
      <w:rPr>
        <w:b/>
        <w:noProof/>
      </w:rPr>
      <w:fldChar w:fldCharType="end"/>
    </w:r>
  </w:p>
  <w:p w:rsidR="00646D16" w:rsidRDefault="00646D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16" w:rsidRDefault="009725FA">
    <w:pPr>
      <w:pStyle w:val="Footer"/>
      <w:jc w:val="right"/>
    </w:pPr>
    <w:r>
      <w:fldChar w:fldCharType="begin"/>
    </w:r>
    <w:r>
      <w:instrText xml:space="preserve"> PAGE   \* MERGEFORMAT </w:instrText>
    </w:r>
    <w:r>
      <w:fldChar w:fldCharType="separate"/>
    </w:r>
    <w:r w:rsidR="00F4465B">
      <w:rPr>
        <w:noProof/>
      </w:rPr>
      <w:t>3</w:t>
    </w:r>
    <w:r>
      <w:rPr>
        <w:noProof/>
      </w:rPr>
      <w:fldChar w:fldCharType="end"/>
    </w:r>
  </w:p>
  <w:p w:rsidR="00646D16" w:rsidRDefault="0064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16" w:rsidRPr="000B175B" w:rsidRDefault="00646D16" w:rsidP="000B175B">
      <w:pPr>
        <w:tabs>
          <w:tab w:val="right" w:pos="2155"/>
        </w:tabs>
        <w:spacing w:after="80"/>
        <w:ind w:left="680"/>
        <w:rPr>
          <w:u w:val="single"/>
        </w:rPr>
      </w:pPr>
      <w:r>
        <w:rPr>
          <w:u w:val="single"/>
        </w:rPr>
        <w:tab/>
      </w:r>
    </w:p>
  </w:footnote>
  <w:footnote w:type="continuationSeparator" w:id="0">
    <w:p w:rsidR="00646D16" w:rsidRPr="00FC68B7" w:rsidRDefault="00646D16" w:rsidP="00FC68B7">
      <w:pPr>
        <w:tabs>
          <w:tab w:val="left" w:pos="2155"/>
        </w:tabs>
        <w:spacing w:after="80"/>
        <w:ind w:left="680"/>
        <w:rPr>
          <w:u w:val="single"/>
        </w:rPr>
      </w:pPr>
      <w:r>
        <w:rPr>
          <w:u w:val="single"/>
        </w:rPr>
        <w:tab/>
      </w:r>
    </w:p>
  </w:footnote>
  <w:footnote w:type="continuationNotice" w:id="1">
    <w:p w:rsidR="00646D16" w:rsidRDefault="00646D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16" w:rsidRDefault="00083DAE">
    <w:pPr>
      <w:pStyle w:val="Header"/>
    </w:pPr>
    <w:r>
      <w:rPr>
        <w:lang w:val="es-ES"/>
      </w:rPr>
      <w:t>UN/SCETDG/49/INF.26</w:t>
    </w:r>
  </w:p>
  <w:p w:rsidR="00646D16" w:rsidRPr="00D214CA" w:rsidRDefault="00646D16">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16" w:rsidRDefault="00083DAE" w:rsidP="0062449B">
    <w:pPr>
      <w:pStyle w:val="Header"/>
      <w:jc w:val="right"/>
    </w:pPr>
    <w:r>
      <w:rPr>
        <w:lang w:val="es-ES"/>
      </w:rPr>
      <w:t>UN/SCETDG/49/INF.26</w:t>
    </w:r>
  </w:p>
  <w:p w:rsidR="00646D16" w:rsidRPr="00D214CA" w:rsidRDefault="00646D16"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35541"/>
    <w:multiLevelType w:val="hybridMultilevel"/>
    <w:tmpl w:val="C0B8D074"/>
    <w:lvl w:ilvl="0" w:tplc="0F126C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857E5E"/>
    <w:multiLevelType w:val="hybridMultilevel"/>
    <w:tmpl w:val="9B8EFC34"/>
    <w:lvl w:ilvl="0" w:tplc="DB18D60C">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3704A94"/>
    <w:multiLevelType w:val="hybridMultilevel"/>
    <w:tmpl w:val="9DBCE63A"/>
    <w:lvl w:ilvl="0" w:tplc="53C89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E505D"/>
    <w:multiLevelType w:val="hybridMultilevel"/>
    <w:tmpl w:val="7CCC1916"/>
    <w:lvl w:ilvl="0" w:tplc="EDB4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0">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33A635D1"/>
    <w:multiLevelType w:val="hybridMultilevel"/>
    <w:tmpl w:val="AA449104"/>
    <w:lvl w:ilvl="0" w:tplc="92706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E1089"/>
    <w:multiLevelType w:val="hybridMultilevel"/>
    <w:tmpl w:val="24CE7ED8"/>
    <w:lvl w:ilvl="0" w:tplc="92D6AA78">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nsid w:val="4B606E74"/>
    <w:multiLevelType w:val="hybridMultilevel"/>
    <w:tmpl w:val="5560D7AC"/>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32293F"/>
    <w:multiLevelType w:val="hybridMultilevel"/>
    <w:tmpl w:val="396654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4875CD7"/>
    <w:multiLevelType w:val="hybridMultilevel"/>
    <w:tmpl w:val="51E6699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3">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6">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9">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num>
  <w:num w:numId="13">
    <w:abstractNumId w:val="11"/>
  </w:num>
  <w:num w:numId="14">
    <w:abstractNumId w:val="31"/>
  </w:num>
  <w:num w:numId="15">
    <w:abstractNumId w:val="34"/>
  </w:num>
  <w:num w:numId="16">
    <w:abstractNumId w:val="20"/>
  </w:num>
  <w:num w:numId="17">
    <w:abstractNumId w:val="32"/>
  </w:num>
  <w:num w:numId="18">
    <w:abstractNumId w:val="40"/>
  </w:num>
  <w:num w:numId="19">
    <w:abstractNumId w:val="26"/>
  </w:num>
  <w:num w:numId="20">
    <w:abstractNumId w:val="27"/>
  </w:num>
  <w:num w:numId="21">
    <w:abstractNumId w:val="38"/>
  </w:num>
  <w:num w:numId="22">
    <w:abstractNumId w:val="23"/>
  </w:num>
  <w:num w:numId="23">
    <w:abstractNumId w:val="35"/>
  </w:num>
  <w:num w:numId="24">
    <w:abstractNumId w:val="14"/>
  </w:num>
  <w:num w:numId="25">
    <w:abstractNumId w:val="37"/>
  </w:num>
  <w:num w:numId="26">
    <w:abstractNumId w:val="36"/>
  </w:num>
  <w:num w:numId="27">
    <w:abstractNumId w:val="39"/>
  </w:num>
  <w:num w:numId="28">
    <w:abstractNumId w:val="33"/>
  </w:num>
  <w:num w:numId="29">
    <w:abstractNumId w:val="24"/>
  </w:num>
  <w:num w:numId="30">
    <w:abstractNumId w:val="19"/>
  </w:num>
  <w:num w:numId="31">
    <w:abstractNumId w:val="29"/>
  </w:num>
  <w:num w:numId="32">
    <w:abstractNumId w:val="25"/>
  </w:num>
  <w:num w:numId="33">
    <w:abstractNumId w:val="10"/>
  </w:num>
  <w:num w:numId="34">
    <w:abstractNumId w:val="21"/>
  </w:num>
  <w:num w:numId="35">
    <w:abstractNumId w:val="30"/>
  </w:num>
  <w:num w:numId="36">
    <w:abstractNumId w:val="18"/>
  </w:num>
  <w:num w:numId="37">
    <w:abstractNumId w:val="13"/>
  </w:num>
  <w:num w:numId="38">
    <w:abstractNumId w:val="15"/>
  </w:num>
  <w:num w:numId="39">
    <w:abstractNumId w:val="17"/>
  </w:num>
  <w:num w:numId="40">
    <w:abstractNumId w:val="22"/>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2CE7"/>
    <w:rsid w:val="000032AD"/>
    <w:rsid w:val="000033C6"/>
    <w:rsid w:val="00005CF2"/>
    <w:rsid w:val="00007A75"/>
    <w:rsid w:val="000112AD"/>
    <w:rsid w:val="0001180D"/>
    <w:rsid w:val="00012820"/>
    <w:rsid w:val="0001491B"/>
    <w:rsid w:val="0001599D"/>
    <w:rsid w:val="000159EF"/>
    <w:rsid w:val="00020203"/>
    <w:rsid w:val="00025256"/>
    <w:rsid w:val="00027110"/>
    <w:rsid w:val="00027F96"/>
    <w:rsid w:val="00030E15"/>
    <w:rsid w:val="00050F6B"/>
    <w:rsid w:val="000525D6"/>
    <w:rsid w:val="000546D4"/>
    <w:rsid w:val="00064E6C"/>
    <w:rsid w:val="00070795"/>
    <w:rsid w:val="00072C8C"/>
    <w:rsid w:val="000763CA"/>
    <w:rsid w:val="00077F85"/>
    <w:rsid w:val="00083DAE"/>
    <w:rsid w:val="00091419"/>
    <w:rsid w:val="000931C0"/>
    <w:rsid w:val="000940DC"/>
    <w:rsid w:val="000A363F"/>
    <w:rsid w:val="000B175B"/>
    <w:rsid w:val="000B1C33"/>
    <w:rsid w:val="000B3A0F"/>
    <w:rsid w:val="000B5C94"/>
    <w:rsid w:val="000B5D4E"/>
    <w:rsid w:val="000C35D4"/>
    <w:rsid w:val="000C54C1"/>
    <w:rsid w:val="000C7A13"/>
    <w:rsid w:val="000D698F"/>
    <w:rsid w:val="000E0415"/>
    <w:rsid w:val="000E3E09"/>
    <w:rsid w:val="000E6FC9"/>
    <w:rsid w:val="000F10A3"/>
    <w:rsid w:val="000F5DD8"/>
    <w:rsid w:val="000F641A"/>
    <w:rsid w:val="000F7D68"/>
    <w:rsid w:val="0010483E"/>
    <w:rsid w:val="001053BC"/>
    <w:rsid w:val="00111B27"/>
    <w:rsid w:val="00112884"/>
    <w:rsid w:val="00112F02"/>
    <w:rsid w:val="00116226"/>
    <w:rsid w:val="00117787"/>
    <w:rsid w:val="0012195D"/>
    <w:rsid w:val="001248E7"/>
    <w:rsid w:val="00125A9D"/>
    <w:rsid w:val="00126B5A"/>
    <w:rsid w:val="0012717F"/>
    <w:rsid w:val="00131D42"/>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31FE"/>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549E"/>
    <w:rsid w:val="00221BEE"/>
    <w:rsid w:val="00222A65"/>
    <w:rsid w:val="00224741"/>
    <w:rsid w:val="002309A7"/>
    <w:rsid w:val="00233C96"/>
    <w:rsid w:val="002344CD"/>
    <w:rsid w:val="00235678"/>
    <w:rsid w:val="00237785"/>
    <w:rsid w:val="00240E56"/>
    <w:rsid w:val="00241466"/>
    <w:rsid w:val="002454FD"/>
    <w:rsid w:val="00245DA0"/>
    <w:rsid w:val="00246C32"/>
    <w:rsid w:val="00255447"/>
    <w:rsid w:val="002632FE"/>
    <w:rsid w:val="0026552D"/>
    <w:rsid w:val="00266C3D"/>
    <w:rsid w:val="00267389"/>
    <w:rsid w:val="002725CA"/>
    <w:rsid w:val="00273219"/>
    <w:rsid w:val="00280105"/>
    <w:rsid w:val="00280EB7"/>
    <w:rsid w:val="002A11A8"/>
    <w:rsid w:val="002A2E98"/>
    <w:rsid w:val="002A43E5"/>
    <w:rsid w:val="002A5848"/>
    <w:rsid w:val="002A72B0"/>
    <w:rsid w:val="002B1CDA"/>
    <w:rsid w:val="002B5B24"/>
    <w:rsid w:val="002B6CCD"/>
    <w:rsid w:val="002C1C7E"/>
    <w:rsid w:val="002C31EE"/>
    <w:rsid w:val="002C39FF"/>
    <w:rsid w:val="002C4376"/>
    <w:rsid w:val="002C50B6"/>
    <w:rsid w:val="002D31F0"/>
    <w:rsid w:val="002D4D3D"/>
    <w:rsid w:val="002D7B20"/>
    <w:rsid w:val="002D7E83"/>
    <w:rsid w:val="002E01D0"/>
    <w:rsid w:val="002E035F"/>
    <w:rsid w:val="002E0B1B"/>
    <w:rsid w:val="002E0B84"/>
    <w:rsid w:val="002E49A3"/>
    <w:rsid w:val="002E4C77"/>
    <w:rsid w:val="002E7195"/>
    <w:rsid w:val="002F544D"/>
    <w:rsid w:val="002F749B"/>
    <w:rsid w:val="003007E3"/>
    <w:rsid w:val="0030282E"/>
    <w:rsid w:val="00302D74"/>
    <w:rsid w:val="003045C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5093F"/>
    <w:rsid w:val="0035378F"/>
    <w:rsid w:val="0036086B"/>
    <w:rsid w:val="00361486"/>
    <w:rsid w:val="00362A80"/>
    <w:rsid w:val="0036414B"/>
    <w:rsid w:val="00366F3D"/>
    <w:rsid w:val="0036710F"/>
    <w:rsid w:val="00386F32"/>
    <w:rsid w:val="0039277A"/>
    <w:rsid w:val="00392B57"/>
    <w:rsid w:val="003972E0"/>
    <w:rsid w:val="003977C2"/>
    <w:rsid w:val="003B02FF"/>
    <w:rsid w:val="003B109A"/>
    <w:rsid w:val="003B53FF"/>
    <w:rsid w:val="003C1057"/>
    <w:rsid w:val="003C21DB"/>
    <w:rsid w:val="003C2CC4"/>
    <w:rsid w:val="003C5566"/>
    <w:rsid w:val="003C6103"/>
    <w:rsid w:val="003D4B23"/>
    <w:rsid w:val="003D5423"/>
    <w:rsid w:val="003E004F"/>
    <w:rsid w:val="003E16F3"/>
    <w:rsid w:val="003E7707"/>
    <w:rsid w:val="003F43B1"/>
    <w:rsid w:val="003F4773"/>
    <w:rsid w:val="003F561D"/>
    <w:rsid w:val="003F5B51"/>
    <w:rsid w:val="003F7598"/>
    <w:rsid w:val="00401663"/>
    <w:rsid w:val="00405E3C"/>
    <w:rsid w:val="00406185"/>
    <w:rsid w:val="00411BC4"/>
    <w:rsid w:val="00412F27"/>
    <w:rsid w:val="004137A5"/>
    <w:rsid w:val="00414546"/>
    <w:rsid w:val="0042004A"/>
    <w:rsid w:val="0042123B"/>
    <w:rsid w:val="00423F72"/>
    <w:rsid w:val="00426D4A"/>
    <w:rsid w:val="00432011"/>
    <w:rsid w:val="004325CB"/>
    <w:rsid w:val="004345E0"/>
    <w:rsid w:val="00437F3F"/>
    <w:rsid w:val="004420E4"/>
    <w:rsid w:val="00445D73"/>
    <w:rsid w:val="00446DE4"/>
    <w:rsid w:val="00447967"/>
    <w:rsid w:val="00447B86"/>
    <w:rsid w:val="00452D7D"/>
    <w:rsid w:val="00454036"/>
    <w:rsid w:val="004544A2"/>
    <w:rsid w:val="00455263"/>
    <w:rsid w:val="00460958"/>
    <w:rsid w:val="00461C3B"/>
    <w:rsid w:val="00462B5A"/>
    <w:rsid w:val="004645EA"/>
    <w:rsid w:val="00464BB7"/>
    <w:rsid w:val="0047146E"/>
    <w:rsid w:val="00477677"/>
    <w:rsid w:val="004800E7"/>
    <w:rsid w:val="00480B9E"/>
    <w:rsid w:val="00480F56"/>
    <w:rsid w:val="00492426"/>
    <w:rsid w:val="00492832"/>
    <w:rsid w:val="004962B4"/>
    <w:rsid w:val="00496FCF"/>
    <w:rsid w:val="0049730E"/>
    <w:rsid w:val="004A143F"/>
    <w:rsid w:val="004B01B8"/>
    <w:rsid w:val="004B2C9D"/>
    <w:rsid w:val="004B2F57"/>
    <w:rsid w:val="004C04BC"/>
    <w:rsid w:val="004C43C5"/>
    <w:rsid w:val="004C52AC"/>
    <w:rsid w:val="004C5648"/>
    <w:rsid w:val="004C74AE"/>
    <w:rsid w:val="004C7C9C"/>
    <w:rsid w:val="004D4897"/>
    <w:rsid w:val="004D574F"/>
    <w:rsid w:val="004D60B4"/>
    <w:rsid w:val="004D631D"/>
    <w:rsid w:val="004E286E"/>
    <w:rsid w:val="004E7252"/>
    <w:rsid w:val="004F44EC"/>
    <w:rsid w:val="004F45B6"/>
    <w:rsid w:val="00504E59"/>
    <w:rsid w:val="005054EE"/>
    <w:rsid w:val="00505F32"/>
    <w:rsid w:val="00507F85"/>
    <w:rsid w:val="00511255"/>
    <w:rsid w:val="00513BBA"/>
    <w:rsid w:val="00517A3F"/>
    <w:rsid w:val="00520033"/>
    <w:rsid w:val="005201AE"/>
    <w:rsid w:val="00520847"/>
    <w:rsid w:val="00523059"/>
    <w:rsid w:val="00523965"/>
    <w:rsid w:val="0052436D"/>
    <w:rsid w:val="00527910"/>
    <w:rsid w:val="005301A3"/>
    <w:rsid w:val="005355FB"/>
    <w:rsid w:val="00537105"/>
    <w:rsid w:val="005420F2"/>
    <w:rsid w:val="005436FA"/>
    <w:rsid w:val="005452EB"/>
    <w:rsid w:val="0054543E"/>
    <w:rsid w:val="00545561"/>
    <w:rsid w:val="00552424"/>
    <w:rsid w:val="00553A01"/>
    <w:rsid w:val="00557CAC"/>
    <w:rsid w:val="005726B7"/>
    <w:rsid w:val="00575156"/>
    <w:rsid w:val="005761C0"/>
    <w:rsid w:val="00577FFB"/>
    <w:rsid w:val="0058567E"/>
    <w:rsid w:val="00586D1A"/>
    <w:rsid w:val="0058720B"/>
    <w:rsid w:val="00587799"/>
    <w:rsid w:val="00590144"/>
    <w:rsid w:val="00590B7D"/>
    <w:rsid w:val="00592341"/>
    <w:rsid w:val="00597262"/>
    <w:rsid w:val="005A4308"/>
    <w:rsid w:val="005B3DB3"/>
    <w:rsid w:val="005B4DC6"/>
    <w:rsid w:val="005C16E0"/>
    <w:rsid w:val="005C3789"/>
    <w:rsid w:val="005D00D9"/>
    <w:rsid w:val="005D16B7"/>
    <w:rsid w:val="005D1EBF"/>
    <w:rsid w:val="005E4B75"/>
    <w:rsid w:val="005E6081"/>
    <w:rsid w:val="005E64C2"/>
    <w:rsid w:val="005E7E0D"/>
    <w:rsid w:val="005E7EFC"/>
    <w:rsid w:val="005F2A5D"/>
    <w:rsid w:val="005F7B4D"/>
    <w:rsid w:val="00600EA4"/>
    <w:rsid w:val="00602CE8"/>
    <w:rsid w:val="006055B5"/>
    <w:rsid w:val="006069EF"/>
    <w:rsid w:val="00610992"/>
    <w:rsid w:val="00610F39"/>
    <w:rsid w:val="00611FC4"/>
    <w:rsid w:val="006120D7"/>
    <w:rsid w:val="006176FB"/>
    <w:rsid w:val="006220BD"/>
    <w:rsid w:val="00623162"/>
    <w:rsid w:val="00623495"/>
    <w:rsid w:val="006234DD"/>
    <w:rsid w:val="0062449B"/>
    <w:rsid w:val="00624DC2"/>
    <w:rsid w:val="006250E3"/>
    <w:rsid w:val="0063419C"/>
    <w:rsid w:val="00640B26"/>
    <w:rsid w:val="00644147"/>
    <w:rsid w:val="00644A62"/>
    <w:rsid w:val="00646D16"/>
    <w:rsid w:val="006500BA"/>
    <w:rsid w:val="00651617"/>
    <w:rsid w:val="0065287C"/>
    <w:rsid w:val="00654210"/>
    <w:rsid w:val="006623FD"/>
    <w:rsid w:val="0066601C"/>
    <w:rsid w:val="006700B3"/>
    <w:rsid w:val="006715A1"/>
    <w:rsid w:val="00676D1B"/>
    <w:rsid w:val="006847C1"/>
    <w:rsid w:val="00684E5B"/>
    <w:rsid w:val="006861C4"/>
    <w:rsid w:val="006868CE"/>
    <w:rsid w:val="00687A4F"/>
    <w:rsid w:val="00692A7A"/>
    <w:rsid w:val="00692BBF"/>
    <w:rsid w:val="00693528"/>
    <w:rsid w:val="0069488E"/>
    <w:rsid w:val="00694BDB"/>
    <w:rsid w:val="00694DB9"/>
    <w:rsid w:val="00695339"/>
    <w:rsid w:val="006964E2"/>
    <w:rsid w:val="006A31E7"/>
    <w:rsid w:val="006A4FF4"/>
    <w:rsid w:val="006A7392"/>
    <w:rsid w:val="006B2614"/>
    <w:rsid w:val="006B54B0"/>
    <w:rsid w:val="006B62B2"/>
    <w:rsid w:val="006C0D34"/>
    <w:rsid w:val="006C19F2"/>
    <w:rsid w:val="006C48B4"/>
    <w:rsid w:val="006C7E11"/>
    <w:rsid w:val="006D4BF7"/>
    <w:rsid w:val="006D6AE7"/>
    <w:rsid w:val="006E4568"/>
    <w:rsid w:val="006E564B"/>
    <w:rsid w:val="006F1AFD"/>
    <w:rsid w:val="006F3E5A"/>
    <w:rsid w:val="00703434"/>
    <w:rsid w:val="00703F37"/>
    <w:rsid w:val="00706CF0"/>
    <w:rsid w:val="00713208"/>
    <w:rsid w:val="00714353"/>
    <w:rsid w:val="0071612E"/>
    <w:rsid w:val="007167F8"/>
    <w:rsid w:val="007215CA"/>
    <w:rsid w:val="00723646"/>
    <w:rsid w:val="00723DD2"/>
    <w:rsid w:val="0072632A"/>
    <w:rsid w:val="00731778"/>
    <w:rsid w:val="00734718"/>
    <w:rsid w:val="00740990"/>
    <w:rsid w:val="00740FD7"/>
    <w:rsid w:val="00742F76"/>
    <w:rsid w:val="007523B9"/>
    <w:rsid w:val="007528A8"/>
    <w:rsid w:val="00753E56"/>
    <w:rsid w:val="00754F8F"/>
    <w:rsid w:val="00756568"/>
    <w:rsid w:val="00757D9F"/>
    <w:rsid w:val="00760C7F"/>
    <w:rsid w:val="00762429"/>
    <w:rsid w:val="00766574"/>
    <w:rsid w:val="00766662"/>
    <w:rsid w:val="007666D8"/>
    <w:rsid w:val="00767E04"/>
    <w:rsid w:val="007735C6"/>
    <w:rsid w:val="00774A3D"/>
    <w:rsid w:val="007760C6"/>
    <w:rsid w:val="007771E7"/>
    <w:rsid w:val="007819C3"/>
    <w:rsid w:val="00781C48"/>
    <w:rsid w:val="00781DBA"/>
    <w:rsid w:val="0078662B"/>
    <w:rsid w:val="00787151"/>
    <w:rsid w:val="00790791"/>
    <w:rsid w:val="007907C5"/>
    <w:rsid w:val="00790B4D"/>
    <w:rsid w:val="007911CC"/>
    <w:rsid w:val="0079308F"/>
    <w:rsid w:val="00796199"/>
    <w:rsid w:val="00796FCA"/>
    <w:rsid w:val="007979F3"/>
    <w:rsid w:val="007A6660"/>
    <w:rsid w:val="007B2AE6"/>
    <w:rsid w:val="007B2B56"/>
    <w:rsid w:val="007B6BA5"/>
    <w:rsid w:val="007B74E5"/>
    <w:rsid w:val="007C3390"/>
    <w:rsid w:val="007C4F4B"/>
    <w:rsid w:val="007C7159"/>
    <w:rsid w:val="007D0EB9"/>
    <w:rsid w:val="007D3710"/>
    <w:rsid w:val="007E071B"/>
    <w:rsid w:val="007E2266"/>
    <w:rsid w:val="007E25DE"/>
    <w:rsid w:val="007E650F"/>
    <w:rsid w:val="007E7DDA"/>
    <w:rsid w:val="007E7E3F"/>
    <w:rsid w:val="007F2402"/>
    <w:rsid w:val="007F55FD"/>
    <w:rsid w:val="007F6611"/>
    <w:rsid w:val="00801547"/>
    <w:rsid w:val="00801882"/>
    <w:rsid w:val="0080201A"/>
    <w:rsid w:val="008028C7"/>
    <w:rsid w:val="008078B8"/>
    <w:rsid w:val="008175E9"/>
    <w:rsid w:val="00820C9B"/>
    <w:rsid w:val="008229C9"/>
    <w:rsid w:val="00823A99"/>
    <w:rsid w:val="008242D7"/>
    <w:rsid w:val="00827667"/>
    <w:rsid w:val="008309A5"/>
    <w:rsid w:val="00831BCD"/>
    <w:rsid w:val="00832A9A"/>
    <w:rsid w:val="00832CCE"/>
    <w:rsid w:val="00844283"/>
    <w:rsid w:val="0085128E"/>
    <w:rsid w:val="008555F2"/>
    <w:rsid w:val="00857F8E"/>
    <w:rsid w:val="00861A50"/>
    <w:rsid w:val="008644B5"/>
    <w:rsid w:val="00871FD5"/>
    <w:rsid w:val="00873CC0"/>
    <w:rsid w:val="00880BCA"/>
    <w:rsid w:val="00886778"/>
    <w:rsid w:val="0089622B"/>
    <w:rsid w:val="008979B1"/>
    <w:rsid w:val="008A6B25"/>
    <w:rsid w:val="008A6C4F"/>
    <w:rsid w:val="008B42EC"/>
    <w:rsid w:val="008B57C5"/>
    <w:rsid w:val="008B5AD2"/>
    <w:rsid w:val="008B7671"/>
    <w:rsid w:val="008C4BA9"/>
    <w:rsid w:val="008D33EE"/>
    <w:rsid w:val="008D4349"/>
    <w:rsid w:val="008D7089"/>
    <w:rsid w:val="008D7684"/>
    <w:rsid w:val="008E0E46"/>
    <w:rsid w:val="008E7441"/>
    <w:rsid w:val="008F16EF"/>
    <w:rsid w:val="008F3A21"/>
    <w:rsid w:val="008F7198"/>
    <w:rsid w:val="009027C8"/>
    <w:rsid w:val="00905C17"/>
    <w:rsid w:val="00911775"/>
    <w:rsid w:val="00915907"/>
    <w:rsid w:val="009203DB"/>
    <w:rsid w:val="00931595"/>
    <w:rsid w:val="009359B7"/>
    <w:rsid w:val="00936083"/>
    <w:rsid w:val="00937A56"/>
    <w:rsid w:val="0094224B"/>
    <w:rsid w:val="00943370"/>
    <w:rsid w:val="00944344"/>
    <w:rsid w:val="00945A5D"/>
    <w:rsid w:val="0095044B"/>
    <w:rsid w:val="009504E5"/>
    <w:rsid w:val="00955D36"/>
    <w:rsid w:val="00960293"/>
    <w:rsid w:val="00963578"/>
    <w:rsid w:val="00963CBA"/>
    <w:rsid w:val="009660D3"/>
    <w:rsid w:val="009667C3"/>
    <w:rsid w:val="00972515"/>
    <w:rsid w:val="009725FA"/>
    <w:rsid w:val="00980555"/>
    <w:rsid w:val="00980BA4"/>
    <w:rsid w:val="0099124E"/>
    <w:rsid w:val="00991261"/>
    <w:rsid w:val="00992928"/>
    <w:rsid w:val="0099739B"/>
    <w:rsid w:val="009A0CCA"/>
    <w:rsid w:val="009A2A17"/>
    <w:rsid w:val="009B1FCB"/>
    <w:rsid w:val="009B36B1"/>
    <w:rsid w:val="009C3671"/>
    <w:rsid w:val="009C5E41"/>
    <w:rsid w:val="009C6AA8"/>
    <w:rsid w:val="009C6AEC"/>
    <w:rsid w:val="009D47CE"/>
    <w:rsid w:val="009D57DC"/>
    <w:rsid w:val="009D6AAE"/>
    <w:rsid w:val="009D7C04"/>
    <w:rsid w:val="009E07F3"/>
    <w:rsid w:val="009E1FFD"/>
    <w:rsid w:val="009E3D2F"/>
    <w:rsid w:val="009F0508"/>
    <w:rsid w:val="009F0F06"/>
    <w:rsid w:val="009F2D77"/>
    <w:rsid w:val="00A1306F"/>
    <w:rsid w:val="00A1424E"/>
    <w:rsid w:val="00A1427D"/>
    <w:rsid w:val="00A17A84"/>
    <w:rsid w:val="00A209EB"/>
    <w:rsid w:val="00A23AD3"/>
    <w:rsid w:val="00A23DF2"/>
    <w:rsid w:val="00A243A4"/>
    <w:rsid w:val="00A33C0C"/>
    <w:rsid w:val="00A4133A"/>
    <w:rsid w:val="00A4528A"/>
    <w:rsid w:val="00A46900"/>
    <w:rsid w:val="00A47C68"/>
    <w:rsid w:val="00A523CD"/>
    <w:rsid w:val="00A575B7"/>
    <w:rsid w:val="00A650BC"/>
    <w:rsid w:val="00A70FBE"/>
    <w:rsid w:val="00A719BB"/>
    <w:rsid w:val="00A71E9E"/>
    <w:rsid w:val="00A72F22"/>
    <w:rsid w:val="00A746D0"/>
    <w:rsid w:val="00A748A6"/>
    <w:rsid w:val="00A75EC9"/>
    <w:rsid w:val="00A81A51"/>
    <w:rsid w:val="00A83E8F"/>
    <w:rsid w:val="00A85CE2"/>
    <w:rsid w:val="00A86A59"/>
    <w:rsid w:val="00A879A4"/>
    <w:rsid w:val="00A95B60"/>
    <w:rsid w:val="00A95BD8"/>
    <w:rsid w:val="00AA086A"/>
    <w:rsid w:val="00AA255E"/>
    <w:rsid w:val="00AA3259"/>
    <w:rsid w:val="00AB33F7"/>
    <w:rsid w:val="00AB5B75"/>
    <w:rsid w:val="00AB5F1C"/>
    <w:rsid w:val="00AC0B01"/>
    <w:rsid w:val="00AC0F0F"/>
    <w:rsid w:val="00AC1437"/>
    <w:rsid w:val="00AC4574"/>
    <w:rsid w:val="00AC58B6"/>
    <w:rsid w:val="00AC7BAB"/>
    <w:rsid w:val="00AE14FD"/>
    <w:rsid w:val="00AE15DC"/>
    <w:rsid w:val="00AE1EFD"/>
    <w:rsid w:val="00AE2E7A"/>
    <w:rsid w:val="00AE3276"/>
    <w:rsid w:val="00AE48EB"/>
    <w:rsid w:val="00AE737D"/>
    <w:rsid w:val="00AF36F5"/>
    <w:rsid w:val="00B05984"/>
    <w:rsid w:val="00B10932"/>
    <w:rsid w:val="00B15BBF"/>
    <w:rsid w:val="00B1765A"/>
    <w:rsid w:val="00B30179"/>
    <w:rsid w:val="00B326C3"/>
    <w:rsid w:val="00B3317B"/>
    <w:rsid w:val="00B347AE"/>
    <w:rsid w:val="00B36CAA"/>
    <w:rsid w:val="00B45F8C"/>
    <w:rsid w:val="00B509EA"/>
    <w:rsid w:val="00B62775"/>
    <w:rsid w:val="00B74130"/>
    <w:rsid w:val="00B808E4"/>
    <w:rsid w:val="00B81E12"/>
    <w:rsid w:val="00B86229"/>
    <w:rsid w:val="00B87CDF"/>
    <w:rsid w:val="00B92AE4"/>
    <w:rsid w:val="00B93068"/>
    <w:rsid w:val="00B93A09"/>
    <w:rsid w:val="00BA0B17"/>
    <w:rsid w:val="00BA1C8B"/>
    <w:rsid w:val="00BA270E"/>
    <w:rsid w:val="00BB08BA"/>
    <w:rsid w:val="00BB1138"/>
    <w:rsid w:val="00BB7BBB"/>
    <w:rsid w:val="00BB7EA7"/>
    <w:rsid w:val="00BC03A3"/>
    <w:rsid w:val="00BC1A2E"/>
    <w:rsid w:val="00BC74E9"/>
    <w:rsid w:val="00BD3815"/>
    <w:rsid w:val="00BD50CF"/>
    <w:rsid w:val="00BD6746"/>
    <w:rsid w:val="00BD790F"/>
    <w:rsid w:val="00BE0E4C"/>
    <w:rsid w:val="00BE18CC"/>
    <w:rsid w:val="00BE409E"/>
    <w:rsid w:val="00BE565D"/>
    <w:rsid w:val="00BE618E"/>
    <w:rsid w:val="00BF0A10"/>
    <w:rsid w:val="00BF252E"/>
    <w:rsid w:val="00BF4D09"/>
    <w:rsid w:val="00BF4E49"/>
    <w:rsid w:val="00C024CA"/>
    <w:rsid w:val="00C07EF7"/>
    <w:rsid w:val="00C11334"/>
    <w:rsid w:val="00C140EE"/>
    <w:rsid w:val="00C155C9"/>
    <w:rsid w:val="00C201A3"/>
    <w:rsid w:val="00C26DFA"/>
    <w:rsid w:val="00C27477"/>
    <w:rsid w:val="00C27632"/>
    <w:rsid w:val="00C306AC"/>
    <w:rsid w:val="00C3356A"/>
    <w:rsid w:val="00C429BE"/>
    <w:rsid w:val="00C463DD"/>
    <w:rsid w:val="00C4749D"/>
    <w:rsid w:val="00C502A4"/>
    <w:rsid w:val="00C52F16"/>
    <w:rsid w:val="00C53972"/>
    <w:rsid w:val="00C627D3"/>
    <w:rsid w:val="00C62F76"/>
    <w:rsid w:val="00C67A5F"/>
    <w:rsid w:val="00C70453"/>
    <w:rsid w:val="00C70FF3"/>
    <w:rsid w:val="00C73CF5"/>
    <w:rsid w:val="00C740E4"/>
    <w:rsid w:val="00C745C3"/>
    <w:rsid w:val="00C74F57"/>
    <w:rsid w:val="00C83FAC"/>
    <w:rsid w:val="00C8442A"/>
    <w:rsid w:val="00C8475A"/>
    <w:rsid w:val="00C93440"/>
    <w:rsid w:val="00C95089"/>
    <w:rsid w:val="00C97FC3"/>
    <w:rsid w:val="00CA698B"/>
    <w:rsid w:val="00CB42D6"/>
    <w:rsid w:val="00CB7A6C"/>
    <w:rsid w:val="00CC503F"/>
    <w:rsid w:val="00CD3225"/>
    <w:rsid w:val="00CD42C6"/>
    <w:rsid w:val="00CD570D"/>
    <w:rsid w:val="00CD59C7"/>
    <w:rsid w:val="00CD6D47"/>
    <w:rsid w:val="00CD6DB5"/>
    <w:rsid w:val="00CE2396"/>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1BDF"/>
    <w:rsid w:val="00D325E1"/>
    <w:rsid w:val="00D32E45"/>
    <w:rsid w:val="00D3416A"/>
    <w:rsid w:val="00D352FD"/>
    <w:rsid w:val="00D37A2E"/>
    <w:rsid w:val="00D41A19"/>
    <w:rsid w:val="00D43252"/>
    <w:rsid w:val="00D4587D"/>
    <w:rsid w:val="00D46643"/>
    <w:rsid w:val="00D4696D"/>
    <w:rsid w:val="00D53132"/>
    <w:rsid w:val="00D53FF5"/>
    <w:rsid w:val="00D56680"/>
    <w:rsid w:val="00D603A9"/>
    <w:rsid w:val="00D6056C"/>
    <w:rsid w:val="00D60C7E"/>
    <w:rsid w:val="00D610B6"/>
    <w:rsid w:val="00D620B9"/>
    <w:rsid w:val="00D71F9A"/>
    <w:rsid w:val="00D72550"/>
    <w:rsid w:val="00D753D8"/>
    <w:rsid w:val="00D81B39"/>
    <w:rsid w:val="00D87F6D"/>
    <w:rsid w:val="00D9217B"/>
    <w:rsid w:val="00D9252E"/>
    <w:rsid w:val="00D92AA9"/>
    <w:rsid w:val="00D942C2"/>
    <w:rsid w:val="00D96CC5"/>
    <w:rsid w:val="00D978C6"/>
    <w:rsid w:val="00DA3D54"/>
    <w:rsid w:val="00DA67AD"/>
    <w:rsid w:val="00DA7807"/>
    <w:rsid w:val="00DB2AEF"/>
    <w:rsid w:val="00DB30DC"/>
    <w:rsid w:val="00DB7C45"/>
    <w:rsid w:val="00DC0378"/>
    <w:rsid w:val="00DC3E5A"/>
    <w:rsid w:val="00DC6BF2"/>
    <w:rsid w:val="00DD217B"/>
    <w:rsid w:val="00DD44FB"/>
    <w:rsid w:val="00DD7BE3"/>
    <w:rsid w:val="00DE0FD9"/>
    <w:rsid w:val="00DE38EC"/>
    <w:rsid w:val="00DE5FB9"/>
    <w:rsid w:val="00DE7C71"/>
    <w:rsid w:val="00DE7E86"/>
    <w:rsid w:val="00DF22D5"/>
    <w:rsid w:val="00DF4C3C"/>
    <w:rsid w:val="00DF5494"/>
    <w:rsid w:val="00DF70FB"/>
    <w:rsid w:val="00E0259F"/>
    <w:rsid w:val="00E04B26"/>
    <w:rsid w:val="00E07CE1"/>
    <w:rsid w:val="00E07FDF"/>
    <w:rsid w:val="00E10DB6"/>
    <w:rsid w:val="00E130AB"/>
    <w:rsid w:val="00E161D7"/>
    <w:rsid w:val="00E17189"/>
    <w:rsid w:val="00E20B71"/>
    <w:rsid w:val="00E22448"/>
    <w:rsid w:val="00E25509"/>
    <w:rsid w:val="00E41514"/>
    <w:rsid w:val="00E42111"/>
    <w:rsid w:val="00E45FAF"/>
    <w:rsid w:val="00E464E9"/>
    <w:rsid w:val="00E46B58"/>
    <w:rsid w:val="00E50122"/>
    <w:rsid w:val="00E51A80"/>
    <w:rsid w:val="00E53D59"/>
    <w:rsid w:val="00E5644E"/>
    <w:rsid w:val="00E60BC4"/>
    <w:rsid w:val="00E611F5"/>
    <w:rsid w:val="00E61BF1"/>
    <w:rsid w:val="00E62E59"/>
    <w:rsid w:val="00E66EBB"/>
    <w:rsid w:val="00E70EBC"/>
    <w:rsid w:val="00E7260F"/>
    <w:rsid w:val="00E746F3"/>
    <w:rsid w:val="00E8449A"/>
    <w:rsid w:val="00E8535A"/>
    <w:rsid w:val="00E8631A"/>
    <w:rsid w:val="00E91C51"/>
    <w:rsid w:val="00E92C7F"/>
    <w:rsid w:val="00E9395E"/>
    <w:rsid w:val="00E96630"/>
    <w:rsid w:val="00E9678C"/>
    <w:rsid w:val="00EA6DDC"/>
    <w:rsid w:val="00EA772F"/>
    <w:rsid w:val="00EB2AE2"/>
    <w:rsid w:val="00EB6832"/>
    <w:rsid w:val="00EB6EE7"/>
    <w:rsid w:val="00EC04D8"/>
    <w:rsid w:val="00ED30E9"/>
    <w:rsid w:val="00ED4C0B"/>
    <w:rsid w:val="00ED6653"/>
    <w:rsid w:val="00ED7A2A"/>
    <w:rsid w:val="00EE257F"/>
    <w:rsid w:val="00EE392B"/>
    <w:rsid w:val="00EE4966"/>
    <w:rsid w:val="00EF1AF5"/>
    <w:rsid w:val="00EF1D7F"/>
    <w:rsid w:val="00EF22F4"/>
    <w:rsid w:val="00EF2B23"/>
    <w:rsid w:val="00EF582C"/>
    <w:rsid w:val="00EF5A8D"/>
    <w:rsid w:val="00F0002D"/>
    <w:rsid w:val="00F1272B"/>
    <w:rsid w:val="00F1629C"/>
    <w:rsid w:val="00F173DD"/>
    <w:rsid w:val="00F21597"/>
    <w:rsid w:val="00F2784E"/>
    <w:rsid w:val="00F3006C"/>
    <w:rsid w:val="00F3171A"/>
    <w:rsid w:val="00F350A9"/>
    <w:rsid w:val="00F40E75"/>
    <w:rsid w:val="00F42B81"/>
    <w:rsid w:val="00F43364"/>
    <w:rsid w:val="00F438AA"/>
    <w:rsid w:val="00F441D1"/>
    <w:rsid w:val="00F4465B"/>
    <w:rsid w:val="00F50AA7"/>
    <w:rsid w:val="00F5110C"/>
    <w:rsid w:val="00F51169"/>
    <w:rsid w:val="00F5307C"/>
    <w:rsid w:val="00F54674"/>
    <w:rsid w:val="00F547C2"/>
    <w:rsid w:val="00F63B80"/>
    <w:rsid w:val="00F65530"/>
    <w:rsid w:val="00F6717A"/>
    <w:rsid w:val="00F70F80"/>
    <w:rsid w:val="00F7751B"/>
    <w:rsid w:val="00F80AB9"/>
    <w:rsid w:val="00F83AF1"/>
    <w:rsid w:val="00F92F8C"/>
    <w:rsid w:val="00F9483C"/>
    <w:rsid w:val="00FA5D55"/>
    <w:rsid w:val="00FA6195"/>
    <w:rsid w:val="00FA7DFD"/>
    <w:rsid w:val="00FB51BA"/>
    <w:rsid w:val="00FB5F72"/>
    <w:rsid w:val="00FB61D6"/>
    <w:rsid w:val="00FC318E"/>
    <w:rsid w:val="00FC4EFC"/>
    <w:rsid w:val="00FC5F5D"/>
    <w:rsid w:val="00FC68B7"/>
    <w:rsid w:val="00FD104C"/>
    <w:rsid w:val="00FD1110"/>
    <w:rsid w:val="00FD20F3"/>
    <w:rsid w:val="00FD3402"/>
    <w:rsid w:val="00FD4900"/>
    <w:rsid w:val="00FD50F3"/>
    <w:rsid w:val="00FD5B15"/>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66EBB"/>
    <w:rPr>
      <w:rFonts w:cs="Courier New"/>
    </w:rPr>
  </w:style>
  <w:style w:type="paragraph" w:styleId="BodyText">
    <w:name w:val="Body Text"/>
    <w:basedOn w:val="Normal"/>
    <w:next w:val="Normal"/>
    <w:semiHidden/>
    <w:rsid w:val="00E66EBB"/>
  </w:style>
  <w:style w:type="paragraph" w:styleId="BodyTextIndent">
    <w:name w:val="Body Text Indent"/>
    <w:basedOn w:val="Normal"/>
    <w:semiHidden/>
    <w:rsid w:val="00E66EBB"/>
    <w:pPr>
      <w:spacing w:after="120"/>
      <w:ind w:left="283"/>
    </w:pPr>
  </w:style>
  <w:style w:type="paragraph" w:styleId="BlockText">
    <w:name w:val="Block Text"/>
    <w:basedOn w:val="Normal"/>
    <w:semiHidden/>
    <w:rsid w:val="00E66EB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E66EBB"/>
    <w:rPr>
      <w:sz w:val="6"/>
    </w:rPr>
  </w:style>
  <w:style w:type="paragraph" w:styleId="CommentText">
    <w:name w:val="annotation text"/>
    <w:basedOn w:val="Normal"/>
    <w:link w:val="CommentTextChar"/>
    <w:uiPriority w:val="99"/>
    <w:semiHidden/>
    <w:rsid w:val="00E66EBB"/>
  </w:style>
  <w:style w:type="character" w:styleId="LineNumber">
    <w:name w:val="line number"/>
    <w:semiHidden/>
    <w:rsid w:val="00E66EB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uiPriority w:val="99"/>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66EBB"/>
    <w:rPr>
      <w:rFonts w:cs="Courier New"/>
    </w:rPr>
  </w:style>
  <w:style w:type="paragraph" w:styleId="BodyText">
    <w:name w:val="Body Text"/>
    <w:basedOn w:val="Normal"/>
    <w:next w:val="Normal"/>
    <w:semiHidden/>
    <w:rsid w:val="00E66EBB"/>
  </w:style>
  <w:style w:type="paragraph" w:styleId="BodyTextIndent">
    <w:name w:val="Body Text Indent"/>
    <w:basedOn w:val="Normal"/>
    <w:semiHidden/>
    <w:rsid w:val="00E66EBB"/>
    <w:pPr>
      <w:spacing w:after="120"/>
      <w:ind w:left="283"/>
    </w:pPr>
  </w:style>
  <w:style w:type="paragraph" w:styleId="BlockText">
    <w:name w:val="Block Text"/>
    <w:basedOn w:val="Normal"/>
    <w:semiHidden/>
    <w:rsid w:val="00E66EB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rsid w:val="00E66EBB"/>
    <w:rPr>
      <w:sz w:val="6"/>
    </w:rPr>
  </w:style>
  <w:style w:type="paragraph" w:styleId="CommentText">
    <w:name w:val="annotation text"/>
    <w:basedOn w:val="Normal"/>
    <w:link w:val="CommentTextChar"/>
    <w:uiPriority w:val="99"/>
    <w:semiHidden/>
    <w:rsid w:val="00E66EBB"/>
  </w:style>
  <w:style w:type="character" w:styleId="LineNumber">
    <w:name w:val="line number"/>
    <w:semiHidden/>
    <w:rsid w:val="00E66EB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uiPriority w:val="99"/>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30FB-CF4E-4A36-969A-A8546DF8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1228</Words>
  <Characters>7005</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2016-06-14T09:51:00Z</cp:lastPrinted>
  <dcterms:created xsi:type="dcterms:W3CDTF">2016-06-14T09:53:00Z</dcterms:created>
  <dcterms:modified xsi:type="dcterms:W3CDTF">2016-06-14T10:00:00Z</dcterms:modified>
</cp:coreProperties>
</file>