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DB2625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37370B">
              <w:rPr>
                <w:b/>
                <w:sz w:val="40"/>
                <w:szCs w:val="40"/>
              </w:rPr>
              <w:t>9</w:t>
            </w:r>
            <w:r w:rsidR="007315A6">
              <w:rPr>
                <w:b/>
                <w:sz w:val="40"/>
                <w:szCs w:val="40"/>
              </w:rPr>
              <w:t>/INF.</w:t>
            </w:r>
            <w:r w:rsidR="00DB2625">
              <w:rPr>
                <w:b/>
                <w:sz w:val="40"/>
                <w:szCs w:val="40"/>
              </w:rPr>
              <w:t>21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0729A7" w:rsidRPr="000729A7" w:rsidRDefault="000729A7" w:rsidP="000729A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9749FE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DB2625">
              <w:rPr>
                <w:b/>
              </w:rPr>
              <w:t>9</w:t>
            </w:r>
            <w:r w:rsidR="0037370B" w:rsidRPr="0037370B">
              <w:rPr>
                <w:b/>
                <w:sz w:val="18"/>
                <w:szCs w:val="24"/>
              </w:rPr>
              <w:t xml:space="preserve"> </w:t>
            </w:r>
            <w:r w:rsidR="009749FE">
              <w:rPr>
                <w:b/>
                <w:sz w:val="18"/>
                <w:szCs w:val="24"/>
              </w:rPr>
              <w:t xml:space="preserve">June </w:t>
            </w:r>
            <w:r w:rsidR="005A37A2">
              <w:rPr>
                <w:b/>
                <w:sz w:val="18"/>
                <w:szCs w:val="24"/>
              </w:rPr>
              <w:t>201</w:t>
            </w:r>
            <w:r w:rsidR="009749FE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37370B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37370B">
              <w:rPr>
                <w:b/>
              </w:rPr>
              <w:t>nin</w:t>
            </w:r>
            <w:r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37370B">
              <w:t>27 June – 6 July 2016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9749FE">
              <w:t>3</w:t>
            </w:r>
            <w:r w:rsidRPr="00F54DDA">
              <w:t xml:space="preserve"> of the provisional agenda</w:t>
            </w:r>
          </w:p>
          <w:p w:rsidR="00280D2B" w:rsidRPr="00093FAC" w:rsidRDefault="009749FE" w:rsidP="00093FAC">
            <w:pPr>
              <w:spacing w:after="120"/>
              <w:ind w:left="34" w:hanging="34"/>
              <w:rPr>
                <w:b/>
              </w:rPr>
            </w:pPr>
            <w:r w:rsidRPr="009749FE">
              <w:rPr>
                <w:b/>
              </w:rPr>
              <w:t>Listing, classification and packing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A12267" w:rsidRPr="000C4A22" w:rsidRDefault="005A37A2" w:rsidP="00093FAC">
      <w:pPr>
        <w:pStyle w:val="HChG"/>
      </w:pPr>
      <w:r>
        <w:tab/>
      </w:r>
      <w:r>
        <w:tab/>
      </w:r>
      <w:r w:rsidR="009749FE">
        <w:t>Exemptions for polymerizing substances</w:t>
      </w:r>
    </w:p>
    <w:p w:rsidR="0005111B" w:rsidRPr="00093FAC" w:rsidRDefault="00A12267" w:rsidP="00093FAC">
      <w:pPr>
        <w:pStyle w:val="H1G"/>
      </w:pPr>
      <w:r>
        <w:tab/>
      </w:r>
      <w:r>
        <w:tab/>
      </w:r>
      <w:r w:rsidR="00F51F72" w:rsidRPr="00F51F72">
        <w:t>Transmitted by the European Chemical Industry Council (CEFIC)</w:t>
      </w:r>
    </w:p>
    <w:p w:rsidR="0057509F" w:rsidRPr="00093FAC" w:rsidRDefault="000869B4" w:rsidP="00093FAC">
      <w:pPr>
        <w:pStyle w:val="HChG"/>
      </w:pPr>
      <w:r>
        <w:tab/>
      </w:r>
      <w:r>
        <w:tab/>
      </w:r>
      <w:r w:rsidR="0057509F" w:rsidRPr="00CD3BAB">
        <w:t>Introduction</w:t>
      </w:r>
    </w:p>
    <w:p w:rsidR="00630C0F" w:rsidRPr="004733CF" w:rsidRDefault="00630C0F" w:rsidP="00630C0F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>
        <w:t xml:space="preserve">In the last biennium, the </w:t>
      </w:r>
      <w:r w:rsidR="00DB2625">
        <w:t>Sub-Committee of e</w:t>
      </w:r>
      <w:r w:rsidRPr="00630C0F">
        <w:t>xperts on the Transport of Dangerous Goods had decided to introduce polymerizing substances in Division 4.1.</w:t>
      </w:r>
    </w:p>
    <w:p w:rsidR="00630C0F" w:rsidRDefault="00630C0F" w:rsidP="00630C0F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>
        <w:t>The definition of section 2.4.2.5.1 describes polymerizing substances as “</w:t>
      </w:r>
      <w:r w:rsidRPr="003D580C">
        <w:t>substances which, without stabilization, are liable to undergo a strongly exothermic reaction resulting in the formation of larger molecules or resulting in the formation of polymers under conditions normally encountered in transport.</w:t>
      </w:r>
      <w:r>
        <w:t>“</w:t>
      </w:r>
    </w:p>
    <w:p w:rsidR="00630C0F" w:rsidRDefault="00630C0F" w:rsidP="000F142C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>
        <w:t>However, the text does not contain any provisions about exemptions.</w:t>
      </w:r>
    </w:p>
    <w:p w:rsidR="00860372" w:rsidRDefault="00860372" w:rsidP="00630C0F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>
        <w:t>Industr</w:t>
      </w:r>
      <w:r w:rsidR="00630C0F">
        <w:t xml:space="preserve">y believes it would be helpful to introduce some </w:t>
      </w:r>
      <w:r>
        <w:t>criteria for exemptions in analogy to self-reactive substances of Division 4.1 and organic peroxides of Division 5.2.</w:t>
      </w:r>
    </w:p>
    <w:p w:rsidR="00630C0F" w:rsidRDefault="00630C0F" w:rsidP="00630C0F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>
        <w:t xml:space="preserve"> Members of the Sub</w:t>
      </w:r>
      <w:r w:rsidR="00DB2625">
        <w:t>-C</w:t>
      </w:r>
      <w:r>
        <w:t>ommittee are requested to review this paper and to forward any comments to the CEFIC delegation who intends to submit a formal proposal in this matter for the December session.</w:t>
      </w:r>
    </w:p>
    <w:p w:rsidR="00860372" w:rsidRDefault="00860372" w:rsidP="00860372">
      <w:pPr>
        <w:pStyle w:val="HChG"/>
        <w:ind w:firstLine="0"/>
      </w:pPr>
      <w:r>
        <w:t>Proposal</w:t>
      </w:r>
    </w:p>
    <w:p w:rsidR="003D391B" w:rsidRDefault="00860372" w:rsidP="00860372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  <w:rPr>
          <w:lang w:val="en-US"/>
        </w:rPr>
      </w:pPr>
      <w:r>
        <w:t xml:space="preserve">In the Model Regulations, insert a new section 2.4.2.5.3 to read: </w:t>
      </w:r>
      <w:r w:rsidR="00900504">
        <w:rPr>
          <w:lang w:val="en-US"/>
        </w:rPr>
        <w:t>“Any substance</w:t>
      </w:r>
      <w:r w:rsidRPr="00860372">
        <w:rPr>
          <w:lang w:val="en-US"/>
        </w:rPr>
        <w:t xml:space="preserve"> shall be exempted from classification as a </w:t>
      </w:r>
      <w:r w:rsidR="003D391B">
        <w:rPr>
          <w:lang w:val="en-US"/>
        </w:rPr>
        <w:t xml:space="preserve">polymerizing substance </w:t>
      </w:r>
      <w:r w:rsidRPr="00860372">
        <w:rPr>
          <w:lang w:val="en-US"/>
        </w:rPr>
        <w:t>of Division 4.1 provided that</w:t>
      </w:r>
      <w:r w:rsidR="006D348F">
        <w:rPr>
          <w:lang w:val="en-US"/>
        </w:rPr>
        <w:t xml:space="preserve"> upon initiation of the polymerization from a temperature 5 K above the SAPT of the relevant package</w:t>
      </w:r>
    </w:p>
    <w:p w:rsidR="003D391B" w:rsidRPr="00DB2625" w:rsidRDefault="00DB2625" w:rsidP="00DB2625">
      <w:pPr>
        <w:pStyle w:val="SingleTxtG"/>
        <w:ind w:left="1701"/>
      </w:pPr>
      <w:r>
        <w:t>(a)</w:t>
      </w:r>
      <w:r>
        <w:tab/>
      </w:r>
      <w:r w:rsidR="003D391B" w:rsidRPr="00DB2625">
        <w:t>The temperature inside the package does not exceed 150 °C; and</w:t>
      </w:r>
    </w:p>
    <w:p w:rsidR="003D391B" w:rsidRPr="00DB2625" w:rsidRDefault="00DB2625" w:rsidP="00DB2625">
      <w:pPr>
        <w:pStyle w:val="SingleTxtG"/>
        <w:ind w:left="1701"/>
      </w:pPr>
      <w:r>
        <w:t>(b)</w:t>
      </w:r>
      <w:r>
        <w:tab/>
      </w:r>
      <w:r w:rsidR="003D391B" w:rsidRPr="00DB2625">
        <w:t>The temperature on the surface of the package does not exceed 100 °C, and</w:t>
      </w:r>
    </w:p>
    <w:p w:rsidR="00900504" w:rsidRPr="00DB2625" w:rsidRDefault="00DB2625" w:rsidP="00DB2625">
      <w:pPr>
        <w:pStyle w:val="SingleTxtG"/>
        <w:ind w:left="1701"/>
      </w:pPr>
      <w:r>
        <w:t>(c)</w:t>
      </w:r>
      <w:r>
        <w:tab/>
      </w:r>
      <w:r w:rsidR="003D391B" w:rsidRPr="00DB2625">
        <w:t>There is no effect outside the package</w:t>
      </w:r>
      <w:r w:rsidR="00900504" w:rsidRPr="00DB2625">
        <w:t>.</w:t>
      </w:r>
    </w:p>
    <w:p w:rsidR="003D391B" w:rsidRDefault="00900504" w:rsidP="00900504">
      <w:pPr>
        <w:pStyle w:val="SingleTxtG"/>
        <w:tabs>
          <w:tab w:val="left" w:pos="1985"/>
        </w:tabs>
        <w:rPr>
          <w:lang w:val="en-US"/>
        </w:rPr>
      </w:pPr>
      <w:r>
        <w:rPr>
          <w:lang w:val="en-US"/>
        </w:rPr>
        <w:t xml:space="preserve">The assessment shall be based on evidence obtained either by experiment in a 1:1 scale </w:t>
      </w:r>
      <w:r w:rsidR="006219D7" w:rsidRPr="00680C4D">
        <w:rPr>
          <w:lang w:val="en-US"/>
        </w:rPr>
        <w:t xml:space="preserve">on the package size used for transport </w:t>
      </w:r>
      <w:r>
        <w:rPr>
          <w:lang w:val="en-US"/>
        </w:rPr>
        <w:t xml:space="preserve">or by a model derived from </w:t>
      </w:r>
      <w:r w:rsidR="00680C4D">
        <w:rPr>
          <w:lang w:val="en-US"/>
        </w:rPr>
        <w:t xml:space="preserve">experimental </w:t>
      </w:r>
      <w:r>
        <w:rPr>
          <w:lang w:val="en-US"/>
        </w:rPr>
        <w:t>kinetic data in consideration of the heat loss of the package.”</w:t>
      </w:r>
    </w:p>
    <w:p w:rsidR="003D391B" w:rsidRPr="00900504" w:rsidRDefault="00900504" w:rsidP="00900504">
      <w:pPr>
        <w:pStyle w:val="HChG"/>
        <w:ind w:firstLine="0"/>
      </w:pPr>
      <w:r w:rsidRPr="00900504">
        <w:lastRenderedPageBreak/>
        <w:t>Justification</w:t>
      </w:r>
    </w:p>
    <w:p w:rsidR="00900504" w:rsidRPr="002A6A96" w:rsidRDefault="00860372" w:rsidP="002A6A96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</w:pPr>
      <w:r w:rsidRPr="00900504">
        <w:rPr>
          <w:lang w:val="en-US"/>
        </w:rPr>
        <w:t xml:space="preserve"> </w:t>
      </w:r>
      <w:r w:rsidR="00900504" w:rsidRPr="002A6A96">
        <w:t>For self-reactive substances</w:t>
      </w:r>
      <w:r w:rsidR="002A6A96" w:rsidRPr="002A6A96">
        <w:t xml:space="preserve"> of Division 4.1</w:t>
      </w:r>
      <w:r w:rsidR="00900504" w:rsidRPr="002A6A96">
        <w:t xml:space="preserve">, the following </w:t>
      </w:r>
      <w:r w:rsidR="002A6A96" w:rsidRPr="002A6A96">
        <w:t xml:space="preserve">provisions </w:t>
      </w:r>
      <w:r w:rsidR="00900504" w:rsidRPr="002A6A96">
        <w:t xml:space="preserve">apply according to </w:t>
      </w:r>
      <w:r w:rsidR="00900504">
        <w:t xml:space="preserve">2.4.2.3.3.2 (g): “Any substance which, in laboratory testing, neither detonates in the </w:t>
      </w:r>
      <w:proofErr w:type="spellStart"/>
      <w:r w:rsidR="00900504">
        <w:t>cavitated</w:t>
      </w:r>
      <w:proofErr w:type="spellEnd"/>
      <w:r w:rsidR="00900504">
        <w:t xml:space="preserve"> state nor deflagrates at all and shows no effect when heated under confinement nor any explosive power shall be exempted from classification as a self-reactive substance</w:t>
      </w:r>
      <w:r w:rsidR="002A6A96">
        <w:t xml:space="preserve"> …</w:t>
      </w:r>
      <w:r w:rsidR="00900504">
        <w:t xml:space="preserve"> provided that the formulation is thermally stable </w:t>
      </w:r>
      <w:r w:rsidR="002A6A96">
        <w:t>…</w:t>
      </w:r>
      <w:r w:rsidR="00900504">
        <w:t xml:space="preserve"> and any diluent meets the requirements of 2.4.2.3.5 </w:t>
      </w:r>
      <w:r w:rsidR="002A6A96">
        <w:t>…”</w:t>
      </w:r>
      <w:r w:rsidR="00900504">
        <w:t>.</w:t>
      </w:r>
    </w:p>
    <w:p w:rsidR="002A6A96" w:rsidRPr="002A6A96" w:rsidRDefault="002A6A96" w:rsidP="002A6A96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  <w:rPr>
          <w:lang w:val="en-US"/>
        </w:rPr>
      </w:pPr>
      <w:r>
        <w:rPr>
          <w:lang w:val="en-US"/>
        </w:rPr>
        <w:t>S</w:t>
      </w:r>
      <w:r w:rsidRPr="002A6A96">
        <w:rPr>
          <w:lang w:val="en-US"/>
        </w:rPr>
        <w:t>imilar wording</w:t>
      </w:r>
      <w:r>
        <w:rPr>
          <w:lang w:val="en-US"/>
        </w:rPr>
        <w:t xml:space="preserve"> can be found in </w:t>
      </w:r>
      <w:r w:rsidRPr="002A6A96">
        <w:rPr>
          <w:lang w:val="en-US"/>
        </w:rPr>
        <w:t>2.5.3.3.2 (g)</w:t>
      </w:r>
      <w:r>
        <w:rPr>
          <w:lang w:val="en-US"/>
        </w:rPr>
        <w:t xml:space="preserve"> for organic peroxides of Division 5.2.</w:t>
      </w:r>
    </w:p>
    <w:p w:rsidR="002A6A96" w:rsidRPr="002A6A96" w:rsidRDefault="002A6A96" w:rsidP="00860372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  <w:rPr>
          <w:lang w:val="en-US"/>
        </w:rPr>
      </w:pPr>
      <w:r w:rsidRPr="002A6A96">
        <w:rPr>
          <w:lang w:val="en-US"/>
        </w:rPr>
        <w:t>Polymerizing substances do not detonate nor do they deflagrate. They have no explosive power and show no effects when heated under confinement. Their only hazard is a thermal runaway reaction and a possible pressure-buildup.</w:t>
      </w:r>
    </w:p>
    <w:p w:rsidR="002A6A96" w:rsidRPr="00860372" w:rsidRDefault="002A6A96" w:rsidP="00671D99">
      <w:pPr>
        <w:pStyle w:val="SingleTxtG"/>
        <w:numPr>
          <w:ilvl w:val="0"/>
          <w:numId w:val="25"/>
        </w:numPr>
        <w:tabs>
          <w:tab w:val="left" w:pos="1701"/>
        </w:tabs>
        <w:ind w:left="1134" w:firstLine="0"/>
        <w:rPr>
          <w:lang w:val="en-US"/>
        </w:rPr>
      </w:pPr>
      <w:r w:rsidRPr="006D348F">
        <w:rPr>
          <w:lang w:val="en-US"/>
        </w:rPr>
        <w:t xml:space="preserve">Therefore, the </w:t>
      </w:r>
      <w:r w:rsidR="006D348F" w:rsidRPr="006D348F">
        <w:rPr>
          <w:lang w:val="en-US"/>
        </w:rPr>
        <w:t>remaining applicable criteria are a tolerable temperature rise and the integrity of the package.</w:t>
      </w:r>
    </w:p>
    <w:p w:rsidR="00C313F5" w:rsidRPr="00C313F5" w:rsidRDefault="00C313F5" w:rsidP="00C313F5">
      <w:pPr>
        <w:pStyle w:val="SingleTxtG"/>
        <w:spacing w:before="240"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3F5" w:rsidRPr="00C313F5" w:rsidSect="0020066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8" w:rsidRDefault="00791C08"/>
  </w:endnote>
  <w:endnote w:type="continuationSeparator" w:id="0">
    <w:p w:rsidR="00791C08" w:rsidRDefault="00791C08"/>
  </w:endnote>
  <w:endnote w:type="continuationNotice" w:id="1">
    <w:p w:rsidR="00791C08" w:rsidRDefault="00791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2264E0" w:rsidRDefault="0037370B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DB2625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37370B" w:rsidRPr="0005570C" w:rsidRDefault="0037370B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2A6A96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8" w:rsidRPr="000B175B" w:rsidRDefault="00791C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1C08" w:rsidRPr="00FC68B7" w:rsidRDefault="00791C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1C08" w:rsidRDefault="00791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F54DDA" w:rsidRDefault="0037370B" w:rsidP="00F54DDA">
    <w:pPr>
      <w:pStyle w:val="Header"/>
    </w:pPr>
    <w:r w:rsidRPr="00F54DDA">
      <w:rPr>
        <w:noProof/>
      </w:rPr>
      <w:t>UN/SCETDG/4</w:t>
    </w:r>
    <w:r w:rsidR="000102A0">
      <w:rPr>
        <w:noProof/>
      </w:rPr>
      <w:t>9</w:t>
    </w:r>
    <w:r>
      <w:rPr>
        <w:noProof/>
      </w:rPr>
      <w:t>/INF.</w:t>
    </w:r>
    <w:r w:rsidR="00DB2625">
      <w:rPr>
        <w:noProof/>
      </w:rPr>
      <w:t>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0B" w:rsidRPr="0005570C" w:rsidRDefault="0037370B" w:rsidP="0005570C">
    <w:pPr>
      <w:pStyle w:val="Header"/>
      <w:jc w:val="right"/>
    </w:pPr>
    <w:r w:rsidRPr="00F54DDA">
      <w:t>UN/SCETDG/4</w:t>
    </w:r>
    <w:r w:rsidR="004A58C2">
      <w:t>9</w:t>
    </w:r>
    <w:r w:rsidRPr="00F54DDA">
      <w:t>/INF.</w:t>
    </w:r>
    <w:r w:rsidR="004A58C2"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C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1B2C1DD2"/>
    <w:multiLevelType w:val="hybridMultilevel"/>
    <w:tmpl w:val="908261CA"/>
    <w:lvl w:ilvl="0" w:tplc="CA48CCD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82B40"/>
    <w:multiLevelType w:val="hybridMultilevel"/>
    <w:tmpl w:val="D1F09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6B5541"/>
    <w:multiLevelType w:val="hybridMultilevel"/>
    <w:tmpl w:val="EDC8B3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C96BB2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26141AD"/>
    <w:multiLevelType w:val="hybridMultilevel"/>
    <w:tmpl w:val="BDB69580"/>
    <w:lvl w:ilvl="0" w:tplc="634CFB2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4AFB49EA"/>
    <w:multiLevelType w:val="hybridMultilevel"/>
    <w:tmpl w:val="8976E57E"/>
    <w:lvl w:ilvl="0" w:tplc="F536A08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>
    <w:nsid w:val="4EF969EF"/>
    <w:multiLevelType w:val="hybridMultilevel"/>
    <w:tmpl w:val="7C262DBA"/>
    <w:lvl w:ilvl="0" w:tplc="65DAF21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D265208"/>
    <w:multiLevelType w:val="hybridMultilevel"/>
    <w:tmpl w:val="DDDAA094"/>
    <w:lvl w:ilvl="0" w:tplc="A07C219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FF30224"/>
    <w:multiLevelType w:val="hybridMultilevel"/>
    <w:tmpl w:val="9ECC6F9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14E0525"/>
    <w:multiLevelType w:val="hybridMultilevel"/>
    <w:tmpl w:val="F3EADE7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735F448C"/>
    <w:multiLevelType w:val="hybridMultilevel"/>
    <w:tmpl w:val="CA6C351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9D65D50"/>
    <w:multiLevelType w:val="hybridMultilevel"/>
    <w:tmpl w:val="005E5D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1"/>
  </w:num>
  <w:num w:numId="14">
    <w:abstractNumId w:val="30"/>
  </w:num>
  <w:num w:numId="15">
    <w:abstractNumId w:val="14"/>
  </w:num>
  <w:num w:numId="16">
    <w:abstractNumId w:val="12"/>
  </w:num>
  <w:num w:numId="17">
    <w:abstractNumId w:val="34"/>
  </w:num>
  <w:num w:numId="18">
    <w:abstractNumId w:val="21"/>
  </w:num>
  <w:num w:numId="19">
    <w:abstractNumId w:val="13"/>
  </w:num>
  <w:num w:numId="20">
    <w:abstractNumId w:val="24"/>
  </w:num>
  <w:num w:numId="21">
    <w:abstractNumId w:val="15"/>
  </w:num>
  <w:num w:numId="22">
    <w:abstractNumId w:val="27"/>
  </w:num>
  <w:num w:numId="23">
    <w:abstractNumId w:val="36"/>
  </w:num>
  <w:num w:numId="24">
    <w:abstractNumId w:val="29"/>
  </w:num>
  <w:num w:numId="25">
    <w:abstractNumId w:val="33"/>
  </w:num>
  <w:num w:numId="26">
    <w:abstractNumId w:val="28"/>
  </w:num>
  <w:num w:numId="27">
    <w:abstractNumId w:val="18"/>
  </w:num>
  <w:num w:numId="28">
    <w:abstractNumId w:val="32"/>
  </w:num>
  <w:num w:numId="29">
    <w:abstractNumId w:val="35"/>
  </w:num>
  <w:num w:numId="30">
    <w:abstractNumId w:val="10"/>
  </w:num>
  <w:num w:numId="31">
    <w:abstractNumId w:val="16"/>
  </w:num>
  <w:num w:numId="32">
    <w:abstractNumId w:val="22"/>
  </w:num>
  <w:num w:numId="33">
    <w:abstractNumId w:val="25"/>
  </w:num>
  <w:num w:numId="34">
    <w:abstractNumId w:val="23"/>
  </w:num>
  <w:num w:numId="35">
    <w:abstractNumId w:val="26"/>
  </w:num>
  <w:num w:numId="36">
    <w:abstractNumId w:val="20"/>
  </w:num>
  <w:num w:numId="37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2A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4F24"/>
    <w:rsid w:val="000669D9"/>
    <w:rsid w:val="00067C1A"/>
    <w:rsid w:val="00071BC5"/>
    <w:rsid w:val="000729A7"/>
    <w:rsid w:val="00072C8C"/>
    <w:rsid w:val="000732CC"/>
    <w:rsid w:val="00073E97"/>
    <w:rsid w:val="00074826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680"/>
    <w:rsid w:val="000C6C2B"/>
    <w:rsid w:val="000D43C8"/>
    <w:rsid w:val="000E0415"/>
    <w:rsid w:val="000E572A"/>
    <w:rsid w:val="000E73E3"/>
    <w:rsid w:val="000F142C"/>
    <w:rsid w:val="000F143A"/>
    <w:rsid w:val="000F5FF7"/>
    <w:rsid w:val="0010134F"/>
    <w:rsid w:val="00103C0E"/>
    <w:rsid w:val="001131C6"/>
    <w:rsid w:val="00117787"/>
    <w:rsid w:val="00120F5D"/>
    <w:rsid w:val="00125775"/>
    <w:rsid w:val="001266BA"/>
    <w:rsid w:val="00131D42"/>
    <w:rsid w:val="00144FC4"/>
    <w:rsid w:val="001468A4"/>
    <w:rsid w:val="00153EEE"/>
    <w:rsid w:val="0016063F"/>
    <w:rsid w:val="001633FB"/>
    <w:rsid w:val="00166B07"/>
    <w:rsid w:val="00170630"/>
    <w:rsid w:val="00177434"/>
    <w:rsid w:val="00182A05"/>
    <w:rsid w:val="00187869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3D6D"/>
    <w:rsid w:val="001F1227"/>
    <w:rsid w:val="001F57B4"/>
    <w:rsid w:val="00200662"/>
    <w:rsid w:val="00201CC1"/>
    <w:rsid w:val="00206EA3"/>
    <w:rsid w:val="002102C4"/>
    <w:rsid w:val="00211CD6"/>
    <w:rsid w:val="00211E0B"/>
    <w:rsid w:val="00217951"/>
    <w:rsid w:val="00223C37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00D0"/>
    <w:rsid w:val="00291A70"/>
    <w:rsid w:val="002A2560"/>
    <w:rsid w:val="002A6A96"/>
    <w:rsid w:val="002A7532"/>
    <w:rsid w:val="002B1CDA"/>
    <w:rsid w:val="002B2EA7"/>
    <w:rsid w:val="002B521D"/>
    <w:rsid w:val="002B79CF"/>
    <w:rsid w:val="002B7D6F"/>
    <w:rsid w:val="002C1A3E"/>
    <w:rsid w:val="002C54A4"/>
    <w:rsid w:val="002C5EAE"/>
    <w:rsid w:val="002C7649"/>
    <w:rsid w:val="002D7530"/>
    <w:rsid w:val="002E0239"/>
    <w:rsid w:val="002E7C35"/>
    <w:rsid w:val="002F0918"/>
    <w:rsid w:val="002F279C"/>
    <w:rsid w:val="00302963"/>
    <w:rsid w:val="00303816"/>
    <w:rsid w:val="003107FA"/>
    <w:rsid w:val="003155C4"/>
    <w:rsid w:val="00316C13"/>
    <w:rsid w:val="00320A76"/>
    <w:rsid w:val="00321714"/>
    <w:rsid w:val="003229D8"/>
    <w:rsid w:val="00322F52"/>
    <w:rsid w:val="003311AD"/>
    <w:rsid w:val="003323B3"/>
    <w:rsid w:val="00333732"/>
    <w:rsid w:val="00341AF2"/>
    <w:rsid w:val="0034522A"/>
    <w:rsid w:val="00347184"/>
    <w:rsid w:val="00366CB1"/>
    <w:rsid w:val="0037024C"/>
    <w:rsid w:val="00372BDC"/>
    <w:rsid w:val="0037370B"/>
    <w:rsid w:val="00373815"/>
    <w:rsid w:val="00374763"/>
    <w:rsid w:val="00377D8B"/>
    <w:rsid w:val="00381262"/>
    <w:rsid w:val="00384416"/>
    <w:rsid w:val="0039277A"/>
    <w:rsid w:val="00392C6B"/>
    <w:rsid w:val="003972E0"/>
    <w:rsid w:val="003B4359"/>
    <w:rsid w:val="003B47CC"/>
    <w:rsid w:val="003C2CC4"/>
    <w:rsid w:val="003C36C3"/>
    <w:rsid w:val="003D391B"/>
    <w:rsid w:val="003D4B23"/>
    <w:rsid w:val="003E1C5A"/>
    <w:rsid w:val="003E3B1F"/>
    <w:rsid w:val="003E4290"/>
    <w:rsid w:val="003E5413"/>
    <w:rsid w:val="003F0697"/>
    <w:rsid w:val="003F3F40"/>
    <w:rsid w:val="003F40C8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77607"/>
    <w:rsid w:val="00486205"/>
    <w:rsid w:val="0049309D"/>
    <w:rsid w:val="00494D24"/>
    <w:rsid w:val="00495B9D"/>
    <w:rsid w:val="004969ED"/>
    <w:rsid w:val="00497FF3"/>
    <w:rsid w:val="004A2BD1"/>
    <w:rsid w:val="004A58C2"/>
    <w:rsid w:val="004B163A"/>
    <w:rsid w:val="004B2C9D"/>
    <w:rsid w:val="004B49FD"/>
    <w:rsid w:val="004B6475"/>
    <w:rsid w:val="004C5A01"/>
    <w:rsid w:val="004C5BFC"/>
    <w:rsid w:val="004E46E7"/>
    <w:rsid w:val="004E4DCE"/>
    <w:rsid w:val="00500DCD"/>
    <w:rsid w:val="00512574"/>
    <w:rsid w:val="00515763"/>
    <w:rsid w:val="005206A2"/>
    <w:rsid w:val="00523C8E"/>
    <w:rsid w:val="005248FF"/>
    <w:rsid w:val="00527910"/>
    <w:rsid w:val="00532A62"/>
    <w:rsid w:val="005335B1"/>
    <w:rsid w:val="00534CDC"/>
    <w:rsid w:val="0053515F"/>
    <w:rsid w:val="0053786F"/>
    <w:rsid w:val="005420F2"/>
    <w:rsid w:val="00543B03"/>
    <w:rsid w:val="00551E96"/>
    <w:rsid w:val="00552C5F"/>
    <w:rsid w:val="005553A2"/>
    <w:rsid w:val="005557E8"/>
    <w:rsid w:val="0056298D"/>
    <w:rsid w:val="00564293"/>
    <w:rsid w:val="00566392"/>
    <w:rsid w:val="00566B77"/>
    <w:rsid w:val="005676D5"/>
    <w:rsid w:val="005732BE"/>
    <w:rsid w:val="0057509F"/>
    <w:rsid w:val="00580193"/>
    <w:rsid w:val="00581B62"/>
    <w:rsid w:val="00581C11"/>
    <w:rsid w:val="00590144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3742"/>
    <w:rsid w:val="005E6C20"/>
    <w:rsid w:val="005E7EA4"/>
    <w:rsid w:val="005F5444"/>
    <w:rsid w:val="006062D4"/>
    <w:rsid w:val="006071AF"/>
    <w:rsid w:val="00611FC4"/>
    <w:rsid w:val="00613E48"/>
    <w:rsid w:val="0061401C"/>
    <w:rsid w:val="006176FB"/>
    <w:rsid w:val="006219D7"/>
    <w:rsid w:val="00630C0F"/>
    <w:rsid w:val="0063330C"/>
    <w:rsid w:val="00633C10"/>
    <w:rsid w:val="0063419C"/>
    <w:rsid w:val="00640B26"/>
    <w:rsid w:val="00641876"/>
    <w:rsid w:val="0064566C"/>
    <w:rsid w:val="00646EBD"/>
    <w:rsid w:val="0064788E"/>
    <w:rsid w:val="00650267"/>
    <w:rsid w:val="00664F8E"/>
    <w:rsid w:val="00671D99"/>
    <w:rsid w:val="00680C4D"/>
    <w:rsid w:val="00682466"/>
    <w:rsid w:val="006835C6"/>
    <w:rsid w:val="0068393D"/>
    <w:rsid w:val="00687A76"/>
    <w:rsid w:val="006A0AE9"/>
    <w:rsid w:val="006A17B4"/>
    <w:rsid w:val="006A5E65"/>
    <w:rsid w:val="006A7392"/>
    <w:rsid w:val="006B31D3"/>
    <w:rsid w:val="006B3590"/>
    <w:rsid w:val="006B7406"/>
    <w:rsid w:val="006B79A2"/>
    <w:rsid w:val="006C0D34"/>
    <w:rsid w:val="006C1C4A"/>
    <w:rsid w:val="006C4DB3"/>
    <w:rsid w:val="006D348F"/>
    <w:rsid w:val="006E21A6"/>
    <w:rsid w:val="006E564B"/>
    <w:rsid w:val="00701440"/>
    <w:rsid w:val="007018BB"/>
    <w:rsid w:val="00707A67"/>
    <w:rsid w:val="00710580"/>
    <w:rsid w:val="0071233A"/>
    <w:rsid w:val="00716D0F"/>
    <w:rsid w:val="00725764"/>
    <w:rsid w:val="0072632A"/>
    <w:rsid w:val="007315A6"/>
    <w:rsid w:val="007428A0"/>
    <w:rsid w:val="0075177E"/>
    <w:rsid w:val="00752538"/>
    <w:rsid w:val="00757A17"/>
    <w:rsid w:val="0076711B"/>
    <w:rsid w:val="007726D4"/>
    <w:rsid w:val="0077714B"/>
    <w:rsid w:val="00790258"/>
    <w:rsid w:val="00790791"/>
    <w:rsid w:val="007909EA"/>
    <w:rsid w:val="00791C08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1E30"/>
    <w:rsid w:val="007D3266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6E4F"/>
    <w:rsid w:val="00831540"/>
    <w:rsid w:val="00832905"/>
    <w:rsid w:val="008337CE"/>
    <w:rsid w:val="00842FAF"/>
    <w:rsid w:val="00844A23"/>
    <w:rsid w:val="008553AE"/>
    <w:rsid w:val="008566E6"/>
    <w:rsid w:val="00857AF0"/>
    <w:rsid w:val="00860372"/>
    <w:rsid w:val="00866EF7"/>
    <w:rsid w:val="008711DE"/>
    <w:rsid w:val="00871FD5"/>
    <w:rsid w:val="00873F69"/>
    <w:rsid w:val="008749E1"/>
    <w:rsid w:val="00875941"/>
    <w:rsid w:val="008900F3"/>
    <w:rsid w:val="0089467C"/>
    <w:rsid w:val="008978A9"/>
    <w:rsid w:val="008979B1"/>
    <w:rsid w:val="008A2C8B"/>
    <w:rsid w:val="008A3F4F"/>
    <w:rsid w:val="008A6B25"/>
    <w:rsid w:val="008A6C4F"/>
    <w:rsid w:val="008A7362"/>
    <w:rsid w:val="008B0C07"/>
    <w:rsid w:val="008C0642"/>
    <w:rsid w:val="008D0E8A"/>
    <w:rsid w:val="008D44E2"/>
    <w:rsid w:val="008E0E46"/>
    <w:rsid w:val="008E1D4C"/>
    <w:rsid w:val="008E2AC7"/>
    <w:rsid w:val="008F36A7"/>
    <w:rsid w:val="008F42F2"/>
    <w:rsid w:val="008F6816"/>
    <w:rsid w:val="00900504"/>
    <w:rsid w:val="00905AEA"/>
    <w:rsid w:val="00910E37"/>
    <w:rsid w:val="0091450E"/>
    <w:rsid w:val="00915E24"/>
    <w:rsid w:val="009174F9"/>
    <w:rsid w:val="009178F6"/>
    <w:rsid w:val="00922076"/>
    <w:rsid w:val="00922603"/>
    <w:rsid w:val="00924330"/>
    <w:rsid w:val="0093457E"/>
    <w:rsid w:val="00940136"/>
    <w:rsid w:val="00942A14"/>
    <w:rsid w:val="00945A5D"/>
    <w:rsid w:val="0094761C"/>
    <w:rsid w:val="0095100A"/>
    <w:rsid w:val="00963CBA"/>
    <w:rsid w:val="00964960"/>
    <w:rsid w:val="00965ACC"/>
    <w:rsid w:val="00970D90"/>
    <w:rsid w:val="0097150D"/>
    <w:rsid w:val="00971B0B"/>
    <w:rsid w:val="00972131"/>
    <w:rsid w:val="009749FE"/>
    <w:rsid w:val="00977813"/>
    <w:rsid w:val="009863A7"/>
    <w:rsid w:val="00986848"/>
    <w:rsid w:val="0099124E"/>
    <w:rsid w:val="00991261"/>
    <w:rsid w:val="00994010"/>
    <w:rsid w:val="00994014"/>
    <w:rsid w:val="009A37C7"/>
    <w:rsid w:val="009B2FB7"/>
    <w:rsid w:val="009B3CC1"/>
    <w:rsid w:val="009B5318"/>
    <w:rsid w:val="009B6F46"/>
    <w:rsid w:val="009C2E92"/>
    <w:rsid w:val="009E2874"/>
    <w:rsid w:val="009E35FF"/>
    <w:rsid w:val="009E49AC"/>
    <w:rsid w:val="009E52D9"/>
    <w:rsid w:val="009E587B"/>
    <w:rsid w:val="00A12267"/>
    <w:rsid w:val="00A1427D"/>
    <w:rsid w:val="00A22354"/>
    <w:rsid w:val="00A22441"/>
    <w:rsid w:val="00A24E0D"/>
    <w:rsid w:val="00A25434"/>
    <w:rsid w:val="00A27584"/>
    <w:rsid w:val="00A30E59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2E27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E7E6F"/>
    <w:rsid w:val="00AF1489"/>
    <w:rsid w:val="00AF248C"/>
    <w:rsid w:val="00B02079"/>
    <w:rsid w:val="00B05614"/>
    <w:rsid w:val="00B22878"/>
    <w:rsid w:val="00B2292E"/>
    <w:rsid w:val="00B30179"/>
    <w:rsid w:val="00B32399"/>
    <w:rsid w:val="00B3317B"/>
    <w:rsid w:val="00B34A94"/>
    <w:rsid w:val="00B35770"/>
    <w:rsid w:val="00B45379"/>
    <w:rsid w:val="00B50673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29D5"/>
    <w:rsid w:val="00B93068"/>
    <w:rsid w:val="00B96106"/>
    <w:rsid w:val="00BA4AAC"/>
    <w:rsid w:val="00BA611E"/>
    <w:rsid w:val="00BB4C25"/>
    <w:rsid w:val="00BB7D62"/>
    <w:rsid w:val="00BC4804"/>
    <w:rsid w:val="00BC553A"/>
    <w:rsid w:val="00BC5CF4"/>
    <w:rsid w:val="00BC74E9"/>
    <w:rsid w:val="00BD42B2"/>
    <w:rsid w:val="00BE618E"/>
    <w:rsid w:val="00BF2DFE"/>
    <w:rsid w:val="00C14CEE"/>
    <w:rsid w:val="00C17582"/>
    <w:rsid w:val="00C17CC7"/>
    <w:rsid w:val="00C20263"/>
    <w:rsid w:val="00C20E3D"/>
    <w:rsid w:val="00C23226"/>
    <w:rsid w:val="00C248EF"/>
    <w:rsid w:val="00C313F5"/>
    <w:rsid w:val="00C3461F"/>
    <w:rsid w:val="00C3713C"/>
    <w:rsid w:val="00C40BAB"/>
    <w:rsid w:val="00C4186E"/>
    <w:rsid w:val="00C42A18"/>
    <w:rsid w:val="00C463DD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3BCA"/>
    <w:rsid w:val="00CB4C9D"/>
    <w:rsid w:val="00CC0FAD"/>
    <w:rsid w:val="00CC23F0"/>
    <w:rsid w:val="00CD42C3"/>
    <w:rsid w:val="00CD68B3"/>
    <w:rsid w:val="00CE4A8F"/>
    <w:rsid w:val="00CE58B6"/>
    <w:rsid w:val="00CE7E5D"/>
    <w:rsid w:val="00CF2A66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53D8"/>
    <w:rsid w:val="00D84DB1"/>
    <w:rsid w:val="00D9170E"/>
    <w:rsid w:val="00D95849"/>
    <w:rsid w:val="00D96CC5"/>
    <w:rsid w:val="00D978C6"/>
    <w:rsid w:val="00DA67AD"/>
    <w:rsid w:val="00DB0284"/>
    <w:rsid w:val="00DB2625"/>
    <w:rsid w:val="00DB281B"/>
    <w:rsid w:val="00DC16B9"/>
    <w:rsid w:val="00DC1797"/>
    <w:rsid w:val="00DD3B66"/>
    <w:rsid w:val="00DD70B8"/>
    <w:rsid w:val="00DE19A0"/>
    <w:rsid w:val="00DE4184"/>
    <w:rsid w:val="00DF0081"/>
    <w:rsid w:val="00DF66D6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2792A"/>
    <w:rsid w:val="00E305E0"/>
    <w:rsid w:val="00E40163"/>
    <w:rsid w:val="00E4194D"/>
    <w:rsid w:val="00E44EEF"/>
    <w:rsid w:val="00E450F1"/>
    <w:rsid w:val="00E45DE2"/>
    <w:rsid w:val="00E5126A"/>
    <w:rsid w:val="00E5317F"/>
    <w:rsid w:val="00E55314"/>
    <w:rsid w:val="00E5644E"/>
    <w:rsid w:val="00E608A4"/>
    <w:rsid w:val="00E62EE3"/>
    <w:rsid w:val="00E66AF1"/>
    <w:rsid w:val="00E7260F"/>
    <w:rsid w:val="00E81252"/>
    <w:rsid w:val="00E84EAD"/>
    <w:rsid w:val="00E8535A"/>
    <w:rsid w:val="00E90EE6"/>
    <w:rsid w:val="00E92301"/>
    <w:rsid w:val="00E96630"/>
    <w:rsid w:val="00EA2878"/>
    <w:rsid w:val="00EB6541"/>
    <w:rsid w:val="00EB6832"/>
    <w:rsid w:val="00EC1E9D"/>
    <w:rsid w:val="00EC42EA"/>
    <w:rsid w:val="00EC4327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9B9"/>
    <w:rsid w:val="00EF1D7F"/>
    <w:rsid w:val="00F01117"/>
    <w:rsid w:val="00F01716"/>
    <w:rsid w:val="00F03012"/>
    <w:rsid w:val="00F054AD"/>
    <w:rsid w:val="00F10B6C"/>
    <w:rsid w:val="00F129CC"/>
    <w:rsid w:val="00F14001"/>
    <w:rsid w:val="00F14877"/>
    <w:rsid w:val="00F14936"/>
    <w:rsid w:val="00F200A6"/>
    <w:rsid w:val="00F24697"/>
    <w:rsid w:val="00F270BF"/>
    <w:rsid w:val="00F40E75"/>
    <w:rsid w:val="00F416AA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4F17"/>
    <w:rsid w:val="00F85D7A"/>
    <w:rsid w:val="00F873E7"/>
    <w:rsid w:val="00F93B34"/>
    <w:rsid w:val="00FA54B1"/>
    <w:rsid w:val="00FB7905"/>
    <w:rsid w:val="00FC68B7"/>
    <w:rsid w:val="00FD6B2B"/>
    <w:rsid w:val="00FE4A81"/>
    <w:rsid w:val="00FE752E"/>
    <w:rsid w:val="00FF03BB"/>
    <w:rsid w:val="00FF053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5629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5629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36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054D-F022-4406-98F6-BB8C6E86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2016-06-09T09:29:00Z</cp:lastPrinted>
  <dcterms:created xsi:type="dcterms:W3CDTF">2016-06-09T09:26:00Z</dcterms:created>
  <dcterms:modified xsi:type="dcterms:W3CDTF">2016-06-09T09:29:00Z</dcterms:modified>
</cp:coreProperties>
</file>