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280D2B" w:rsidRPr="008B2E94" w:rsidTr="006C129C">
        <w:trPr>
          <w:cantSplit/>
          <w:trHeight w:hRule="exact" w:val="568"/>
        </w:trPr>
        <w:tc>
          <w:tcPr>
            <w:tcW w:w="9639" w:type="dxa"/>
            <w:tcBorders>
              <w:bottom w:val="single" w:sz="4" w:space="0" w:color="auto"/>
            </w:tcBorders>
            <w:shd w:val="clear" w:color="auto" w:fill="FFFFFF"/>
            <w:vAlign w:val="bottom"/>
          </w:tcPr>
          <w:p w:rsidR="00280D2B" w:rsidRPr="008B2E94" w:rsidRDefault="00280D2B" w:rsidP="002370BB">
            <w:pPr>
              <w:spacing w:after="240"/>
              <w:jc w:val="right"/>
              <w:rPr>
                <w:b/>
                <w:sz w:val="40"/>
                <w:szCs w:val="40"/>
                <w:lang w:val="fr-FR"/>
              </w:rPr>
            </w:pPr>
            <w:r w:rsidRPr="008B2E94">
              <w:rPr>
                <w:b/>
                <w:sz w:val="40"/>
                <w:szCs w:val="40"/>
                <w:lang w:val="fr-FR"/>
              </w:rPr>
              <w:t>UN/SCETDG/4</w:t>
            </w:r>
            <w:r w:rsidR="00225D08">
              <w:rPr>
                <w:b/>
                <w:sz w:val="40"/>
                <w:szCs w:val="40"/>
                <w:lang w:val="fr-FR"/>
              </w:rPr>
              <w:t>9</w:t>
            </w:r>
            <w:r w:rsidRPr="008B2E94">
              <w:rPr>
                <w:b/>
                <w:sz w:val="40"/>
                <w:szCs w:val="40"/>
                <w:lang w:val="fr-FR"/>
              </w:rPr>
              <w:t>/INF.</w:t>
            </w:r>
            <w:r w:rsidR="002370BB">
              <w:rPr>
                <w:b/>
                <w:sz w:val="40"/>
                <w:szCs w:val="40"/>
                <w:lang w:val="fr-FR"/>
              </w:rPr>
              <w:t>10</w:t>
            </w:r>
            <w:r w:rsidR="0029620A">
              <w:rPr>
                <w:b/>
                <w:sz w:val="40"/>
                <w:szCs w:val="40"/>
                <w:lang w:val="fr-FR"/>
              </w:rPr>
              <w:t>(E)</w:t>
            </w:r>
            <w:bookmarkStart w:id="0" w:name="_GoBack"/>
            <w:bookmarkEnd w:id="0"/>
            <w:r w:rsidR="00E23CEE" w:rsidRPr="008B2E94">
              <w:rPr>
                <w:b/>
                <w:sz w:val="40"/>
                <w:szCs w:val="40"/>
                <w:lang w:val="fr-FR"/>
              </w:rPr>
              <w:br/>
            </w:r>
            <w:r w:rsidR="00E23CEE" w:rsidRPr="008B2E94">
              <w:rPr>
                <w:lang w:val="fr-FR"/>
              </w:rPr>
              <w:t xml:space="preserve"> </w:t>
            </w:r>
          </w:p>
        </w:tc>
      </w:tr>
    </w:tbl>
    <w:tbl>
      <w:tblPr>
        <w:tblW w:w="9645" w:type="dxa"/>
        <w:tblInd w:w="108" w:type="dxa"/>
        <w:tblLayout w:type="fixed"/>
        <w:tblLook w:val="04A0" w:firstRow="1" w:lastRow="0" w:firstColumn="1" w:lastColumn="0" w:noHBand="0" w:noVBand="1"/>
      </w:tblPr>
      <w:tblGrid>
        <w:gridCol w:w="4536"/>
        <w:gridCol w:w="5109"/>
      </w:tblGrid>
      <w:tr w:rsidR="00280D2B" w:rsidRPr="0045083B" w:rsidTr="008B2E94">
        <w:tc>
          <w:tcPr>
            <w:tcW w:w="9645" w:type="dxa"/>
            <w:gridSpan w:val="2"/>
            <w:tcMar>
              <w:top w:w="142" w:type="dxa"/>
              <w:left w:w="108" w:type="dxa"/>
              <w:bottom w:w="142" w:type="dxa"/>
              <w:right w:w="108" w:type="dxa"/>
            </w:tcMar>
          </w:tcPr>
          <w:p w:rsidR="00280D2B" w:rsidRPr="0045083B" w:rsidRDefault="00280D2B" w:rsidP="002370BB">
            <w:pPr>
              <w:tabs>
                <w:tab w:val="right" w:pos="9214"/>
              </w:tabs>
            </w:pPr>
            <w:r w:rsidRPr="0045083B">
              <w:rPr>
                <w:b/>
                <w:sz w:val="24"/>
                <w:szCs w:val="24"/>
              </w:rPr>
              <w:t>Committee of Experts on the Transport of Dangerous Goods</w:t>
            </w:r>
            <w:r w:rsidRPr="0045083B">
              <w:rPr>
                <w:b/>
                <w:sz w:val="24"/>
                <w:szCs w:val="24"/>
              </w:rPr>
              <w:tab/>
            </w:r>
            <w:r w:rsidRPr="0045083B">
              <w:rPr>
                <w:b/>
                <w:sz w:val="24"/>
                <w:szCs w:val="24"/>
              </w:rPr>
              <w:br/>
              <w:t>and on the Globally Harmonized System of Classification</w:t>
            </w:r>
            <w:r w:rsidRPr="0045083B">
              <w:rPr>
                <w:b/>
                <w:sz w:val="24"/>
                <w:szCs w:val="24"/>
              </w:rPr>
              <w:br/>
              <w:t>and Labelling of Chemicals</w:t>
            </w:r>
            <w:r w:rsidRPr="0045083B">
              <w:rPr>
                <w:b/>
              </w:rPr>
              <w:tab/>
            </w:r>
            <w:r w:rsidR="00A97C30">
              <w:rPr>
                <w:b/>
              </w:rPr>
              <w:t>12</w:t>
            </w:r>
            <w:r w:rsidR="002370BB">
              <w:rPr>
                <w:b/>
              </w:rPr>
              <w:t xml:space="preserve"> May</w:t>
            </w:r>
            <w:r w:rsidR="00EF3923">
              <w:rPr>
                <w:b/>
                <w:sz w:val="18"/>
                <w:szCs w:val="24"/>
              </w:rPr>
              <w:t xml:space="preserve"> </w:t>
            </w:r>
            <w:r w:rsidR="00450B3A">
              <w:rPr>
                <w:b/>
                <w:sz w:val="18"/>
                <w:szCs w:val="24"/>
              </w:rPr>
              <w:t>201</w:t>
            </w:r>
            <w:r w:rsidR="00B57B8C">
              <w:rPr>
                <w:b/>
                <w:sz w:val="18"/>
                <w:szCs w:val="24"/>
              </w:rPr>
              <w:t>6</w:t>
            </w:r>
          </w:p>
        </w:tc>
      </w:tr>
      <w:tr w:rsidR="00280D2B" w:rsidRPr="0045083B" w:rsidTr="008B2E94">
        <w:tc>
          <w:tcPr>
            <w:tcW w:w="4536" w:type="dxa"/>
            <w:tcMar>
              <w:top w:w="57" w:type="dxa"/>
              <w:left w:w="108" w:type="dxa"/>
              <w:bottom w:w="0" w:type="dxa"/>
              <w:right w:w="108" w:type="dxa"/>
            </w:tcMar>
          </w:tcPr>
          <w:p w:rsidR="00280D2B" w:rsidRPr="0045083B" w:rsidRDefault="00280D2B">
            <w:pPr>
              <w:spacing w:before="120"/>
              <w:rPr>
                <w:b/>
              </w:rPr>
            </w:pPr>
            <w:r w:rsidRPr="0045083B">
              <w:rPr>
                <w:b/>
              </w:rPr>
              <w:t xml:space="preserve">Sub-Committee of Experts on the Transport of Dangerous Goods </w:t>
            </w:r>
          </w:p>
        </w:tc>
        <w:tc>
          <w:tcPr>
            <w:tcW w:w="5109" w:type="dxa"/>
            <w:tcMar>
              <w:top w:w="57" w:type="dxa"/>
              <w:left w:w="108" w:type="dxa"/>
              <w:bottom w:w="0" w:type="dxa"/>
              <w:right w:w="108" w:type="dxa"/>
            </w:tcMar>
          </w:tcPr>
          <w:p w:rsidR="00280D2B" w:rsidRPr="0045083B" w:rsidRDefault="00280D2B">
            <w:pPr>
              <w:spacing w:before="120"/>
              <w:rPr>
                <w:b/>
              </w:rPr>
            </w:pPr>
          </w:p>
        </w:tc>
      </w:tr>
      <w:tr w:rsidR="00280D2B" w:rsidRPr="0045083B" w:rsidTr="008B2E94">
        <w:tc>
          <w:tcPr>
            <w:tcW w:w="4536" w:type="dxa"/>
            <w:tcMar>
              <w:top w:w="57" w:type="dxa"/>
              <w:left w:w="108" w:type="dxa"/>
              <w:bottom w:w="0" w:type="dxa"/>
              <w:right w:w="108" w:type="dxa"/>
            </w:tcMar>
          </w:tcPr>
          <w:p w:rsidR="00280D2B" w:rsidRPr="0045083B" w:rsidRDefault="00280D2B" w:rsidP="00CF4BF2">
            <w:pPr>
              <w:spacing w:before="120"/>
              <w:ind w:left="34" w:hanging="34"/>
              <w:rPr>
                <w:b/>
              </w:rPr>
            </w:pPr>
            <w:r w:rsidRPr="0045083B">
              <w:rPr>
                <w:b/>
              </w:rPr>
              <w:t>Forty-</w:t>
            </w:r>
            <w:r w:rsidR="00B57B8C">
              <w:rPr>
                <w:b/>
              </w:rPr>
              <w:t>nin</w:t>
            </w:r>
            <w:r w:rsidR="00CF4BF2">
              <w:rPr>
                <w:b/>
              </w:rPr>
              <w:t>th</w:t>
            </w:r>
            <w:r w:rsidRPr="0045083B">
              <w:rPr>
                <w:b/>
              </w:rPr>
              <w:t xml:space="preserve"> session</w:t>
            </w:r>
          </w:p>
        </w:tc>
        <w:tc>
          <w:tcPr>
            <w:tcW w:w="5109" w:type="dxa"/>
            <w:tcMar>
              <w:top w:w="57" w:type="dxa"/>
              <w:left w:w="108" w:type="dxa"/>
              <w:bottom w:w="0" w:type="dxa"/>
              <w:right w:w="108" w:type="dxa"/>
            </w:tcMar>
          </w:tcPr>
          <w:p w:rsidR="00280D2B" w:rsidRPr="0045083B" w:rsidRDefault="00280D2B">
            <w:pPr>
              <w:spacing w:before="120"/>
              <w:rPr>
                <w:b/>
              </w:rPr>
            </w:pPr>
          </w:p>
        </w:tc>
      </w:tr>
      <w:tr w:rsidR="00280D2B" w:rsidRPr="0045083B" w:rsidTr="008B2E94">
        <w:tc>
          <w:tcPr>
            <w:tcW w:w="4536" w:type="dxa"/>
            <w:tcMar>
              <w:top w:w="57" w:type="dxa"/>
              <w:left w:w="108" w:type="dxa"/>
              <w:bottom w:w="0" w:type="dxa"/>
              <w:right w:w="108" w:type="dxa"/>
            </w:tcMar>
          </w:tcPr>
          <w:p w:rsidR="00280D2B" w:rsidRPr="00F54DDA" w:rsidRDefault="00280D2B">
            <w:pPr>
              <w:spacing w:before="120"/>
              <w:ind w:left="34" w:hanging="34"/>
            </w:pPr>
            <w:r w:rsidRPr="00F54DDA">
              <w:t xml:space="preserve">Geneva, </w:t>
            </w:r>
            <w:r w:rsidR="003540DE">
              <w:t xml:space="preserve">27 June – 6 July </w:t>
            </w:r>
            <w:r w:rsidRPr="00F54DDA">
              <w:t>201</w:t>
            </w:r>
            <w:r w:rsidR="00B57B8C">
              <w:t>6</w:t>
            </w:r>
          </w:p>
          <w:p w:rsidR="00280D2B" w:rsidRPr="00F54DDA" w:rsidRDefault="00280D2B">
            <w:pPr>
              <w:ind w:left="34" w:hanging="34"/>
            </w:pPr>
            <w:r w:rsidRPr="00F54DDA">
              <w:t xml:space="preserve">Item </w:t>
            </w:r>
            <w:r w:rsidR="002370BB">
              <w:t>3</w:t>
            </w:r>
            <w:r w:rsidR="005149A9">
              <w:t xml:space="preserve"> </w:t>
            </w:r>
            <w:r w:rsidRPr="00F54DDA">
              <w:t>of the provisional agenda</w:t>
            </w:r>
          </w:p>
          <w:p w:rsidR="005149A9" w:rsidRPr="00E9026E" w:rsidRDefault="002370BB">
            <w:pPr>
              <w:spacing w:after="120"/>
              <w:ind w:left="-11" w:firstLine="11"/>
              <w:rPr>
                <w:b/>
              </w:rPr>
            </w:pPr>
            <w:r>
              <w:rPr>
                <w:b/>
                <w:lang w:val="en-CA"/>
              </w:rPr>
              <w:t>Listing, classification and packing</w:t>
            </w:r>
          </w:p>
        </w:tc>
        <w:tc>
          <w:tcPr>
            <w:tcW w:w="5109" w:type="dxa"/>
            <w:tcMar>
              <w:top w:w="57" w:type="dxa"/>
              <w:left w:w="108" w:type="dxa"/>
              <w:bottom w:w="0" w:type="dxa"/>
              <w:right w:w="108" w:type="dxa"/>
            </w:tcMar>
          </w:tcPr>
          <w:p w:rsidR="00280D2B" w:rsidRPr="00280D2B" w:rsidRDefault="00280D2B" w:rsidP="008B2E94">
            <w:pPr>
              <w:rPr>
                <w:b/>
              </w:rPr>
            </w:pPr>
          </w:p>
        </w:tc>
      </w:tr>
    </w:tbl>
    <w:p w:rsidR="002370BB" w:rsidRPr="008207B6" w:rsidRDefault="002370BB" w:rsidP="002370BB">
      <w:pPr>
        <w:pStyle w:val="HChG"/>
        <w:rPr>
          <w:lang w:val="en"/>
        </w:rPr>
      </w:pPr>
      <w:r>
        <w:rPr>
          <w:lang w:val="en"/>
        </w:rPr>
        <w:tab/>
      </w:r>
      <w:r>
        <w:rPr>
          <w:lang w:val="en"/>
        </w:rPr>
        <w:tab/>
        <w:t xml:space="preserve">Classification and </w:t>
      </w:r>
      <w:proofErr w:type="spellStart"/>
      <w:r>
        <w:rPr>
          <w:lang w:val="en"/>
        </w:rPr>
        <w:t>p</w:t>
      </w:r>
      <w:r w:rsidRPr="008207B6">
        <w:rPr>
          <w:lang w:val="en"/>
        </w:rPr>
        <w:t>ackagings</w:t>
      </w:r>
      <w:proofErr w:type="spellEnd"/>
      <w:r w:rsidRPr="008207B6">
        <w:rPr>
          <w:lang w:val="en"/>
        </w:rPr>
        <w:t xml:space="preserve"> for </w:t>
      </w:r>
      <w:r>
        <w:rPr>
          <w:lang w:val="en-CA"/>
        </w:rPr>
        <w:t>infectious waste</w:t>
      </w:r>
      <w:r w:rsidRPr="008207B6">
        <w:rPr>
          <w:lang w:val="en-CA"/>
        </w:rPr>
        <w:t xml:space="preserve"> of Category A</w:t>
      </w:r>
    </w:p>
    <w:p w:rsidR="002370BB" w:rsidRPr="008207B6" w:rsidRDefault="002370BB" w:rsidP="002370BB">
      <w:pPr>
        <w:pStyle w:val="H1G"/>
        <w:rPr>
          <w:lang w:val="en"/>
        </w:rPr>
      </w:pPr>
      <w:r>
        <w:rPr>
          <w:lang w:val="en"/>
        </w:rPr>
        <w:tab/>
      </w:r>
      <w:r>
        <w:rPr>
          <w:lang w:val="en"/>
        </w:rPr>
        <w:tab/>
      </w:r>
      <w:r w:rsidRPr="008207B6">
        <w:rPr>
          <w:lang w:val="en"/>
        </w:rPr>
        <w:t>Transmitted by the expert from Canada</w:t>
      </w:r>
    </w:p>
    <w:p w:rsidR="002370BB" w:rsidRPr="008207B6" w:rsidRDefault="002370BB" w:rsidP="002370BB">
      <w:pPr>
        <w:pStyle w:val="HChG"/>
        <w:rPr>
          <w:lang w:val="en"/>
        </w:rPr>
      </w:pPr>
      <w:r>
        <w:rPr>
          <w:lang w:val="en"/>
        </w:rPr>
        <w:tab/>
      </w:r>
      <w:r>
        <w:rPr>
          <w:lang w:val="en"/>
        </w:rPr>
        <w:tab/>
      </w:r>
      <w:r w:rsidRPr="008207B6">
        <w:rPr>
          <w:lang w:val="en"/>
        </w:rPr>
        <w:t>Introduction</w:t>
      </w:r>
    </w:p>
    <w:p w:rsidR="002370BB" w:rsidRPr="00D0318B" w:rsidRDefault="002370BB" w:rsidP="002370BB">
      <w:pPr>
        <w:pStyle w:val="SingleTxtG"/>
      </w:pPr>
      <w:r>
        <w:t>1.</w:t>
      </w:r>
      <w:r>
        <w:tab/>
      </w:r>
      <w:r w:rsidRPr="008207B6">
        <w:t xml:space="preserve">Canada welcomes </w:t>
      </w:r>
      <w:r>
        <w:t xml:space="preserve">the document from </w:t>
      </w:r>
      <w:r w:rsidRPr="008207B6">
        <w:t xml:space="preserve">Germany on </w:t>
      </w:r>
      <w:proofErr w:type="spellStart"/>
      <w:r w:rsidRPr="008207B6">
        <w:t>packagings</w:t>
      </w:r>
      <w:proofErr w:type="spellEnd"/>
      <w:r w:rsidRPr="008207B6">
        <w:t xml:space="preserve"> for infectious substances of Category A</w:t>
      </w:r>
      <w:r>
        <w:t xml:space="preserve"> (ST/SG/AC.10/C.3/2016/9).</w:t>
      </w:r>
    </w:p>
    <w:p w:rsidR="002370BB" w:rsidRDefault="002370BB" w:rsidP="002370BB">
      <w:pPr>
        <w:pStyle w:val="SingleTxtG"/>
      </w:pPr>
      <w:r>
        <w:t>2.</w:t>
      </w:r>
      <w:r>
        <w:tab/>
      </w:r>
      <w:r w:rsidRPr="008207B6">
        <w:t>The expert from Canada supports the principle of revising the packaging provisions for infectious substances to overcome the problems encountered in practice in the context of the recent Ebola outbreak.</w:t>
      </w:r>
      <w:r>
        <w:t xml:space="preserve"> </w:t>
      </w:r>
    </w:p>
    <w:p w:rsidR="002370BB" w:rsidRPr="00D0318B" w:rsidRDefault="002370BB" w:rsidP="002370BB">
      <w:pPr>
        <w:pStyle w:val="SingleTxtG"/>
      </w:pPr>
      <w:r>
        <w:t>3.</w:t>
      </w:r>
      <w:r>
        <w:tab/>
      </w:r>
      <w:r w:rsidRPr="008207B6">
        <w:t xml:space="preserve">One of the main problems encountered in transport was that the </w:t>
      </w:r>
      <w:proofErr w:type="spellStart"/>
      <w:r w:rsidRPr="008207B6">
        <w:t>packagings</w:t>
      </w:r>
      <w:proofErr w:type="spellEnd"/>
      <w:r w:rsidRPr="008207B6">
        <w:t xml:space="preserve"> available o</w:t>
      </w:r>
      <w:r w:rsidRPr="000200CF">
        <w:rPr>
          <w:rStyle w:val="UNParaChar"/>
        </w:rPr>
        <w:t>n</w:t>
      </w:r>
      <w:r w:rsidRPr="008207B6">
        <w:t xml:space="preserve"> the market were not suitable for the size and quantity of waste generated from caring for a patient suspected or known to be contaminated with the Ebola virus, nor for the clean-up that followed.</w:t>
      </w:r>
      <w:r>
        <w:t xml:space="preserve"> </w:t>
      </w:r>
      <w:r w:rsidRPr="008207B6">
        <w:t xml:space="preserve">Any material such as personal protective equipment, medical instruments, material used for cleaning hospital or supplies used for clinical laboratory testing that was used during the Ebola outbreak was considered to be infectious substances of Category A and had to be discarded and transported in </w:t>
      </w:r>
      <w:proofErr w:type="spellStart"/>
      <w:r w:rsidRPr="008207B6">
        <w:t>packagings</w:t>
      </w:r>
      <w:proofErr w:type="spellEnd"/>
      <w:r w:rsidRPr="008207B6">
        <w:t xml:space="preserve"> meeting the provisions of packing instruction P620.</w:t>
      </w:r>
      <w:r>
        <w:t xml:space="preserve"> </w:t>
      </w:r>
    </w:p>
    <w:p w:rsidR="002370BB" w:rsidRPr="00D0318B" w:rsidRDefault="002370BB" w:rsidP="002370BB">
      <w:pPr>
        <w:pStyle w:val="SingleTxtG"/>
        <w:rPr>
          <w:lang w:eastAsia="en-CA"/>
        </w:rPr>
      </w:pPr>
      <w:r>
        <w:rPr>
          <w:lang w:eastAsia="en-CA"/>
        </w:rPr>
        <w:t>4.</w:t>
      </w:r>
      <w:r>
        <w:rPr>
          <w:lang w:eastAsia="en-CA"/>
        </w:rPr>
        <w:tab/>
      </w:r>
      <w:r w:rsidRPr="008207B6">
        <w:rPr>
          <w:lang w:eastAsia="en-CA"/>
        </w:rPr>
        <w:t xml:space="preserve">The </w:t>
      </w:r>
      <w:proofErr w:type="spellStart"/>
      <w:r w:rsidRPr="008207B6">
        <w:rPr>
          <w:lang w:eastAsia="en-CA"/>
        </w:rPr>
        <w:t>packagings</w:t>
      </w:r>
      <w:proofErr w:type="spellEnd"/>
      <w:r w:rsidRPr="008207B6">
        <w:rPr>
          <w:lang w:eastAsia="en-CA"/>
        </w:rPr>
        <w:t xml:space="preserve"> authorized in packing instruction P620 are suitable for transporting small volumes of infectious substances of Category A such as cultures and specimens.</w:t>
      </w:r>
      <w:r>
        <w:rPr>
          <w:lang w:eastAsia="en-CA"/>
        </w:rPr>
        <w:t xml:space="preserve"> </w:t>
      </w:r>
      <w:r w:rsidRPr="008207B6">
        <w:rPr>
          <w:lang w:eastAsia="en-CA"/>
        </w:rPr>
        <w:t>However, they are not adequate for transporting large volumes of infectious substances of Category A, such as the size and quantity of waste generated during the Ebola outbreak.</w:t>
      </w:r>
      <w:r>
        <w:rPr>
          <w:lang w:eastAsia="en-CA"/>
        </w:rPr>
        <w:t xml:space="preserve"> </w:t>
      </w:r>
    </w:p>
    <w:p w:rsidR="002370BB" w:rsidRPr="00D0318B" w:rsidRDefault="002370BB" w:rsidP="002370BB">
      <w:pPr>
        <w:pStyle w:val="SingleTxtG"/>
      </w:pPr>
      <w:r>
        <w:t>5.</w:t>
      </w:r>
      <w:r>
        <w:tab/>
      </w:r>
      <w:proofErr w:type="spellStart"/>
      <w:r w:rsidRPr="008207B6">
        <w:t>Packagings</w:t>
      </w:r>
      <w:proofErr w:type="spellEnd"/>
      <w:r w:rsidRPr="008207B6">
        <w:t xml:space="preserve"> selected in accordance with Packing Instruction P620 must also comply with the provisions of Chapter 6.3.</w:t>
      </w:r>
      <w:r>
        <w:t xml:space="preserve"> </w:t>
      </w:r>
      <w:r w:rsidRPr="008207B6">
        <w:t xml:space="preserve"> Some of the testing requirements referred to in Chapter 6.3 </w:t>
      </w:r>
      <w:r>
        <w:t>may</w:t>
      </w:r>
      <w:r w:rsidRPr="008207B6">
        <w:t xml:space="preserve"> not be applicable when transporting infectious substances of Category A as waste</w:t>
      </w:r>
      <w:r>
        <w:t xml:space="preserve"> – specimen provisions are not needed when transporting waste</w:t>
      </w:r>
      <w:r w:rsidRPr="008207B6">
        <w:t>.</w:t>
      </w:r>
      <w:r>
        <w:t xml:space="preserve"> </w:t>
      </w:r>
      <w:r w:rsidRPr="008207B6">
        <w:t xml:space="preserve">For example, the capability of primary receptacles or secondary </w:t>
      </w:r>
      <w:proofErr w:type="spellStart"/>
      <w:r w:rsidRPr="008207B6">
        <w:t>packagings</w:t>
      </w:r>
      <w:proofErr w:type="spellEnd"/>
      <w:r w:rsidRPr="008207B6">
        <w:t xml:space="preserve"> to withstand a minimum internal pressure of 95 </w:t>
      </w:r>
      <w:proofErr w:type="spellStart"/>
      <w:r w:rsidRPr="008207B6">
        <w:t>kPa</w:t>
      </w:r>
      <w:proofErr w:type="spellEnd"/>
      <w:r w:rsidRPr="008207B6">
        <w:t xml:space="preserve"> when the infectious waste is transported by road </w:t>
      </w:r>
      <w:r>
        <w:t>may</w:t>
      </w:r>
      <w:r w:rsidRPr="008207B6">
        <w:t xml:space="preserve"> be too stringent and unnecessary.</w:t>
      </w:r>
      <w:r>
        <w:t xml:space="preserve"> </w:t>
      </w:r>
      <w:r w:rsidRPr="008207B6">
        <w:t xml:space="preserve">Similarly, the capability of primary </w:t>
      </w:r>
      <w:r w:rsidRPr="005344EC">
        <w:t>receptacles</w:t>
      </w:r>
      <w:r w:rsidRPr="008207B6">
        <w:t xml:space="preserve"> or secondary </w:t>
      </w:r>
      <w:proofErr w:type="spellStart"/>
      <w:r w:rsidRPr="008207B6">
        <w:t>packagings</w:t>
      </w:r>
      <w:proofErr w:type="spellEnd"/>
      <w:r w:rsidRPr="008207B6">
        <w:t xml:space="preserve"> to withstand temperatures in the range of </w:t>
      </w:r>
      <w:r>
        <w:t xml:space="preserve">– </w:t>
      </w:r>
      <w:r w:rsidRPr="008207B6">
        <w:t>40</w:t>
      </w:r>
      <w:r>
        <w:t xml:space="preserve"> </w:t>
      </w:r>
      <w:r w:rsidRPr="008207B6">
        <w:t>°C to +</w:t>
      </w:r>
      <w:r>
        <w:t xml:space="preserve"> </w:t>
      </w:r>
      <w:r w:rsidRPr="008207B6">
        <w:t>55</w:t>
      </w:r>
      <w:r>
        <w:t xml:space="preserve"> </w:t>
      </w:r>
      <w:r w:rsidRPr="008207B6">
        <w:t>°C may not be necessary, given that protecting the integrity of the infectious waste is not required.</w:t>
      </w:r>
    </w:p>
    <w:p w:rsidR="002370BB" w:rsidRPr="00D0318B" w:rsidRDefault="002370BB" w:rsidP="002370BB">
      <w:pPr>
        <w:pStyle w:val="SingleTxtG"/>
      </w:pPr>
      <w:r>
        <w:lastRenderedPageBreak/>
        <w:t>6.</w:t>
      </w:r>
      <w:r>
        <w:tab/>
      </w:r>
      <w:r w:rsidRPr="003F3F64">
        <w:t xml:space="preserve">As a result, the expert from Canada </w:t>
      </w:r>
      <w:r>
        <w:t>proposes</w:t>
      </w:r>
      <w:r w:rsidRPr="003F3F64">
        <w:t xml:space="preserve"> to create </w:t>
      </w:r>
      <w:r>
        <w:t xml:space="preserve">either </w:t>
      </w:r>
      <w:r w:rsidRPr="003F3F64">
        <w:t xml:space="preserve">a new UN entry for infectious waste of Category A </w:t>
      </w:r>
      <w:r>
        <w:t>or a descriptive entry for waste of Category A assigned to UN2814 and UN2900. T</w:t>
      </w:r>
      <w:r w:rsidRPr="003F3F64">
        <w:t>wo new packing instructions</w:t>
      </w:r>
      <w:r>
        <w:t xml:space="preserve"> would be assigned to this entry</w:t>
      </w:r>
      <w:r w:rsidRPr="003F3F64">
        <w:t xml:space="preserve">; one for </w:t>
      </w:r>
      <w:r>
        <w:t xml:space="preserve">the use of </w:t>
      </w:r>
      <w:proofErr w:type="spellStart"/>
      <w:r w:rsidRPr="003F3F64">
        <w:t>packagings</w:t>
      </w:r>
      <w:proofErr w:type="spellEnd"/>
      <w:r w:rsidRPr="003F3F64">
        <w:t xml:space="preserve"> and one for </w:t>
      </w:r>
      <w:r>
        <w:t xml:space="preserve">the use of </w:t>
      </w:r>
      <w:r w:rsidRPr="003F3F64">
        <w:t xml:space="preserve">large </w:t>
      </w:r>
      <w:proofErr w:type="spellStart"/>
      <w:r w:rsidRPr="003F3F64">
        <w:t>packagings</w:t>
      </w:r>
      <w:proofErr w:type="spellEnd"/>
      <w:r w:rsidRPr="003F3F64">
        <w:t>.</w:t>
      </w:r>
      <w:r>
        <w:t xml:space="preserve"> </w:t>
      </w:r>
    </w:p>
    <w:p w:rsidR="002370BB" w:rsidRPr="00D0318B" w:rsidRDefault="002370BB" w:rsidP="002370BB">
      <w:pPr>
        <w:pStyle w:val="SingleTxtG"/>
      </w:pPr>
      <w:r>
        <w:t>7.</w:t>
      </w:r>
      <w:r>
        <w:tab/>
      </w:r>
      <w:r w:rsidRPr="003F3F64">
        <w:t xml:space="preserve">The expert proposes that the two new packing instructions be based on packing instructions </w:t>
      </w:r>
      <w:r w:rsidRPr="003F3F64">
        <w:rPr>
          <w:lang w:eastAsia="en-CA"/>
        </w:rPr>
        <w:t>P621 and LP621.</w:t>
      </w:r>
      <w:r>
        <w:rPr>
          <w:lang w:eastAsia="en-CA"/>
        </w:rPr>
        <w:t xml:space="preserve"> </w:t>
      </w:r>
      <w:r w:rsidRPr="003F3F64">
        <w:rPr>
          <w:lang w:eastAsia="en-CA"/>
        </w:rPr>
        <w:t xml:space="preserve">However, the construction provision would require the use of a triple packaging and the outer packaging would have to meet the </w:t>
      </w:r>
      <w:r w:rsidRPr="003F3F64">
        <w:t xml:space="preserve">testing, marking and registration requirements found in Chapter 6.1 for </w:t>
      </w:r>
      <w:proofErr w:type="spellStart"/>
      <w:r w:rsidRPr="003F3F64">
        <w:t>packagings</w:t>
      </w:r>
      <w:proofErr w:type="spellEnd"/>
      <w:r w:rsidRPr="003F3F64">
        <w:t xml:space="preserve"> and Chapter 6.6 for large </w:t>
      </w:r>
      <w:proofErr w:type="spellStart"/>
      <w:r w:rsidRPr="003F3F64">
        <w:t>packagings</w:t>
      </w:r>
      <w:proofErr w:type="spellEnd"/>
      <w:r w:rsidRPr="003F3F64">
        <w:t>.</w:t>
      </w:r>
    </w:p>
    <w:p w:rsidR="002370BB" w:rsidRDefault="002370BB" w:rsidP="002370BB">
      <w:pPr>
        <w:pStyle w:val="SingleTxtG"/>
      </w:pPr>
      <w:r>
        <w:t>8.</w:t>
      </w:r>
      <w:r>
        <w:tab/>
      </w:r>
      <w:r w:rsidRPr="008207B6">
        <w:t>A competent authority approval would still be recommended due to the sensitivity of the subject.</w:t>
      </w:r>
      <w:r>
        <w:t xml:space="preserve"> </w:t>
      </w:r>
      <w:r w:rsidRPr="008207B6">
        <w:t xml:space="preserve">However, these two new packing instructions would provide a basis for determining the type of </w:t>
      </w:r>
      <w:proofErr w:type="spellStart"/>
      <w:r w:rsidRPr="008207B6">
        <w:t>packagings</w:t>
      </w:r>
      <w:proofErr w:type="spellEnd"/>
      <w:r w:rsidRPr="008207B6">
        <w:t xml:space="preserve"> suitable for transporti</w:t>
      </w:r>
      <w:r>
        <w:t>ng infectious waste of Category </w:t>
      </w:r>
      <w:r w:rsidRPr="008207B6">
        <w:t xml:space="preserve">A. </w:t>
      </w:r>
    </w:p>
    <w:p w:rsidR="002370BB" w:rsidRDefault="002370BB" w:rsidP="002370BB">
      <w:pPr>
        <w:pStyle w:val="SingleTxtG"/>
      </w:pPr>
      <w:r>
        <w:t>9.</w:t>
      </w:r>
      <w:r>
        <w:tab/>
        <w:t>The purpose of this approach is develop a means for packaging these types of infectious waste that is both practical and safe, and using materials available in hospitals and epidemic areas.</w:t>
      </w:r>
    </w:p>
    <w:p w:rsidR="002370BB" w:rsidRPr="000200CF" w:rsidRDefault="002370BB" w:rsidP="002370BB">
      <w:pPr>
        <w:pStyle w:val="HChG"/>
        <w:rPr>
          <w:lang w:val="en-CA"/>
        </w:rPr>
      </w:pPr>
      <w:r>
        <w:rPr>
          <w:lang w:val="en-CA"/>
        </w:rPr>
        <w:tab/>
      </w:r>
      <w:r>
        <w:rPr>
          <w:lang w:val="en-CA"/>
        </w:rPr>
        <w:tab/>
      </w:r>
      <w:r w:rsidRPr="000200CF">
        <w:rPr>
          <w:lang w:val="en-CA"/>
        </w:rPr>
        <w:t>Classification</w:t>
      </w:r>
    </w:p>
    <w:p w:rsidR="002370BB" w:rsidRDefault="002370BB" w:rsidP="002370BB">
      <w:pPr>
        <w:pStyle w:val="H1G"/>
        <w:rPr>
          <w:lang w:val="en-CA"/>
        </w:rPr>
      </w:pPr>
      <w:r>
        <w:rPr>
          <w:lang w:val="en-CA"/>
        </w:rPr>
        <w:tab/>
      </w:r>
      <w:r>
        <w:rPr>
          <w:lang w:val="en-CA"/>
        </w:rPr>
        <w:tab/>
      </w:r>
      <w:r w:rsidRPr="000200CF">
        <w:rPr>
          <w:lang w:val="en-CA"/>
        </w:rPr>
        <w:t>Option 1</w:t>
      </w:r>
    </w:p>
    <w:tbl>
      <w:tblPr>
        <w:tblStyle w:val="TableGrid"/>
        <w:tblW w:w="0" w:type="auto"/>
        <w:tblInd w:w="817" w:type="dxa"/>
        <w:tblLook w:val="04A0" w:firstRow="1" w:lastRow="0" w:firstColumn="1" w:lastColumn="0" w:noHBand="0" w:noVBand="1"/>
      </w:tblPr>
      <w:tblGrid>
        <w:gridCol w:w="1418"/>
        <w:gridCol w:w="2268"/>
        <w:gridCol w:w="1275"/>
        <w:gridCol w:w="1276"/>
        <w:gridCol w:w="1158"/>
        <w:gridCol w:w="1643"/>
      </w:tblGrid>
      <w:tr w:rsidR="00A63B38" w:rsidTr="00A63B38">
        <w:tc>
          <w:tcPr>
            <w:tcW w:w="1418" w:type="dxa"/>
          </w:tcPr>
          <w:p w:rsidR="00A63B38" w:rsidRDefault="00A63B38" w:rsidP="00A63B38">
            <w:pPr>
              <w:rPr>
                <w:lang w:val="en-CA"/>
              </w:rPr>
            </w:pPr>
            <w:r w:rsidRPr="00577C69">
              <w:rPr>
                <w:b/>
                <w:bCs/>
                <w:lang w:val="en-US"/>
              </w:rPr>
              <w:t>UN Number</w:t>
            </w:r>
          </w:p>
        </w:tc>
        <w:tc>
          <w:tcPr>
            <w:tcW w:w="2268" w:type="dxa"/>
          </w:tcPr>
          <w:p w:rsidR="00A63B38" w:rsidRDefault="00A63B38" w:rsidP="00A63B38">
            <w:pPr>
              <w:rPr>
                <w:lang w:val="en-CA"/>
              </w:rPr>
            </w:pPr>
            <w:r w:rsidRPr="00577C69">
              <w:rPr>
                <w:b/>
                <w:bCs/>
                <w:lang w:val="en-US"/>
              </w:rPr>
              <w:t>Shipping Name and</w:t>
            </w:r>
            <w:r>
              <w:rPr>
                <w:b/>
                <w:bCs/>
                <w:lang w:val="en-US"/>
              </w:rPr>
              <w:t xml:space="preserve"> </w:t>
            </w:r>
            <w:r w:rsidRPr="00577C69">
              <w:rPr>
                <w:b/>
                <w:bCs/>
                <w:lang w:val="en-US"/>
              </w:rPr>
              <w:t>Description</w:t>
            </w:r>
          </w:p>
        </w:tc>
        <w:tc>
          <w:tcPr>
            <w:tcW w:w="1275" w:type="dxa"/>
          </w:tcPr>
          <w:p w:rsidR="00A63B38" w:rsidRDefault="00A63B38" w:rsidP="00A63B38">
            <w:pPr>
              <w:rPr>
                <w:lang w:val="en-CA"/>
              </w:rPr>
            </w:pPr>
            <w:r w:rsidRPr="00577C69">
              <w:rPr>
                <w:b/>
                <w:bCs/>
                <w:lang w:val="en-US"/>
              </w:rPr>
              <w:t>Class</w:t>
            </w:r>
          </w:p>
        </w:tc>
        <w:tc>
          <w:tcPr>
            <w:tcW w:w="1276" w:type="dxa"/>
          </w:tcPr>
          <w:p w:rsidR="00A63B38" w:rsidRDefault="00A63B38" w:rsidP="00A63B38">
            <w:pPr>
              <w:rPr>
                <w:lang w:val="en-CA"/>
              </w:rPr>
            </w:pPr>
            <w:r w:rsidRPr="00577C69">
              <w:rPr>
                <w:b/>
                <w:bCs/>
                <w:lang w:val="en-US"/>
              </w:rPr>
              <w:t>Packing Group / Category</w:t>
            </w:r>
          </w:p>
        </w:tc>
        <w:tc>
          <w:tcPr>
            <w:tcW w:w="1158" w:type="dxa"/>
          </w:tcPr>
          <w:p w:rsidR="00A63B38" w:rsidRDefault="00A63B38" w:rsidP="00A63B38">
            <w:pPr>
              <w:rPr>
                <w:lang w:val="en-CA"/>
              </w:rPr>
            </w:pPr>
            <w:r w:rsidRPr="00577C69">
              <w:rPr>
                <w:b/>
                <w:bCs/>
                <w:lang w:val="en-US"/>
              </w:rPr>
              <w:t>Special Provisions</w:t>
            </w:r>
          </w:p>
        </w:tc>
        <w:tc>
          <w:tcPr>
            <w:tcW w:w="1643" w:type="dxa"/>
          </w:tcPr>
          <w:p w:rsidR="00A63B38" w:rsidRDefault="00A63B38" w:rsidP="00A63B38">
            <w:pPr>
              <w:rPr>
                <w:lang w:val="en-CA"/>
              </w:rPr>
            </w:pPr>
            <w:r>
              <w:rPr>
                <w:b/>
                <w:bCs/>
                <w:lang w:val="en-US"/>
              </w:rPr>
              <w:t>Packing Instruction</w:t>
            </w:r>
          </w:p>
        </w:tc>
      </w:tr>
      <w:tr w:rsidR="00A63B38" w:rsidTr="00A63B38">
        <w:tc>
          <w:tcPr>
            <w:tcW w:w="1418" w:type="dxa"/>
          </w:tcPr>
          <w:p w:rsidR="00A63B38" w:rsidRDefault="00A63B38" w:rsidP="00A63B38">
            <w:pPr>
              <w:rPr>
                <w:lang w:val="en-CA"/>
              </w:rPr>
            </w:pPr>
            <w:r w:rsidRPr="00577C69">
              <w:rPr>
                <w:lang w:val="en-US"/>
              </w:rPr>
              <w:t>UN2814</w:t>
            </w:r>
          </w:p>
        </w:tc>
        <w:tc>
          <w:tcPr>
            <w:tcW w:w="2268" w:type="dxa"/>
          </w:tcPr>
          <w:p w:rsidR="00A63B38" w:rsidRDefault="00A63B38" w:rsidP="00A63B38">
            <w:pPr>
              <w:rPr>
                <w:lang w:val="en-CA"/>
              </w:rPr>
            </w:pPr>
            <w:r w:rsidRPr="00577C69">
              <w:rPr>
                <w:lang w:val="en-US"/>
              </w:rPr>
              <w:t>INFECTIOUS SUBSTANCE, AFFECTING HUMANS</w:t>
            </w:r>
          </w:p>
        </w:tc>
        <w:tc>
          <w:tcPr>
            <w:tcW w:w="1275" w:type="dxa"/>
          </w:tcPr>
          <w:p w:rsidR="00A63B38" w:rsidRDefault="00A63B38" w:rsidP="00A63B38">
            <w:pPr>
              <w:rPr>
                <w:lang w:val="en-CA"/>
              </w:rPr>
            </w:pPr>
            <w:r w:rsidRPr="00577C69">
              <w:rPr>
                <w:lang w:val="en-US"/>
              </w:rPr>
              <w:t>6.2</w:t>
            </w:r>
          </w:p>
        </w:tc>
        <w:tc>
          <w:tcPr>
            <w:tcW w:w="1276" w:type="dxa"/>
          </w:tcPr>
          <w:p w:rsidR="00A63B38" w:rsidRDefault="00A63B38" w:rsidP="00A63B38">
            <w:pPr>
              <w:rPr>
                <w:lang w:val="en-CA"/>
              </w:rPr>
            </w:pPr>
            <w:r w:rsidRPr="00577C69">
              <w:rPr>
                <w:lang w:val="en-US"/>
              </w:rPr>
              <w:t>Category A</w:t>
            </w:r>
          </w:p>
        </w:tc>
        <w:tc>
          <w:tcPr>
            <w:tcW w:w="1158" w:type="dxa"/>
          </w:tcPr>
          <w:p w:rsidR="00A63B38" w:rsidRPr="00577C69" w:rsidRDefault="00A63B38" w:rsidP="00A63B38">
            <w:pPr>
              <w:suppressAutoHyphens w:val="0"/>
              <w:spacing w:line="240" w:lineRule="auto"/>
              <w:rPr>
                <w:lang w:val="en-US"/>
              </w:rPr>
            </w:pPr>
            <w:r w:rsidRPr="00577C69">
              <w:rPr>
                <w:lang w:val="en-US"/>
              </w:rPr>
              <w:t>318</w:t>
            </w:r>
          </w:p>
          <w:p w:rsidR="00A63B38" w:rsidRPr="00577C69" w:rsidRDefault="00A63B38" w:rsidP="00A63B38">
            <w:pPr>
              <w:suppressAutoHyphens w:val="0"/>
              <w:spacing w:line="240" w:lineRule="auto"/>
              <w:rPr>
                <w:lang w:val="en-US"/>
              </w:rPr>
            </w:pPr>
            <w:r w:rsidRPr="00577C69">
              <w:rPr>
                <w:lang w:val="en-US"/>
              </w:rPr>
              <w:t>341</w:t>
            </w:r>
          </w:p>
          <w:p w:rsidR="00A63B38" w:rsidRDefault="00A63B38" w:rsidP="00A63B38">
            <w:pPr>
              <w:rPr>
                <w:lang w:val="en-CA"/>
              </w:rPr>
            </w:pPr>
            <w:r w:rsidRPr="00577C69">
              <w:rPr>
                <w:lang w:val="en-US"/>
              </w:rPr>
              <w:t>3XX</w:t>
            </w:r>
          </w:p>
        </w:tc>
        <w:tc>
          <w:tcPr>
            <w:tcW w:w="1643" w:type="dxa"/>
          </w:tcPr>
          <w:p w:rsidR="00A63B38" w:rsidRDefault="00A63B38" w:rsidP="00A63B38">
            <w:pPr>
              <w:suppressAutoHyphens w:val="0"/>
              <w:spacing w:line="240" w:lineRule="auto"/>
              <w:rPr>
                <w:lang w:val="en-US"/>
              </w:rPr>
            </w:pPr>
            <w:r>
              <w:rPr>
                <w:lang w:val="en-US"/>
              </w:rPr>
              <w:t>P620</w:t>
            </w:r>
          </w:p>
          <w:p w:rsidR="00A63B38" w:rsidRPr="00577C69" w:rsidRDefault="00A63B38" w:rsidP="00A63B38">
            <w:pPr>
              <w:suppressAutoHyphens w:val="0"/>
              <w:spacing w:line="240" w:lineRule="auto"/>
              <w:rPr>
                <w:lang w:val="en-US"/>
              </w:rPr>
            </w:pPr>
            <w:r w:rsidRPr="00577C69">
              <w:rPr>
                <w:lang w:val="en-US"/>
              </w:rPr>
              <w:t>P6XX</w:t>
            </w:r>
          </w:p>
          <w:p w:rsidR="00A63B38" w:rsidRDefault="00A63B38" w:rsidP="00A63B38">
            <w:pPr>
              <w:rPr>
                <w:lang w:val="en-CA"/>
              </w:rPr>
            </w:pPr>
            <w:r w:rsidRPr="00577C69">
              <w:rPr>
                <w:lang w:val="en-US"/>
              </w:rPr>
              <w:t>LP</w:t>
            </w:r>
            <w:r>
              <w:rPr>
                <w:lang w:val="en-US"/>
              </w:rPr>
              <w:t>6</w:t>
            </w:r>
            <w:r w:rsidRPr="00577C69">
              <w:rPr>
                <w:lang w:val="en-US"/>
              </w:rPr>
              <w:t>XX</w:t>
            </w:r>
          </w:p>
        </w:tc>
      </w:tr>
      <w:tr w:rsidR="00A63B38" w:rsidTr="00A63B38">
        <w:tc>
          <w:tcPr>
            <w:tcW w:w="1418" w:type="dxa"/>
          </w:tcPr>
          <w:p w:rsidR="00A63B38" w:rsidRDefault="00A63B38" w:rsidP="00A63B38">
            <w:pPr>
              <w:rPr>
                <w:lang w:val="en-CA"/>
              </w:rPr>
            </w:pPr>
            <w:r w:rsidRPr="00577C69">
              <w:rPr>
                <w:lang w:val="en-US"/>
              </w:rPr>
              <w:t>UN2900</w:t>
            </w:r>
          </w:p>
        </w:tc>
        <w:tc>
          <w:tcPr>
            <w:tcW w:w="2268" w:type="dxa"/>
          </w:tcPr>
          <w:p w:rsidR="00A63B38" w:rsidRDefault="00A63B38" w:rsidP="00A63B38">
            <w:pPr>
              <w:rPr>
                <w:lang w:val="en-CA"/>
              </w:rPr>
            </w:pPr>
            <w:r w:rsidRPr="00577C69">
              <w:rPr>
                <w:lang w:val="en-US"/>
              </w:rPr>
              <w:t>INFECTIOUS SUBSTANCE, AFFECTING ANIMALS only</w:t>
            </w:r>
          </w:p>
        </w:tc>
        <w:tc>
          <w:tcPr>
            <w:tcW w:w="1275" w:type="dxa"/>
          </w:tcPr>
          <w:p w:rsidR="00A63B38" w:rsidRDefault="00A63B38" w:rsidP="00A63B38">
            <w:pPr>
              <w:rPr>
                <w:lang w:val="en-CA"/>
              </w:rPr>
            </w:pPr>
            <w:r w:rsidRPr="00577C69">
              <w:rPr>
                <w:lang w:val="en-US"/>
              </w:rPr>
              <w:t>6.2</w:t>
            </w:r>
          </w:p>
        </w:tc>
        <w:tc>
          <w:tcPr>
            <w:tcW w:w="1276" w:type="dxa"/>
          </w:tcPr>
          <w:p w:rsidR="00A63B38" w:rsidRDefault="00A63B38" w:rsidP="00A63B38">
            <w:pPr>
              <w:rPr>
                <w:lang w:val="en-CA"/>
              </w:rPr>
            </w:pPr>
            <w:r w:rsidRPr="00577C69">
              <w:rPr>
                <w:lang w:val="en-US"/>
              </w:rPr>
              <w:t>Category A</w:t>
            </w:r>
          </w:p>
        </w:tc>
        <w:tc>
          <w:tcPr>
            <w:tcW w:w="1158" w:type="dxa"/>
          </w:tcPr>
          <w:p w:rsidR="00A63B38" w:rsidRPr="00577C69" w:rsidRDefault="00A63B38" w:rsidP="00A63B38">
            <w:pPr>
              <w:suppressAutoHyphens w:val="0"/>
              <w:spacing w:line="240" w:lineRule="auto"/>
              <w:rPr>
                <w:lang w:val="en-US"/>
              </w:rPr>
            </w:pPr>
            <w:r w:rsidRPr="00577C69">
              <w:rPr>
                <w:lang w:val="en-US"/>
              </w:rPr>
              <w:t>318</w:t>
            </w:r>
          </w:p>
          <w:p w:rsidR="00A63B38" w:rsidRPr="00577C69" w:rsidRDefault="00A63B38" w:rsidP="00A63B38">
            <w:pPr>
              <w:suppressAutoHyphens w:val="0"/>
              <w:spacing w:line="240" w:lineRule="auto"/>
              <w:rPr>
                <w:lang w:val="en-US"/>
              </w:rPr>
            </w:pPr>
            <w:r w:rsidRPr="00577C69">
              <w:rPr>
                <w:lang w:val="en-US"/>
              </w:rPr>
              <w:t>341</w:t>
            </w:r>
          </w:p>
          <w:p w:rsidR="00A63B38" w:rsidRDefault="00A63B38" w:rsidP="00A63B38">
            <w:pPr>
              <w:rPr>
                <w:lang w:val="en-CA"/>
              </w:rPr>
            </w:pPr>
            <w:r w:rsidRPr="00577C69">
              <w:rPr>
                <w:lang w:val="en-US"/>
              </w:rPr>
              <w:t>3XX</w:t>
            </w:r>
          </w:p>
        </w:tc>
        <w:tc>
          <w:tcPr>
            <w:tcW w:w="1643" w:type="dxa"/>
          </w:tcPr>
          <w:p w:rsidR="00A63B38" w:rsidRDefault="00A63B38" w:rsidP="00A63B38">
            <w:pPr>
              <w:suppressAutoHyphens w:val="0"/>
              <w:spacing w:line="240" w:lineRule="auto"/>
              <w:rPr>
                <w:lang w:val="en-US"/>
              </w:rPr>
            </w:pPr>
            <w:r>
              <w:rPr>
                <w:lang w:val="en-US"/>
              </w:rPr>
              <w:t>P620</w:t>
            </w:r>
          </w:p>
          <w:p w:rsidR="00A63B38" w:rsidRPr="00577C69" w:rsidRDefault="00A63B38" w:rsidP="00A63B38">
            <w:pPr>
              <w:suppressAutoHyphens w:val="0"/>
              <w:spacing w:line="240" w:lineRule="auto"/>
              <w:rPr>
                <w:lang w:val="en-US"/>
              </w:rPr>
            </w:pPr>
            <w:r w:rsidRPr="00577C69">
              <w:rPr>
                <w:lang w:val="en-US"/>
              </w:rPr>
              <w:t>P6XX</w:t>
            </w:r>
          </w:p>
          <w:p w:rsidR="00A63B38" w:rsidRDefault="00A63B38" w:rsidP="00A63B38">
            <w:pPr>
              <w:rPr>
                <w:lang w:val="en-CA"/>
              </w:rPr>
            </w:pPr>
            <w:r w:rsidRPr="00577C69">
              <w:rPr>
                <w:lang w:val="en-US"/>
              </w:rPr>
              <w:t>LP</w:t>
            </w:r>
            <w:r>
              <w:rPr>
                <w:lang w:val="en-US"/>
              </w:rPr>
              <w:t>6</w:t>
            </w:r>
            <w:r w:rsidRPr="00577C69">
              <w:rPr>
                <w:lang w:val="en-US"/>
              </w:rPr>
              <w:t>XX</w:t>
            </w:r>
          </w:p>
        </w:tc>
      </w:tr>
    </w:tbl>
    <w:p w:rsidR="004D51A9" w:rsidRPr="003E519E" w:rsidRDefault="004D51A9" w:rsidP="004D51A9">
      <w:pPr>
        <w:pStyle w:val="SingleTxtG"/>
        <w:spacing w:before="120"/>
        <w:rPr>
          <w:lang w:val="en-CA"/>
        </w:rPr>
      </w:pPr>
      <w:r w:rsidRPr="003E519E">
        <w:rPr>
          <w:lang w:val="en-CA"/>
        </w:rPr>
        <w:t>Special Provision 3XX:</w:t>
      </w:r>
    </w:p>
    <w:p w:rsidR="004D51A9" w:rsidRDefault="004D51A9" w:rsidP="004D51A9">
      <w:pPr>
        <w:pStyle w:val="SingleTxtG"/>
        <w:rPr>
          <w:lang w:val="en-US"/>
        </w:rPr>
      </w:pPr>
      <w:r w:rsidRPr="003E519E">
        <w:rPr>
          <w:lang w:val="en-US"/>
        </w:rPr>
        <w:t>INFECTIOUS SUBSTANCE, AFFECTING HUMANS and INFECTIOUS SUBSTANCE, AFFECTING ANIMALS only, transported as Clinical Waste, (Bio)</w:t>
      </w:r>
      <w:r>
        <w:rPr>
          <w:lang w:val="en-US"/>
        </w:rPr>
        <w:t xml:space="preserve"> </w:t>
      </w:r>
      <w:r w:rsidRPr="003E519E">
        <w:rPr>
          <w:lang w:val="en-US"/>
        </w:rPr>
        <w:t>Medical Waste or Regulated Medical Waste of Category A may be packaged in accordance with Packing Instruction P6XX or LP6XX.</w:t>
      </w:r>
    </w:p>
    <w:p w:rsidR="004D51A9" w:rsidRDefault="004D51A9" w:rsidP="004D51A9">
      <w:pPr>
        <w:pStyle w:val="H1G"/>
        <w:rPr>
          <w:lang w:val="en-CA"/>
        </w:rPr>
      </w:pPr>
      <w:r>
        <w:rPr>
          <w:lang w:val="en-CA"/>
        </w:rPr>
        <w:tab/>
      </w:r>
    </w:p>
    <w:p w:rsidR="004D51A9" w:rsidRDefault="004D51A9">
      <w:pPr>
        <w:suppressAutoHyphens w:val="0"/>
        <w:spacing w:line="240" w:lineRule="auto"/>
        <w:rPr>
          <w:b/>
          <w:sz w:val="24"/>
          <w:lang w:val="en-CA"/>
        </w:rPr>
      </w:pPr>
      <w:r>
        <w:rPr>
          <w:lang w:val="en-CA"/>
        </w:rPr>
        <w:br w:type="page"/>
      </w:r>
    </w:p>
    <w:p w:rsidR="004D51A9" w:rsidRDefault="004D51A9" w:rsidP="004D51A9">
      <w:pPr>
        <w:pStyle w:val="H1G"/>
        <w:rPr>
          <w:lang w:val="en-CA"/>
        </w:rPr>
      </w:pPr>
      <w:r>
        <w:rPr>
          <w:lang w:val="en-CA"/>
        </w:rPr>
        <w:lastRenderedPageBreak/>
        <w:tab/>
      </w:r>
      <w:r>
        <w:rPr>
          <w:lang w:val="en-CA"/>
        </w:rPr>
        <w:tab/>
      </w:r>
      <w:r w:rsidRPr="00D0318B">
        <w:rPr>
          <w:lang w:val="en-CA"/>
        </w:rPr>
        <w:t xml:space="preserve">Option 2 </w:t>
      </w:r>
    </w:p>
    <w:tbl>
      <w:tblPr>
        <w:tblStyle w:val="TableGrid"/>
        <w:tblW w:w="0" w:type="auto"/>
        <w:jc w:val="center"/>
        <w:tblInd w:w="1242" w:type="dxa"/>
        <w:tblLook w:val="04A0" w:firstRow="1" w:lastRow="0" w:firstColumn="1" w:lastColumn="0" w:noHBand="0" w:noVBand="1"/>
      </w:tblPr>
      <w:tblGrid>
        <w:gridCol w:w="1276"/>
        <w:gridCol w:w="1985"/>
        <w:gridCol w:w="1134"/>
        <w:gridCol w:w="1417"/>
        <w:gridCol w:w="1158"/>
        <w:gridCol w:w="1172"/>
      </w:tblGrid>
      <w:tr w:rsidR="004D51A9" w:rsidTr="004D51A9">
        <w:trPr>
          <w:jc w:val="center"/>
        </w:trPr>
        <w:tc>
          <w:tcPr>
            <w:tcW w:w="1276" w:type="dxa"/>
          </w:tcPr>
          <w:p w:rsidR="004D51A9" w:rsidRDefault="004D51A9" w:rsidP="004D51A9">
            <w:pPr>
              <w:rPr>
                <w:lang w:val="en-CA"/>
              </w:rPr>
            </w:pPr>
            <w:r w:rsidRPr="00577C69">
              <w:rPr>
                <w:b/>
                <w:bCs/>
                <w:lang w:val="en-US"/>
              </w:rPr>
              <w:t>UN Number</w:t>
            </w:r>
          </w:p>
        </w:tc>
        <w:tc>
          <w:tcPr>
            <w:tcW w:w="1985" w:type="dxa"/>
          </w:tcPr>
          <w:p w:rsidR="004D51A9" w:rsidRDefault="004D51A9" w:rsidP="004D51A9">
            <w:pPr>
              <w:rPr>
                <w:lang w:val="en-CA"/>
              </w:rPr>
            </w:pPr>
            <w:r w:rsidRPr="00577C69">
              <w:rPr>
                <w:b/>
                <w:bCs/>
                <w:lang w:val="en-US"/>
              </w:rPr>
              <w:t>Shipping Name and</w:t>
            </w:r>
            <w:r w:rsidRPr="00577C69">
              <w:rPr>
                <w:b/>
                <w:bCs/>
                <w:lang w:val="en-US"/>
              </w:rPr>
              <w:br/>
              <w:t>Description</w:t>
            </w:r>
          </w:p>
        </w:tc>
        <w:tc>
          <w:tcPr>
            <w:tcW w:w="1134" w:type="dxa"/>
          </w:tcPr>
          <w:p w:rsidR="004D51A9" w:rsidRDefault="004D51A9" w:rsidP="004D51A9">
            <w:pPr>
              <w:rPr>
                <w:lang w:val="en-CA"/>
              </w:rPr>
            </w:pPr>
            <w:r w:rsidRPr="00577C69">
              <w:rPr>
                <w:b/>
                <w:bCs/>
                <w:lang w:val="en-US"/>
              </w:rPr>
              <w:t>Class</w:t>
            </w:r>
          </w:p>
        </w:tc>
        <w:tc>
          <w:tcPr>
            <w:tcW w:w="1417" w:type="dxa"/>
          </w:tcPr>
          <w:p w:rsidR="004D51A9" w:rsidRDefault="004D51A9" w:rsidP="004D51A9">
            <w:pPr>
              <w:rPr>
                <w:lang w:val="en-CA"/>
              </w:rPr>
            </w:pPr>
            <w:r w:rsidRPr="00577C69">
              <w:rPr>
                <w:b/>
                <w:bCs/>
                <w:lang w:val="en-US"/>
              </w:rPr>
              <w:t>Packing Group / Category</w:t>
            </w:r>
          </w:p>
        </w:tc>
        <w:tc>
          <w:tcPr>
            <w:tcW w:w="1158" w:type="dxa"/>
          </w:tcPr>
          <w:p w:rsidR="004D51A9" w:rsidRDefault="004D51A9" w:rsidP="004D51A9">
            <w:pPr>
              <w:rPr>
                <w:lang w:val="en-CA"/>
              </w:rPr>
            </w:pPr>
            <w:r w:rsidRPr="00577C69">
              <w:rPr>
                <w:b/>
                <w:bCs/>
                <w:lang w:val="en-US"/>
              </w:rPr>
              <w:t>Special Provisions</w:t>
            </w:r>
          </w:p>
        </w:tc>
        <w:tc>
          <w:tcPr>
            <w:tcW w:w="1172" w:type="dxa"/>
          </w:tcPr>
          <w:p w:rsidR="004D51A9" w:rsidRDefault="004D51A9" w:rsidP="004D51A9">
            <w:pPr>
              <w:rPr>
                <w:lang w:val="en-CA"/>
              </w:rPr>
            </w:pPr>
            <w:r w:rsidRPr="00577C69">
              <w:rPr>
                <w:b/>
                <w:bCs/>
                <w:lang w:val="en-US"/>
              </w:rPr>
              <w:t>Packing Instruction</w:t>
            </w:r>
          </w:p>
        </w:tc>
      </w:tr>
      <w:tr w:rsidR="004D51A9" w:rsidTr="004D51A9">
        <w:trPr>
          <w:jc w:val="center"/>
        </w:trPr>
        <w:tc>
          <w:tcPr>
            <w:tcW w:w="1276" w:type="dxa"/>
          </w:tcPr>
          <w:p w:rsidR="004D51A9" w:rsidRDefault="004D51A9" w:rsidP="004D51A9">
            <w:pPr>
              <w:rPr>
                <w:lang w:val="en-CA"/>
              </w:rPr>
            </w:pPr>
            <w:r w:rsidRPr="00577C69">
              <w:rPr>
                <w:lang w:val="en-US"/>
              </w:rPr>
              <w:t>UN3XXX</w:t>
            </w:r>
          </w:p>
        </w:tc>
        <w:tc>
          <w:tcPr>
            <w:tcW w:w="1985" w:type="dxa"/>
          </w:tcPr>
          <w:p w:rsidR="004D51A9" w:rsidRDefault="004D51A9" w:rsidP="004D51A9">
            <w:pPr>
              <w:rPr>
                <w:lang w:val="en-CA"/>
              </w:rPr>
            </w:pPr>
            <w:r w:rsidRPr="00577C69">
              <w:rPr>
                <w:lang w:val="en-US"/>
              </w:rPr>
              <w:t>Clinical Waste, (Bio)Medical Waste or Regulated Medical Waste, N.O.S.</w:t>
            </w:r>
          </w:p>
        </w:tc>
        <w:tc>
          <w:tcPr>
            <w:tcW w:w="1134" w:type="dxa"/>
          </w:tcPr>
          <w:p w:rsidR="004D51A9" w:rsidRDefault="004D51A9" w:rsidP="004D51A9">
            <w:pPr>
              <w:rPr>
                <w:lang w:val="en-CA"/>
              </w:rPr>
            </w:pPr>
            <w:r w:rsidRPr="00577C69">
              <w:rPr>
                <w:lang w:val="en-US"/>
              </w:rPr>
              <w:t>6.2</w:t>
            </w:r>
          </w:p>
        </w:tc>
        <w:tc>
          <w:tcPr>
            <w:tcW w:w="1417" w:type="dxa"/>
          </w:tcPr>
          <w:p w:rsidR="004D51A9" w:rsidRDefault="004D51A9" w:rsidP="004D51A9">
            <w:pPr>
              <w:rPr>
                <w:lang w:val="en-CA"/>
              </w:rPr>
            </w:pPr>
            <w:r w:rsidRPr="00577C69">
              <w:rPr>
                <w:lang w:val="en-US"/>
              </w:rPr>
              <w:t>Category A</w:t>
            </w:r>
          </w:p>
        </w:tc>
        <w:tc>
          <w:tcPr>
            <w:tcW w:w="1158" w:type="dxa"/>
          </w:tcPr>
          <w:p w:rsidR="004D51A9" w:rsidRDefault="004D51A9" w:rsidP="004D51A9">
            <w:pPr>
              <w:rPr>
                <w:lang w:val="en-CA"/>
              </w:rPr>
            </w:pPr>
            <w:r>
              <w:rPr>
                <w:lang w:val="en-CA"/>
              </w:rPr>
              <w:t>318</w:t>
            </w:r>
          </w:p>
        </w:tc>
        <w:tc>
          <w:tcPr>
            <w:tcW w:w="1172" w:type="dxa"/>
          </w:tcPr>
          <w:p w:rsidR="004D51A9" w:rsidRPr="00577C69" w:rsidRDefault="004D51A9" w:rsidP="004D51A9">
            <w:pPr>
              <w:suppressAutoHyphens w:val="0"/>
              <w:spacing w:line="240" w:lineRule="auto"/>
              <w:rPr>
                <w:lang w:val="en-US"/>
              </w:rPr>
            </w:pPr>
            <w:r w:rsidRPr="00577C69">
              <w:rPr>
                <w:lang w:val="en-US"/>
              </w:rPr>
              <w:t>P6XX</w:t>
            </w:r>
          </w:p>
          <w:p w:rsidR="004D51A9" w:rsidRDefault="004D51A9" w:rsidP="004D51A9">
            <w:pPr>
              <w:rPr>
                <w:lang w:val="en-CA"/>
              </w:rPr>
            </w:pPr>
            <w:r w:rsidRPr="00577C69">
              <w:rPr>
                <w:lang w:val="en-US"/>
              </w:rPr>
              <w:t>LP</w:t>
            </w:r>
            <w:r>
              <w:rPr>
                <w:lang w:val="en-US"/>
              </w:rPr>
              <w:t>6</w:t>
            </w:r>
            <w:r w:rsidRPr="00577C69">
              <w:rPr>
                <w:lang w:val="en-US"/>
              </w:rPr>
              <w:t>XX</w:t>
            </w:r>
          </w:p>
        </w:tc>
      </w:tr>
    </w:tbl>
    <w:p w:rsidR="004D51A9" w:rsidRPr="0012167E" w:rsidRDefault="004D51A9" w:rsidP="004D51A9">
      <w:pPr>
        <w:pStyle w:val="HChG"/>
        <w:rPr>
          <w:lang w:val="en-CA"/>
        </w:rPr>
      </w:pPr>
      <w:r>
        <w:rPr>
          <w:lang w:val="en-CA"/>
        </w:rPr>
        <w:tab/>
      </w:r>
      <w:r>
        <w:rPr>
          <w:lang w:val="en-CA"/>
        </w:rPr>
        <w:tab/>
        <w:t>Packing Instructions</w:t>
      </w:r>
    </w:p>
    <w:p w:rsidR="004D51A9" w:rsidRPr="008207B6" w:rsidRDefault="004D51A9" w:rsidP="004D51A9">
      <w:pPr>
        <w:pStyle w:val="SingleTxtG"/>
        <w:rPr>
          <w:lang w:val="en-CA"/>
        </w:rPr>
      </w:pPr>
      <w:r w:rsidRPr="008207B6">
        <w:rPr>
          <w:lang w:val="en-CA"/>
        </w:rPr>
        <w:t xml:space="preserve">The packing instruction for the </w:t>
      </w:r>
      <w:proofErr w:type="spellStart"/>
      <w:r w:rsidRPr="008207B6">
        <w:rPr>
          <w:lang w:val="en-CA"/>
        </w:rPr>
        <w:t>packagings</w:t>
      </w:r>
      <w:proofErr w:type="spellEnd"/>
      <w:r w:rsidRPr="008207B6">
        <w:rPr>
          <w:lang w:val="en-CA"/>
        </w:rPr>
        <w:t xml:space="preserve"> would be:</w:t>
      </w:r>
    </w:p>
    <w:tbl>
      <w:tblPr>
        <w:tblW w:w="9643"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7938"/>
        <w:gridCol w:w="850"/>
      </w:tblGrid>
      <w:tr w:rsidR="004D51A9" w:rsidRPr="0012167E" w:rsidTr="00E75F15">
        <w:tc>
          <w:tcPr>
            <w:tcW w:w="855" w:type="dxa"/>
            <w:tcBorders>
              <w:bottom w:val="single" w:sz="4" w:space="0" w:color="000000"/>
            </w:tcBorders>
          </w:tcPr>
          <w:p w:rsidR="004D51A9" w:rsidRPr="0012167E" w:rsidRDefault="004D51A9" w:rsidP="00E75F15">
            <w:pPr>
              <w:spacing w:before="60" w:after="60" w:line="240" w:lineRule="auto"/>
              <w:rPr>
                <w:b/>
                <w:bCs/>
                <w:color w:val="000000"/>
              </w:rPr>
            </w:pPr>
            <w:r w:rsidRPr="0012167E">
              <w:rPr>
                <w:b/>
                <w:color w:val="000000"/>
              </w:rPr>
              <w:t>P6XX</w:t>
            </w:r>
          </w:p>
        </w:tc>
        <w:tc>
          <w:tcPr>
            <w:tcW w:w="7938" w:type="dxa"/>
            <w:tcBorders>
              <w:bottom w:val="single" w:sz="4" w:space="0" w:color="000000"/>
            </w:tcBorders>
          </w:tcPr>
          <w:p w:rsidR="004D51A9" w:rsidRPr="0012167E" w:rsidRDefault="004D51A9" w:rsidP="00E75F15">
            <w:pPr>
              <w:spacing w:before="60" w:after="60" w:line="240" w:lineRule="auto"/>
              <w:jc w:val="center"/>
              <w:rPr>
                <w:b/>
                <w:bCs/>
                <w:color w:val="000000"/>
              </w:rPr>
            </w:pPr>
            <w:r w:rsidRPr="0012167E">
              <w:rPr>
                <w:b/>
                <w:bCs/>
                <w:color w:val="000000"/>
              </w:rPr>
              <w:t>PACKING INSTRUCTION</w:t>
            </w:r>
          </w:p>
        </w:tc>
        <w:tc>
          <w:tcPr>
            <w:tcW w:w="850" w:type="dxa"/>
            <w:tcBorders>
              <w:bottom w:val="single" w:sz="4" w:space="0" w:color="000000"/>
            </w:tcBorders>
          </w:tcPr>
          <w:p w:rsidR="004D51A9" w:rsidRPr="0012167E" w:rsidRDefault="004D51A9" w:rsidP="00E75F15">
            <w:pPr>
              <w:spacing w:before="60" w:after="60" w:line="240" w:lineRule="auto"/>
              <w:rPr>
                <w:b/>
                <w:bCs/>
                <w:color w:val="000000"/>
              </w:rPr>
            </w:pPr>
            <w:r w:rsidRPr="0012167E">
              <w:rPr>
                <w:b/>
                <w:color w:val="000000"/>
              </w:rPr>
              <w:t>P 6XX</w:t>
            </w:r>
          </w:p>
        </w:tc>
      </w:tr>
      <w:tr w:rsidR="004D51A9" w:rsidRPr="0012167E" w:rsidTr="00E75F15">
        <w:tc>
          <w:tcPr>
            <w:tcW w:w="9643" w:type="dxa"/>
            <w:gridSpan w:val="3"/>
            <w:tcBorders>
              <w:top w:val="single" w:sz="4" w:space="0" w:color="000000"/>
              <w:bottom w:val="single" w:sz="4" w:space="0" w:color="000000"/>
            </w:tcBorders>
          </w:tcPr>
          <w:p w:rsidR="004D51A9" w:rsidRPr="0012167E" w:rsidRDefault="004D51A9" w:rsidP="00E75F15">
            <w:pPr>
              <w:spacing w:before="60" w:after="60" w:line="240" w:lineRule="auto"/>
              <w:rPr>
                <w:color w:val="000000"/>
                <w:lang w:val="en-CA"/>
              </w:rPr>
            </w:pPr>
            <w:r w:rsidRPr="0012167E">
              <w:rPr>
                <w:color w:val="000000"/>
                <w:lang w:val="en-CA"/>
              </w:rPr>
              <w:t>This instruction applies to UN No.35XX (or Clinical, (Bio)medical or Regulated waste of Category A)</w:t>
            </w:r>
          </w:p>
        </w:tc>
      </w:tr>
      <w:tr w:rsidR="004D51A9" w:rsidRPr="0012167E" w:rsidTr="00E75F15">
        <w:tc>
          <w:tcPr>
            <w:tcW w:w="9643" w:type="dxa"/>
            <w:gridSpan w:val="3"/>
          </w:tcPr>
          <w:p w:rsidR="004D51A9" w:rsidRPr="0012167E" w:rsidRDefault="004D51A9" w:rsidP="00E75F15">
            <w:pPr>
              <w:spacing w:before="60" w:after="60" w:line="240" w:lineRule="auto"/>
              <w:rPr>
                <w:color w:val="000000"/>
                <w:lang w:val="en-CA"/>
              </w:rPr>
            </w:pPr>
            <w:r w:rsidRPr="0012167E">
              <w:rPr>
                <w:color w:val="000000"/>
                <w:lang w:val="en-CA"/>
              </w:rPr>
              <w:t xml:space="preserve">The following </w:t>
            </w:r>
            <w:proofErr w:type="spellStart"/>
            <w:r w:rsidRPr="0012167E">
              <w:rPr>
                <w:color w:val="000000"/>
                <w:lang w:val="en-CA"/>
              </w:rPr>
              <w:t>packagings</w:t>
            </w:r>
            <w:proofErr w:type="spellEnd"/>
            <w:r w:rsidRPr="0012167E">
              <w:rPr>
                <w:color w:val="000000"/>
                <w:lang w:val="en-CA"/>
              </w:rPr>
              <w:t xml:space="preserve"> are authorized provided the general provisions of 4.1.1 and 4.1.3 are met:</w:t>
            </w:r>
          </w:p>
          <w:p w:rsidR="004D51A9" w:rsidRPr="0012167E" w:rsidRDefault="004D51A9" w:rsidP="004D51A9">
            <w:pPr>
              <w:numPr>
                <w:ilvl w:val="0"/>
                <w:numId w:val="36"/>
              </w:numPr>
              <w:spacing w:before="60" w:after="60" w:line="240" w:lineRule="auto"/>
              <w:ind w:left="230" w:hanging="230"/>
              <w:rPr>
                <w:color w:val="000000"/>
                <w:lang w:val="en-CA"/>
              </w:rPr>
            </w:pPr>
            <w:r w:rsidRPr="0012167E">
              <w:rPr>
                <w:color w:val="000000"/>
                <w:lang w:val="en-CA"/>
              </w:rPr>
              <w:t>The packaging shall consists of at least three components:</w:t>
            </w:r>
          </w:p>
          <w:p w:rsidR="004D51A9" w:rsidRPr="0012167E" w:rsidRDefault="004D51A9" w:rsidP="004D51A9">
            <w:pPr>
              <w:numPr>
                <w:ilvl w:val="0"/>
                <w:numId w:val="37"/>
              </w:numPr>
              <w:spacing w:before="60" w:after="60" w:line="240" w:lineRule="auto"/>
              <w:rPr>
                <w:color w:val="000000"/>
                <w:lang w:val="en-CA"/>
              </w:rPr>
            </w:pPr>
            <w:proofErr w:type="spellStart"/>
            <w:r w:rsidRPr="0012167E">
              <w:rPr>
                <w:color w:val="000000"/>
                <w:lang w:val="en-CA"/>
              </w:rPr>
              <w:t>leakproof</w:t>
            </w:r>
            <w:proofErr w:type="spellEnd"/>
            <w:r w:rsidRPr="0012167E">
              <w:rPr>
                <w:color w:val="000000"/>
                <w:lang w:val="en-CA"/>
              </w:rPr>
              <w:t xml:space="preserve"> primary packaging(s)</w:t>
            </w:r>
          </w:p>
          <w:p w:rsidR="004D51A9" w:rsidRPr="0012167E" w:rsidRDefault="004D51A9" w:rsidP="004D51A9">
            <w:pPr>
              <w:numPr>
                <w:ilvl w:val="0"/>
                <w:numId w:val="37"/>
              </w:numPr>
              <w:spacing w:before="60" w:after="60" w:line="240" w:lineRule="auto"/>
              <w:rPr>
                <w:color w:val="000000"/>
                <w:lang w:val="en-CA"/>
              </w:rPr>
            </w:pPr>
            <w:r w:rsidRPr="0012167E">
              <w:rPr>
                <w:color w:val="000000"/>
                <w:lang w:val="en-CA"/>
              </w:rPr>
              <w:t xml:space="preserve">a </w:t>
            </w:r>
            <w:proofErr w:type="spellStart"/>
            <w:r w:rsidRPr="0012167E">
              <w:rPr>
                <w:color w:val="000000"/>
                <w:lang w:val="en-CA"/>
              </w:rPr>
              <w:t>leakproof</w:t>
            </w:r>
            <w:proofErr w:type="spellEnd"/>
            <w:r w:rsidRPr="0012167E">
              <w:rPr>
                <w:color w:val="000000"/>
                <w:lang w:val="en-CA"/>
              </w:rPr>
              <w:t xml:space="preserve"> secondary packaging(s)</w:t>
            </w:r>
          </w:p>
          <w:p w:rsidR="004D51A9" w:rsidRPr="0012167E" w:rsidRDefault="004D51A9" w:rsidP="004D51A9">
            <w:pPr>
              <w:numPr>
                <w:ilvl w:val="0"/>
                <w:numId w:val="37"/>
              </w:numPr>
              <w:spacing w:before="60" w:after="60" w:line="240" w:lineRule="auto"/>
              <w:rPr>
                <w:color w:val="000000"/>
                <w:lang w:val="en-CA"/>
              </w:rPr>
            </w:pPr>
            <w:r w:rsidRPr="0012167E">
              <w:rPr>
                <w:color w:val="000000"/>
                <w:lang w:val="en-CA"/>
              </w:rPr>
              <w:t xml:space="preserve">an outer packaging conforming to the packing group II performance level for liquids:       </w:t>
            </w:r>
          </w:p>
          <w:p w:rsidR="004D51A9" w:rsidRPr="0012167E" w:rsidRDefault="004D51A9" w:rsidP="00E75F15">
            <w:pPr>
              <w:spacing w:before="60" w:after="60" w:line="240" w:lineRule="auto"/>
              <w:rPr>
                <w:color w:val="000000"/>
                <w:lang w:val="en-CA"/>
              </w:rPr>
            </w:pPr>
            <w:r w:rsidRPr="0012167E">
              <w:rPr>
                <w:color w:val="000000"/>
                <w:lang w:val="en-CA"/>
              </w:rPr>
              <w:t xml:space="preserve">        Drums (1A2, 1B2, 1N2, 1H2);</w:t>
            </w:r>
          </w:p>
          <w:p w:rsidR="004D51A9" w:rsidRPr="0012167E" w:rsidRDefault="004D51A9" w:rsidP="00E75F15">
            <w:pPr>
              <w:spacing w:before="60" w:after="60" w:line="240" w:lineRule="auto"/>
              <w:ind w:left="797" w:hanging="797"/>
              <w:rPr>
                <w:color w:val="000000"/>
                <w:lang w:val="en-CA"/>
              </w:rPr>
            </w:pPr>
            <w:r w:rsidRPr="0012167E">
              <w:rPr>
                <w:color w:val="000000"/>
                <w:lang w:val="en-CA"/>
              </w:rPr>
              <w:t xml:space="preserve">        </w:t>
            </w:r>
            <w:proofErr w:type="spellStart"/>
            <w:r w:rsidRPr="0012167E">
              <w:rPr>
                <w:color w:val="000000"/>
                <w:lang w:val="en-CA"/>
              </w:rPr>
              <w:t>Jerricans</w:t>
            </w:r>
            <w:proofErr w:type="spellEnd"/>
            <w:r w:rsidRPr="0012167E">
              <w:rPr>
                <w:color w:val="000000"/>
                <w:lang w:val="en-CA"/>
              </w:rPr>
              <w:t xml:space="preserve"> (3A2, 3B2, 3H2). </w:t>
            </w:r>
          </w:p>
          <w:p w:rsidR="004D51A9" w:rsidRPr="0012167E" w:rsidRDefault="004D51A9" w:rsidP="004D51A9">
            <w:pPr>
              <w:numPr>
                <w:ilvl w:val="0"/>
                <w:numId w:val="36"/>
              </w:numPr>
              <w:spacing w:before="60" w:after="60" w:line="240" w:lineRule="auto"/>
              <w:ind w:left="230" w:hanging="230"/>
              <w:rPr>
                <w:color w:val="000000"/>
                <w:lang w:val="en-CA"/>
              </w:rPr>
            </w:pPr>
            <w:r w:rsidRPr="0012167E">
              <w:rPr>
                <w:color w:val="000000"/>
                <w:lang w:val="en-CA"/>
              </w:rPr>
              <w:t>Each secondary packaging shall contain only one primary packaging.</w:t>
            </w:r>
          </w:p>
          <w:p w:rsidR="004D51A9" w:rsidRPr="0012167E" w:rsidRDefault="004D51A9" w:rsidP="004D51A9">
            <w:pPr>
              <w:numPr>
                <w:ilvl w:val="0"/>
                <w:numId w:val="36"/>
              </w:numPr>
              <w:spacing w:before="60" w:after="60" w:line="240" w:lineRule="auto"/>
              <w:ind w:left="230" w:hanging="230"/>
              <w:rPr>
                <w:color w:val="000000"/>
                <w:lang w:val="en-CA"/>
              </w:rPr>
            </w:pPr>
            <w:r w:rsidRPr="0012167E">
              <w:rPr>
                <w:color w:val="000000"/>
                <w:lang w:val="en-CA"/>
              </w:rPr>
              <w:t xml:space="preserve">When flexible </w:t>
            </w:r>
            <w:r w:rsidRPr="0012167E">
              <w:rPr>
                <w:color w:val="000000"/>
                <w:lang w:val="en"/>
              </w:rPr>
              <w:t xml:space="preserve">primary and secondary </w:t>
            </w:r>
            <w:proofErr w:type="spellStart"/>
            <w:r w:rsidRPr="0012167E">
              <w:rPr>
                <w:color w:val="000000"/>
                <w:lang w:val="en"/>
              </w:rPr>
              <w:t>packagings</w:t>
            </w:r>
            <w:proofErr w:type="spellEnd"/>
            <w:r w:rsidRPr="0012167E">
              <w:rPr>
                <w:color w:val="000000"/>
                <w:lang w:val="en"/>
              </w:rPr>
              <w:t xml:space="preserve"> are used they shall be plastic bags hermetically sealed such that the bags are capable of being maintained in an inverted position with the closed end facing downward during a period of 5 minutes without leakage. </w:t>
            </w:r>
            <w:r w:rsidRPr="0012167E">
              <w:rPr>
                <w:color w:val="000000"/>
                <w:lang w:val="en-CA"/>
              </w:rPr>
              <w:t>T</w:t>
            </w:r>
            <w:r w:rsidRPr="0012167E">
              <w:rPr>
                <w:color w:val="000000"/>
                <w:lang w:val="en"/>
              </w:rPr>
              <w:t>he plastic film from which the bags are made ​​shall also have an impact resistance of at least 165g determined by ISO 7765-1988 " Plastics film and sheeting - Determination of impact resistance by the free-falling dart method - Part 1: " Staircase methods " and have a tear resistance of at least 480g in both parallel and perpendicular planes with respect to the length of the bag determined by ISO 6383-2 : 1983 " Plastics - film and sheeting - determination of tear resistance - Part 2: Elmendorf method ". The gross mass of a sealed plastic bag used as a primary packaging must be equal to or less than 10kg.</w:t>
            </w:r>
          </w:p>
          <w:p w:rsidR="004D51A9" w:rsidRPr="004D51A9" w:rsidRDefault="004D51A9" w:rsidP="00E75F15">
            <w:pPr>
              <w:numPr>
                <w:ilvl w:val="0"/>
                <w:numId w:val="36"/>
              </w:numPr>
              <w:spacing w:before="60" w:after="60" w:line="240" w:lineRule="auto"/>
              <w:ind w:left="230" w:hanging="230"/>
              <w:rPr>
                <w:color w:val="000000"/>
                <w:lang w:val="en-CA"/>
              </w:rPr>
            </w:pPr>
            <w:r w:rsidRPr="0012167E">
              <w:rPr>
                <w:color w:val="000000"/>
                <w:lang w:val="en-CA"/>
              </w:rPr>
              <w:t xml:space="preserve">If the presence of residual liquid in the primary packaging cannot be excluded, absorbent material in sufficient quantity to absorb all the liquid that may be present shall be inserted in the outer packaging. </w:t>
            </w:r>
          </w:p>
        </w:tc>
      </w:tr>
      <w:tr w:rsidR="004D51A9" w:rsidRPr="0012167E" w:rsidTr="00E75F15">
        <w:trPr>
          <w:trHeight w:val="244"/>
        </w:trPr>
        <w:tc>
          <w:tcPr>
            <w:tcW w:w="9643" w:type="dxa"/>
            <w:gridSpan w:val="3"/>
            <w:tcBorders>
              <w:top w:val="single" w:sz="4" w:space="0" w:color="000000"/>
              <w:bottom w:val="nil"/>
            </w:tcBorders>
          </w:tcPr>
          <w:p w:rsidR="004D51A9" w:rsidRPr="0012167E" w:rsidRDefault="004D51A9" w:rsidP="00E75F15">
            <w:pPr>
              <w:spacing w:before="60" w:after="60" w:line="240" w:lineRule="auto"/>
              <w:rPr>
                <w:color w:val="000000"/>
              </w:rPr>
            </w:pPr>
            <w:r w:rsidRPr="0012167E">
              <w:rPr>
                <w:b/>
                <w:color w:val="000000"/>
              </w:rPr>
              <w:t>Additional requirement</w:t>
            </w:r>
            <w:r w:rsidRPr="0012167E">
              <w:rPr>
                <w:color w:val="000000"/>
              </w:rPr>
              <w:t>:</w:t>
            </w:r>
          </w:p>
        </w:tc>
      </w:tr>
      <w:tr w:rsidR="004D51A9" w:rsidRPr="008207B6" w:rsidTr="00E75F15">
        <w:trPr>
          <w:trHeight w:val="360"/>
        </w:trPr>
        <w:tc>
          <w:tcPr>
            <w:tcW w:w="9643" w:type="dxa"/>
            <w:gridSpan w:val="3"/>
            <w:tcBorders>
              <w:top w:val="nil"/>
            </w:tcBorders>
            <w:vAlign w:val="center"/>
          </w:tcPr>
          <w:p w:rsidR="004D51A9" w:rsidRPr="0012167E" w:rsidRDefault="004D51A9" w:rsidP="004D51A9">
            <w:pPr>
              <w:numPr>
                <w:ilvl w:val="0"/>
                <w:numId w:val="38"/>
              </w:numPr>
              <w:spacing w:before="60" w:after="60" w:line="240" w:lineRule="auto"/>
              <w:ind w:left="230" w:hanging="230"/>
              <w:rPr>
                <w:color w:val="000000"/>
                <w:lang w:val="en-CA"/>
              </w:rPr>
            </w:pPr>
            <w:r w:rsidRPr="0012167E">
              <w:rPr>
                <w:color w:val="000000"/>
                <w:lang w:val="en-CA"/>
              </w:rPr>
              <w:t>The specific implementation of this Packing Instruction shall be approved by the Competent Authority.</w:t>
            </w:r>
          </w:p>
          <w:p w:rsidR="004D51A9" w:rsidRPr="0012167E" w:rsidRDefault="004D51A9" w:rsidP="004D51A9">
            <w:pPr>
              <w:numPr>
                <w:ilvl w:val="0"/>
                <w:numId w:val="38"/>
              </w:numPr>
              <w:spacing w:before="60" w:after="60" w:line="240" w:lineRule="auto"/>
              <w:ind w:left="230" w:hanging="230"/>
              <w:rPr>
                <w:color w:val="000000"/>
                <w:lang w:val="en-CA"/>
              </w:rPr>
            </w:pPr>
            <w:r w:rsidRPr="0012167E">
              <w:rPr>
                <w:color w:val="000000"/>
                <w:lang w:val="en-CA"/>
              </w:rPr>
              <w:t xml:space="preserve">The exterior surface of the primary and secondary </w:t>
            </w:r>
            <w:proofErr w:type="spellStart"/>
            <w:r w:rsidRPr="0012167E">
              <w:rPr>
                <w:color w:val="000000"/>
                <w:lang w:val="en-CA"/>
              </w:rPr>
              <w:t>packagings</w:t>
            </w:r>
            <w:proofErr w:type="spellEnd"/>
            <w:r w:rsidRPr="0012167E">
              <w:rPr>
                <w:color w:val="000000"/>
                <w:lang w:val="en-CA"/>
              </w:rPr>
              <w:t xml:space="preserve"> shall be disinfected before being loaded into the outer packaging respectively. The outer </w:t>
            </w:r>
            <w:proofErr w:type="spellStart"/>
            <w:r w:rsidRPr="0012167E">
              <w:rPr>
                <w:color w:val="000000"/>
                <w:lang w:val="en-CA"/>
              </w:rPr>
              <w:t>packagings</w:t>
            </w:r>
            <w:proofErr w:type="spellEnd"/>
            <w:r w:rsidRPr="0012167E">
              <w:rPr>
                <w:color w:val="000000"/>
                <w:lang w:val="en-CA"/>
              </w:rPr>
              <w:t xml:space="preserve"> shall be disinfected prior to being reused. The disinfection shall be done in accordance with the recommendations of the Competent Public Health Authority. </w:t>
            </w:r>
          </w:p>
          <w:p w:rsidR="004D51A9" w:rsidRPr="0012167E" w:rsidRDefault="004D51A9" w:rsidP="004D51A9">
            <w:pPr>
              <w:numPr>
                <w:ilvl w:val="0"/>
                <w:numId w:val="38"/>
              </w:numPr>
              <w:spacing w:before="60" w:after="60" w:line="240" w:lineRule="auto"/>
              <w:ind w:left="230" w:hanging="230"/>
              <w:rPr>
                <w:b/>
                <w:color w:val="000000"/>
                <w:lang w:val="en-CA"/>
              </w:rPr>
            </w:pPr>
            <w:r w:rsidRPr="0012167E">
              <w:rPr>
                <w:color w:val="000000"/>
                <w:lang w:val="en-CA"/>
              </w:rPr>
              <w:t>Before being contained in the primary packaging, sharp objects such as broken glass and needles shall be contained in a packaging resistant to puncture and able to retain liquids under the performance test conditions in Chapter 6.1.</w:t>
            </w:r>
          </w:p>
        </w:tc>
      </w:tr>
    </w:tbl>
    <w:p w:rsidR="00FC6CF3" w:rsidRDefault="00FC6CF3" w:rsidP="00A80431">
      <w:pPr>
        <w:pStyle w:val="SingleTxtG"/>
        <w:spacing w:before="240" w:after="0"/>
        <w:jc w:val="center"/>
        <w:rPr>
          <w:u w:val="single"/>
          <w:lang w:val="en-CA"/>
        </w:rPr>
      </w:pPr>
    </w:p>
    <w:p w:rsidR="00FC6CF3" w:rsidRDefault="00FC6CF3">
      <w:pPr>
        <w:suppressAutoHyphens w:val="0"/>
        <w:spacing w:line="240" w:lineRule="auto"/>
        <w:rPr>
          <w:u w:val="single"/>
          <w:lang w:val="en-CA"/>
        </w:rPr>
      </w:pPr>
      <w:r>
        <w:rPr>
          <w:u w:val="single"/>
          <w:lang w:val="en-CA"/>
        </w:rPr>
        <w:br w:type="page"/>
      </w:r>
    </w:p>
    <w:p w:rsidR="004D51A9" w:rsidRPr="00A80431" w:rsidRDefault="00FC6CF3" w:rsidP="00FC6CF3">
      <w:pPr>
        <w:pStyle w:val="SingleTxtG"/>
        <w:rPr>
          <w:u w:val="single"/>
          <w:lang w:val="en-CA"/>
        </w:rPr>
      </w:pPr>
      <w:r w:rsidRPr="008207B6">
        <w:rPr>
          <w:lang w:val="en-CA"/>
        </w:rPr>
        <w:lastRenderedPageBreak/>
        <w:t xml:space="preserve">The packing instruction for the large </w:t>
      </w:r>
      <w:proofErr w:type="spellStart"/>
      <w:r w:rsidRPr="008207B6">
        <w:rPr>
          <w:lang w:val="en-CA"/>
        </w:rPr>
        <w:t>packagings</w:t>
      </w:r>
      <w:proofErr w:type="spellEnd"/>
      <w:r w:rsidRPr="008207B6">
        <w:rPr>
          <w:lang w:val="en-CA"/>
        </w:rPr>
        <w:t xml:space="preserve"> would be</w:t>
      </w:r>
    </w:p>
    <w:tbl>
      <w:tblPr>
        <w:tblW w:w="9641" w:type="dxa"/>
        <w:tblInd w:w="54" w:type="dxa"/>
        <w:tblBorders>
          <w:top w:val="single" w:sz="4" w:space="0" w:color="000000"/>
          <w:left w:val="single" w:sz="4" w:space="0" w:color="000000"/>
          <w:bottom w:val="single" w:sz="4" w:space="0" w:color="000000"/>
          <w:right w:val="single" w:sz="4" w:space="0" w:color="000000"/>
        </w:tblBorders>
        <w:tblLayout w:type="fixed"/>
        <w:tblCellMar>
          <w:left w:w="56" w:type="dxa"/>
          <w:right w:w="56" w:type="dxa"/>
        </w:tblCellMar>
        <w:tblLook w:val="0000" w:firstRow="0" w:lastRow="0" w:firstColumn="0" w:lastColumn="0" w:noHBand="0" w:noVBand="0"/>
      </w:tblPr>
      <w:tblGrid>
        <w:gridCol w:w="855"/>
        <w:gridCol w:w="7794"/>
        <w:gridCol w:w="992"/>
      </w:tblGrid>
      <w:tr w:rsidR="00FC6CF3" w:rsidRPr="0012167E" w:rsidTr="00E75F15">
        <w:tc>
          <w:tcPr>
            <w:tcW w:w="855" w:type="dxa"/>
            <w:tcBorders>
              <w:bottom w:val="single" w:sz="4" w:space="0" w:color="000000"/>
            </w:tcBorders>
          </w:tcPr>
          <w:p w:rsidR="00FC6CF3" w:rsidRPr="0012167E" w:rsidRDefault="00FC6CF3" w:rsidP="00E75F15">
            <w:pPr>
              <w:spacing w:before="60" w:after="60" w:line="240" w:lineRule="auto"/>
              <w:rPr>
                <w:b/>
                <w:bCs/>
                <w:color w:val="000000"/>
              </w:rPr>
            </w:pPr>
            <w:r w:rsidRPr="0012167E">
              <w:rPr>
                <w:b/>
                <w:color w:val="000000"/>
              </w:rPr>
              <w:t>LP6XX</w:t>
            </w:r>
          </w:p>
        </w:tc>
        <w:tc>
          <w:tcPr>
            <w:tcW w:w="7794" w:type="dxa"/>
            <w:tcBorders>
              <w:bottom w:val="single" w:sz="4" w:space="0" w:color="000000"/>
            </w:tcBorders>
          </w:tcPr>
          <w:p w:rsidR="00FC6CF3" w:rsidRPr="0012167E" w:rsidRDefault="00FC6CF3" w:rsidP="00E75F15">
            <w:pPr>
              <w:spacing w:before="60" w:after="60" w:line="240" w:lineRule="auto"/>
              <w:jc w:val="center"/>
              <w:rPr>
                <w:b/>
                <w:bCs/>
                <w:color w:val="000000"/>
              </w:rPr>
            </w:pPr>
            <w:r w:rsidRPr="0012167E">
              <w:rPr>
                <w:b/>
                <w:bCs/>
                <w:color w:val="000000"/>
              </w:rPr>
              <w:t>PACKING INSTRUCTION</w:t>
            </w:r>
          </w:p>
        </w:tc>
        <w:tc>
          <w:tcPr>
            <w:tcW w:w="992" w:type="dxa"/>
            <w:tcBorders>
              <w:bottom w:val="single" w:sz="4" w:space="0" w:color="000000"/>
            </w:tcBorders>
          </w:tcPr>
          <w:p w:rsidR="00FC6CF3" w:rsidRPr="0012167E" w:rsidRDefault="00FC6CF3" w:rsidP="00E75F15">
            <w:pPr>
              <w:spacing w:before="60" w:after="60" w:line="240" w:lineRule="auto"/>
              <w:rPr>
                <w:b/>
                <w:bCs/>
                <w:color w:val="000000"/>
              </w:rPr>
            </w:pPr>
            <w:r w:rsidRPr="0012167E">
              <w:rPr>
                <w:b/>
                <w:color w:val="000000"/>
              </w:rPr>
              <w:t>LP 6XX</w:t>
            </w:r>
          </w:p>
        </w:tc>
      </w:tr>
      <w:tr w:rsidR="00FC6CF3" w:rsidRPr="0012167E" w:rsidTr="00E75F15">
        <w:tc>
          <w:tcPr>
            <w:tcW w:w="9641" w:type="dxa"/>
            <w:gridSpan w:val="3"/>
            <w:tcBorders>
              <w:top w:val="single" w:sz="4" w:space="0" w:color="000000"/>
              <w:bottom w:val="single" w:sz="4" w:space="0" w:color="000000"/>
            </w:tcBorders>
          </w:tcPr>
          <w:p w:rsidR="00FC6CF3" w:rsidRPr="0012167E" w:rsidRDefault="00FC6CF3" w:rsidP="00E75F15">
            <w:pPr>
              <w:spacing w:before="60" w:after="60" w:line="240" w:lineRule="auto"/>
              <w:rPr>
                <w:color w:val="000000"/>
                <w:lang w:val="en-CA"/>
              </w:rPr>
            </w:pPr>
            <w:r w:rsidRPr="0012167E">
              <w:rPr>
                <w:color w:val="000000"/>
                <w:lang w:val="en-CA"/>
              </w:rPr>
              <w:t>This instruction applies to UN No.35XX (or Clinical, (Bio)medical or Regulated waste of Category A)</w:t>
            </w:r>
          </w:p>
        </w:tc>
      </w:tr>
      <w:tr w:rsidR="00FC6CF3" w:rsidRPr="0012167E" w:rsidTr="00E75F15">
        <w:tc>
          <w:tcPr>
            <w:tcW w:w="9641" w:type="dxa"/>
            <w:gridSpan w:val="3"/>
          </w:tcPr>
          <w:p w:rsidR="00FC6CF3" w:rsidRPr="0012167E" w:rsidRDefault="00FC6CF3" w:rsidP="00E75F15">
            <w:pPr>
              <w:spacing w:before="60" w:after="60" w:line="240" w:lineRule="auto"/>
              <w:rPr>
                <w:color w:val="000000"/>
                <w:lang w:val="en-CA"/>
              </w:rPr>
            </w:pPr>
            <w:r w:rsidRPr="0012167E">
              <w:rPr>
                <w:color w:val="000000"/>
                <w:lang w:val="en-CA"/>
              </w:rPr>
              <w:t xml:space="preserve">The following </w:t>
            </w:r>
            <w:proofErr w:type="spellStart"/>
            <w:r w:rsidRPr="0012167E">
              <w:rPr>
                <w:color w:val="000000"/>
                <w:lang w:val="en-CA"/>
              </w:rPr>
              <w:t>packagings</w:t>
            </w:r>
            <w:proofErr w:type="spellEnd"/>
            <w:r w:rsidRPr="0012167E">
              <w:rPr>
                <w:color w:val="000000"/>
                <w:lang w:val="en-CA"/>
              </w:rPr>
              <w:t xml:space="preserve"> are authorized provided the general provisions of 4.1.1 and 4.1.3 are met:</w:t>
            </w:r>
          </w:p>
          <w:p w:rsidR="00FC6CF3" w:rsidRPr="0012167E" w:rsidRDefault="00FC6CF3" w:rsidP="00FC6CF3">
            <w:pPr>
              <w:numPr>
                <w:ilvl w:val="0"/>
                <w:numId w:val="39"/>
              </w:numPr>
              <w:spacing w:before="60" w:after="60" w:line="240" w:lineRule="auto"/>
              <w:ind w:left="230" w:hanging="230"/>
              <w:rPr>
                <w:color w:val="000000"/>
                <w:lang w:val="en-CA"/>
              </w:rPr>
            </w:pPr>
            <w:r w:rsidRPr="0012167E">
              <w:rPr>
                <w:color w:val="000000"/>
                <w:lang w:val="en-CA"/>
              </w:rPr>
              <w:t>The packaging shall consists of at least three components:</w:t>
            </w:r>
          </w:p>
          <w:p w:rsidR="00FC6CF3" w:rsidRPr="0012167E" w:rsidRDefault="00FC6CF3" w:rsidP="00FC6CF3">
            <w:pPr>
              <w:numPr>
                <w:ilvl w:val="0"/>
                <w:numId w:val="40"/>
              </w:numPr>
              <w:spacing w:before="60" w:after="60" w:line="240" w:lineRule="auto"/>
              <w:rPr>
                <w:color w:val="000000"/>
                <w:lang w:val="en-CA"/>
              </w:rPr>
            </w:pPr>
            <w:proofErr w:type="spellStart"/>
            <w:r w:rsidRPr="0012167E">
              <w:rPr>
                <w:color w:val="000000"/>
                <w:lang w:val="en-CA"/>
              </w:rPr>
              <w:t>leakproof</w:t>
            </w:r>
            <w:proofErr w:type="spellEnd"/>
            <w:r w:rsidRPr="0012167E">
              <w:rPr>
                <w:color w:val="000000"/>
                <w:lang w:val="en-CA"/>
              </w:rPr>
              <w:t xml:space="preserve"> primary packaging(s)</w:t>
            </w:r>
          </w:p>
          <w:p w:rsidR="00FC6CF3" w:rsidRPr="0012167E" w:rsidRDefault="00FC6CF3" w:rsidP="00FC6CF3">
            <w:pPr>
              <w:numPr>
                <w:ilvl w:val="0"/>
                <w:numId w:val="40"/>
              </w:numPr>
              <w:spacing w:before="60" w:after="60" w:line="240" w:lineRule="auto"/>
              <w:rPr>
                <w:color w:val="000000"/>
                <w:lang w:val="en-CA"/>
              </w:rPr>
            </w:pPr>
            <w:proofErr w:type="spellStart"/>
            <w:r w:rsidRPr="0012167E">
              <w:rPr>
                <w:color w:val="000000"/>
                <w:lang w:val="en-CA"/>
              </w:rPr>
              <w:t>leakproof</w:t>
            </w:r>
            <w:proofErr w:type="spellEnd"/>
            <w:r w:rsidRPr="0012167E">
              <w:rPr>
                <w:color w:val="000000"/>
                <w:lang w:val="en-CA"/>
              </w:rPr>
              <w:t xml:space="preserve"> secondary packaging(s)</w:t>
            </w:r>
          </w:p>
          <w:p w:rsidR="00FC6CF3" w:rsidRPr="0012167E" w:rsidRDefault="00FC6CF3" w:rsidP="00FC6CF3">
            <w:pPr>
              <w:numPr>
                <w:ilvl w:val="0"/>
                <w:numId w:val="40"/>
              </w:numPr>
              <w:spacing w:before="60" w:after="60" w:line="240" w:lineRule="auto"/>
              <w:rPr>
                <w:color w:val="000000"/>
                <w:lang w:val="en-CA"/>
              </w:rPr>
            </w:pPr>
            <w:r w:rsidRPr="0012167E">
              <w:rPr>
                <w:color w:val="000000"/>
                <w:lang w:val="en-CA"/>
              </w:rPr>
              <w:t xml:space="preserve">a large packaging conforming to the packing group II performance level for liquids:       </w:t>
            </w:r>
          </w:p>
          <w:p w:rsidR="00FC6CF3" w:rsidRPr="0012167E" w:rsidRDefault="00FC6CF3" w:rsidP="00E75F15">
            <w:pPr>
              <w:spacing w:before="60" w:after="60" w:line="240" w:lineRule="auto"/>
              <w:rPr>
                <w:color w:val="000000"/>
                <w:lang w:val="en-CA"/>
              </w:rPr>
            </w:pPr>
            <w:r w:rsidRPr="0012167E">
              <w:rPr>
                <w:color w:val="000000"/>
                <w:lang w:val="en-CA"/>
              </w:rPr>
              <w:t xml:space="preserve">        steel (50A) ;</w:t>
            </w:r>
          </w:p>
          <w:p w:rsidR="00FC6CF3" w:rsidRPr="0012167E" w:rsidRDefault="00FC6CF3" w:rsidP="00E75F15">
            <w:pPr>
              <w:spacing w:before="60" w:after="60" w:line="240" w:lineRule="auto"/>
              <w:rPr>
                <w:color w:val="000000"/>
                <w:lang w:val="en-CA"/>
              </w:rPr>
            </w:pPr>
            <w:r w:rsidRPr="0012167E">
              <w:rPr>
                <w:color w:val="000000"/>
                <w:lang w:val="en-CA"/>
              </w:rPr>
              <w:t xml:space="preserve">        aluminium (50B) ;</w:t>
            </w:r>
          </w:p>
          <w:p w:rsidR="00FC6CF3" w:rsidRPr="0012167E" w:rsidRDefault="00FC6CF3" w:rsidP="00E75F15">
            <w:pPr>
              <w:spacing w:before="60" w:after="60" w:line="240" w:lineRule="auto"/>
              <w:rPr>
                <w:color w:val="000000"/>
                <w:lang w:val="en-CA"/>
              </w:rPr>
            </w:pPr>
            <w:r w:rsidRPr="0012167E">
              <w:rPr>
                <w:color w:val="000000"/>
                <w:lang w:val="en-CA"/>
              </w:rPr>
              <w:t xml:space="preserve">        rigid plastics (50H) ;</w:t>
            </w:r>
          </w:p>
          <w:p w:rsidR="00FC6CF3" w:rsidRPr="0012167E" w:rsidRDefault="00FC6CF3" w:rsidP="00E75F15">
            <w:pPr>
              <w:spacing w:before="60" w:after="60" w:line="240" w:lineRule="auto"/>
              <w:rPr>
                <w:color w:val="000000"/>
                <w:lang w:val="en-CA"/>
              </w:rPr>
            </w:pPr>
            <w:r w:rsidRPr="0012167E">
              <w:rPr>
                <w:color w:val="000000"/>
                <w:lang w:val="en-CA"/>
              </w:rPr>
              <w:t xml:space="preserve">        </w:t>
            </w:r>
            <w:proofErr w:type="gramStart"/>
            <w:r w:rsidRPr="0012167E">
              <w:rPr>
                <w:color w:val="000000"/>
                <w:lang w:val="en-CA"/>
              </w:rPr>
              <w:t>metal</w:t>
            </w:r>
            <w:proofErr w:type="gramEnd"/>
            <w:r w:rsidRPr="0012167E">
              <w:rPr>
                <w:color w:val="000000"/>
                <w:lang w:val="en-CA"/>
              </w:rPr>
              <w:t xml:space="preserve"> other than steel or aluminium (50N).</w:t>
            </w:r>
          </w:p>
          <w:p w:rsidR="00FC6CF3" w:rsidRPr="0012167E" w:rsidRDefault="00FC6CF3" w:rsidP="00E75F15">
            <w:pPr>
              <w:spacing w:before="60" w:after="60" w:line="240" w:lineRule="auto"/>
              <w:ind w:left="797" w:hanging="797"/>
              <w:rPr>
                <w:color w:val="000000"/>
                <w:lang w:val="en-CA"/>
              </w:rPr>
            </w:pPr>
          </w:p>
          <w:p w:rsidR="00FC6CF3" w:rsidRPr="0012167E" w:rsidRDefault="00FC6CF3" w:rsidP="00FC6CF3">
            <w:pPr>
              <w:numPr>
                <w:ilvl w:val="0"/>
                <w:numId w:val="39"/>
              </w:numPr>
              <w:spacing w:before="60" w:after="60" w:line="240" w:lineRule="auto"/>
              <w:ind w:left="230" w:hanging="230"/>
              <w:rPr>
                <w:color w:val="000000"/>
                <w:lang w:val="en-CA"/>
              </w:rPr>
            </w:pPr>
            <w:r w:rsidRPr="0012167E">
              <w:rPr>
                <w:color w:val="000000"/>
                <w:lang w:val="en-CA"/>
              </w:rPr>
              <w:t xml:space="preserve">When flexible </w:t>
            </w:r>
            <w:r w:rsidRPr="0012167E">
              <w:rPr>
                <w:color w:val="000000"/>
                <w:lang w:val="en"/>
              </w:rPr>
              <w:t xml:space="preserve">primary and secondary </w:t>
            </w:r>
            <w:proofErr w:type="spellStart"/>
            <w:r w:rsidRPr="0012167E">
              <w:rPr>
                <w:color w:val="000000"/>
                <w:lang w:val="en"/>
              </w:rPr>
              <w:t>packagings</w:t>
            </w:r>
            <w:proofErr w:type="spellEnd"/>
            <w:r w:rsidRPr="0012167E">
              <w:rPr>
                <w:color w:val="000000"/>
                <w:lang w:val="en"/>
              </w:rPr>
              <w:t xml:space="preserve"> are used they shall be plastic bags hermetically sealed such that the bags are capable of being maintained in an inverted position with the closed end facing downward during a period of 5 minutes without leakage. </w:t>
            </w:r>
            <w:r w:rsidRPr="0012167E">
              <w:rPr>
                <w:color w:val="000000"/>
                <w:lang w:val="en-CA"/>
              </w:rPr>
              <w:t>T</w:t>
            </w:r>
            <w:r w:rsidRPr="0012167E">
              <w:rPr>
                <w:color w:val="000000"/>
                <w:lang w:val="en"/>
              </w:rPr>
              <w:t>he plastic film from which the bags are made ​​shall also have an impact resistance of at least 165g determined by ISO 7765-1988 " Plastics film and sheeting - Determination of impact resistance by the free-falling dart method - Part 1: " Staircase methods " and have a tear resistance of at least 480g in both parallel and perpendicular planes with respect to the length of the bag determined by ISO 6383-2 : 1983 " Plastics - film and sheeting - determination of tear resistance - Part 2: Elmendorf method ". The gross mass of a sealed plastic bag used as a primary packaging must be equal to or less than 10kg.</w:t>
            </w:r>
          </w:p>
          <w:p w:rsidR="00FC6CF3" w:rsidRPr="0012167E" w:rsidRDefault="00FC6CF3" w:rsidP="00E75F15">
            <w:pPr>
              <w:spacing w:before="60" w:after="60" w:line="240" w:lineRule="auto"/>
              <w:ind w:left="230"/>
              <w:rPr>
                <w:color w:val="000000"/>
                <w:lang w:val="en-CA"/>
              </w:rPr>
            </w:pPr>
          </w:p>
          <w:p w:rsidR="00FC6CF3" w:rsidRPr="00FC6CF3" w:rsidRDefault="00FC6CF3" w:rsidP="00FC6CF3">
            <w:pPr>
              <w:numPr>
                <w:ilvl w:val="0"/>
                <w:numId w:val="39"/>
              </w:numPr>
              <w:spacing w:before="120" w:after="120" w:line="240" w:lineRule="auto"/>
              <w:ind w:left="232" w:hanging="232"/>
              <w:rPr>
                <w:color w:val="000000"/>
                <w:lang w:val="en-CA"/>
              </w:rPr>
            </w:pPr>
            <w:r w:rsidRPr="0012167E">
              <w:rPr>
                <w:color w:val="000000"/>
                <w:lang w:val="en-CA"/>
              </w:rPr>
              <w:t xml:space="preserve">If the presence of residual liquid in the primary packaging cannot be excluded, absorbent material in sufficient quantity to absorb all the liquid that may be present shall be inserted in the outer packaging. </w:t>
            </w:r>
          </w:p>
        </w:tc>
      </w:tr>
      <w:tr w:rsidR="00FC6CF3" w:rsidRPr="0012167E" w:rsidTr="00E75F15">
        <w:trPr>
          <w:trHeight w:val="244"/>
        </w:trPr>
        <w:tc>
          <w:tcPr>
            <w:tcW w:w="9641" w:type="dxa"/>
            <w:gridSpan w:val="3"/>
            <w:tcBorders>
              <w:top w:val="single" w:sz="4" w:space="0" w:color="000000"/>
              <w:bottom w:val="nil"/>
            </w:tcBorders>
          </w:tcPr>
          <w:p w:rsidR="00FC6CF3" w:rsidRPr="0012167E" w:rsidRDefault="00FC6CF3" w:rsidP="00E75F15">
            <w:pPr>
              <w:spacing w:before="60" w:after="60" w:line="240" w:lineRule="auto"/>
              <w:rPr>
                <w:color w:val="000000"/>
              </w:rPr>
            </w:pPr>
            <w:r w:rsidRPr="0012167E">
              <w:rPr>
                <w:b/>
                <w:color w:val="000000"/>
              </w:rPr>
              <w:t>Additional requirement</w:t>
            </w:r>
            <w:r w:rsidRPr="0012167E">
              <w:rPr>
                <w:color w:val="000000"/>
              </w:rPr>
              <w:t>:</w:t>
            </w:r>
          </w:p>
        </w:tc>
      </w:tr>
      <w:tr w:rsidR="00FC6CF3" w:rsidRPr="008207B6" w:rsidTr="00E75F15">
        <w:trPr>
          <w:trHeight w:val="360"/>
        </w:trPr>
        <w:tc>
          <w:tcPr>
            <w:tcW w:w="9641" w:type="dxa"/>
            <w:gridSpan w:val="3"/>
            <w:tcBorders>
              <w:top w:val="nil"/>
            </w:tcBorders>
            <w:vAlign w:val="center"/>
          </w:tcPr>
          <w:p w:rsidR="00FC6CF3" w:rsidRPr="0012167E" w:rsidRDefault="00FC6CF3" w:rsidP="00E75F15">
            <w:pPr>
              <w:spacing w:before="60" w:after="60" w:line="240" w:lineRule="auto"/>
              <w:rPr>
                <w:color w:val="000000"/>
                <w:lang w:val="en-CA"/>
              </w:rPr>
            </w:pPr>
            <w:r w:rsidRPr="0012167E">
              <w:rPr>
                <w:color w:val="000000"/>
                <w:lang w:val="en-CA"/>
              </w:rPr>
              <w:t xml:space="preserve">1. The specific implementation of this Packing Instruction shall be approved by the Competent Authority </w:t>
            </w:r>
          </w:p>
          <w:p w:rsidR="00FC6CF3" w:rsidRPr="0012167E" w:rsidRDefault="00FC6CF3" w:rsidP="00E75F15">
            <w:pPr>
              <w:spacing w:before="60" w:after="60" w:line="240" w:lineRule="auto"/>
              <w:rPr>
                <w:color w:val="000000"/>
                <w:lang w:val="en-CA"/>
              </w:rPr>
            </w:pPr>
            <w:r w:rsidRPr="0012167E">
              <w:rPr>
                <w:color w:val="000000"/>
                <w:lang w:val="en-CA"/>
              </w:rPr>
              <w:t xml:space="preserve">2. The exterior surface of the primary and secondary </w:t>
            </w:r>
            <w:proofErr w:type="spellStart"/>
            <w:r w:rsidRPr="0012167E">
              <w:rPr>
                <w:color w:val="000000"/>
                <w:lang w:val="en-CA"/>
              </w:rPr>
              <w:t>packagings</w:t>
            </w:r>
            <w:proofErr w:type="spellEnd"/>
            <w:r w:rsidRPr="0012167E">
              <w:rPr>
                <w:color w:val="000000"/>
                <w:lang w:val="en-CA"/>
              </w:rPr>
              <w:t xml:space="preserve"> shall be disinfected before being loaded into the outer packaging respectively. The outer </w:t>
            </w:r>
            <w:proofErr w:type="spellStart"/>
            <w:r w:rsidRPr="0012167E">
              <w:rPr>
                <w:color w:val="000000"/>
                <w:lang w:val="en-CA"/>
              </w:rPr>
              <w:t>packagings</w:t>
            </w:r>
            <w:proofErr w:type="spellEnd"/>
            <w:r w:rsidRPr="0012167E">
              <w:rPr>
                <w:color w:val="000000"/>
                <w:lang w:val="en-CA"/>
              </w:rPr>
              <w:t xml:space="preserve"> shall be disinfected prior to being reused. The disinfection shall be done in accordance with the recommendations of the Competent Public Health Authority. </w:t>
            </w:r>
          </w:p>
          <w:p w:rsidR="00FC6CF3" w:rsidRPr="008207B6" w:rsidRDefault="00FC6CF3" w:rsidP="00E75F15">
            <w:pPr>
              <w:spacing w:before="60" w:after="60" w:line="240" w:lineRule="auto"/>
              <w:rPr>
                <w:b/>
                <w:color w:val="000000"/>
                <w:lang w:val="en-CA"/>
              </w:rPr>
            </w:pPr>
            <w:r w:rsidRPr="0012167E">
              <w:rPr>
                <w:color w:val="000000"/>
                <w:lang w:val="en-CA"/>
              </w:rPr>
              <w:t>3. Before being contained in the primary packaging, sharp objects such as broken glass and needles shall be contained in a packaging resistant to puncture and able to retain liquids under the performance test conditions in Chapter 6.1.</w:t>
            </w:r>
          </w:p>
        </w:tc>
      </w:tr>
    </w:tbl>
    <w:p w:rsidR="002370BB" w:rsidRPr="00FC6CF3" w:rsidRDefault="00FC6CF3" w:rsidP="00FC6CF3">
      <w:pPr>
        <w:pStyle w:val="SingleTxtG"/>
        <w:spacing w:before="240" w:after="0"/>
        <w:jc w:val="center"/>
        <w:rPr>
          <w:u w:val="single"/>
        </w:rPr>
      </w:pPr>
      <w:r>
        <w:rPr>
          <w:u w:val="single"/>
        </w:rPr>
        <w:tab/>
      </w:r>
      <w:r>
        <w:rPr>
          <w:u w:val="single"/>
        </w:rPr>
        <w:tab/>
      </w:r>
      <w:r>
        <w:rPr>
          <w:u w:val="single"/>
        </w:rPr>
        <w:tab/>
      </w:r>
    </w:p>
    <w:p w:rsidR="002370BB" w:rsidRPr="00CF4BF2" w:rsidRDefault="002370BB" w:rsidP="002370BB">
      <w:pPr>
        <w:pStyle w:val="SingleTxtG"/>
      </w:pPr>
    </w:p>
    <w:sectPr w:rsidR="002370BB" w:rsidRPr="00CF4BF2" w:rsidSect="0005570C">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C15" w:rsidRDefault="00C41C15"/>
  </w:endnote>
  <w:endnote w:type="continuationSeparator" w:id="0">
    <w:p w:rsidR="00C41C15" w:rsidRDefault="00C41C15"/>
  </w:endnote>
  <w:endnote w:type="continuationNotice" w:id="1">
    <w:p w:rsidR="00C41C15" w:rsidRDefault="00C41C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796B95" w:rsidRDefault="0049223B" w:rsidP="00796B95">
    <w:pPr>
      <w:pStyle w:val="Footer"/>
      <w:rPr>
        <w:b/>
        <w:sz w:val="18"/>
      </w:rPr>
    </w:pPr>
    <w:r w:rsidRPr="002264E0">
      <w:rPr>
        <w:b/>
        <w:sz w:val="18"/>
      </w:rPr>
      <w:fldChar w:fldCharType="begin"/>
    </w:r>
    <w:r w:rsidR="004C6E3D" w:rsidRPr="002264E0">
      <w:rPr>
        <w:b/>
        <w:sz w:val="18"/>
      </w:rPr>
      <w:instrText xml:space="preserve"> PAGE   \* MERGEFORMAT </w:instrText>
    </w:r>
    <w:r w:rsidRPr="002264E0">
      <w:rPr>
        <w:b/>
        <w:sz w:val="18"/>
      </w:rPr>
      <w:fldChar w:fldCharType="separate"/>
    </w:r>
    <w:r w:rsidR="0029620A">
      <w:rPr>
        <w:b/>
        <w:noProof/>
        <w:sz w:val="18"/>
      </w:rPr>
      <w:t>4</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05570C" w:rsidRDefault="004C6E3D" w:rsidP="0005570C">
    <w:pPr>
      <w:pStyle w:val="Footer"/>
      <w:tabs>
        <w:tab w:val="right" w:pos="9598"/>
      </w:tabs>
      <w:rPr>
        <w:b/>
        <w:sz w:val="18"/>
      </w:rPr>
    </w:pPr>
    <w:r>
      <w:tab/>
    </w:r>
    <w:r w:rsidR="0049223B" w:rsidRPr="0005570C">
      <w:rPr>
        <w:b/>
        <w:sz w:val="18"/>
      </w:rPr>
      <w:fldChar w:fldCharType="begin"/>
    </w:r>
    <w:r w:rsidRPr="0005570C">
      <w:rPr>
        <w:b/>
        <w:sz w:val="18"/>
      </w:rPr>
      <w:instrText xml:space="preserve"> PAGE  \* MERGEFORMAT </w:instrText>
    </w:r>
    <w:r w:rsidR="0049223B" w:rsidRPr="0005570C">
      <w:rPr>
        <w:b/>
        <w:sz w:val="18"/>
      </w:rPr>
      <w:fldChar w:fldCharType="separate"/>
    </w:r>
    <w:r w:rsidR="0029620A">
      <w:rPr>
        <w:b/>
        <w:noProof/>
        <w:sz w:val="18"/>
      </w:rPr>
      <w:t>3</w:t>
    </w:r>
    <w:r w:rsidR="0049223B" w:rsidRPr="0005570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C15" w:rsidRPr="000B175B" w:rsidRDefault="00C41C15" w:rsidP="000B175B">
      <w:pPr>
        <w:tabs>
          <w:tab w:val="right" w:pos="2155"/>
        </w:tabs>
        <w:spacing w:after="80"/>
        <w:ind w:left="680"/>
        <w:rPr>
          <w:u w:val="single"/>
        </w:rPr>
      </w:pPr>
      <w:r>
        <w:rPr>
          <w:u w:val="single"/>
        </w:rPr>
        <w:tab/>
      </w:r>
    </w:p>
  </w:footnote>
  <w:footnote w:type="continuationSeparator" w:id="0">
    <w:p w:rsidR="00C41C15" w:rsidRPr="00FC68B7" w:rsidRDefault="00C41C15" w:rsidP="00FC68B7">
      <w:pPr>
        <w:tabs>
          <w:tab w:val="left" w:pos="2155"/>
        </w:tabs>
        <w:spacing w:after="80"/>
        <w:ind w:left="680"/>
        <w:rPr>
          <w:u w:val="single"/>
        </w:rPr>
      </w:pPr>
      <w:r>
        <w:rPr>
          <w:u w:val="single"/>
        </w:rPr>
        <w:tab/>
      </w:r>
    </w:p>
  </w:footnote>
  <w:footnote w:type="continuationNotice" w:id="1">
    <w:p w:rsidR="00C41C15" w:rsidRDefault="00C41C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F54DDA" w:rsidRDefault="004C6E3D" w:rsidP="00F54DDA">
    <w:pPr>
      <w:pStyle w:val="Header"/>
    </w:pPr>
    <w:r w:rsidRPr="00F54DDA">
      <w:rPr>
        <w:noProof/>
      </w:rPr>
      <w:t>UN/SCETDG/4</w:t>
    </w:r>
    <w:r w:rsidR="00BB3979">
      <w:rPr>
        <w:noProof/>
      </w:rPr>
      <w:t>9</w:t>
    </w:r>
    <w:r w:rsidR="006C129C">
      <w:rPr>
        <w:noProof/>
      </w:rPr>
      <w:t>/INF.</w:t>
    </w:r>
    <w:r w:rsidR="00F03C2A">
      <w:rPr>
        <w:noProof/>
      </w:rPr>
      <w:t>10</w:t>
    </w:r>
    <w:r w:rsidR="0029620A">
      <w:rPr>
        <w:noProof/>
      </w:rPr>
      <w:t>(E)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E3D" w:rsidRPr="0005570C" w:rsidRDefault="004C6E3D" w:rsidP="0005570C">
    <w:pPr>
      <w:pStyle w:val="Header"/>
      <w:jc w:val="right"/>
    </w:pPr>
    <w:r w:rsidRPr="00F54DDA">
      <w:t>UN/SCETDG/4</w:t>
    </w:r>
    <w:r w:rsidR="00EC2543">
      <w:t>9</w:t>
    </w:r>
    <w:r w:rsidRPr="00F54DDA">
      <w:t>/</w:t>
    </w:r>
    <w:proofErr w:type="gramStart"/>
    <w:r w:rsidRPr="00F54DDA">
      <w:t>INF.</w:t>
    </w:r>
    <w:r w:rsidR="00F03C2A">
      <w:t>10</w:t>
    </w:r>
    <w:r w:rsidR="0029620A">
      <w:t>(</w:t>
    </w:r>
    <w:proofErr w:type="gramEnd"/>
    <w:r w:rsidR="0029620A">
      <w: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1444B84"/>
    <w:multiLevelType w:val="hybridMultilevel"/>
    <w:tmpl w:val="81DC493A"/>
    <w:lvl w:ilvl="0" w:tplc="CE96D52A">
      <w:start w:val="1"/>
      <w:numFmt w:val="decimal"/>
      <w:pStyle w:val="UNPara"/>
      <w:lvlText w:val="%1."/>
      <w:lvlJc w:val="left"/>
      <w:pPr>
        <w:ind w:left="1494" w:hanging="360"/>
      </w:pPr>
    </w:lvl>
    <w:lvl w:ilvl="1" w:tplc="10090019" w:tentative="1">
      <w:start w:val="1"/>
      <w:numFmt w:val="lowerLetter"/>
      <w:lvlText w:val="%2."/>
      <w:lvlJc w:val="left"/>
      <w:pPr>
        <w:ind w:left="2214" w:hanging="360"/>
      </w:pPr>
    </w:lvl>
    <w:lvl w:ilvl="2" w:tplc="1009001B" w:tentative="1">
      <w:start w:val="1"/>
      <w:numFmt w:val="lowerRoman"/>
      <w:lvlText w:val="%3."/>
      <w:lvlJc w:val="right"/>
      <w:pPr>
        <w:ind w:left="2934" w:hanging="180"/>
      </w:pPr>
    </w:lvl>
    <w:lvl w:ilvl="3" w:tplc="1009000F" w:tentative="1">
      <w:start w:val="1"/>
      <w:numFmt w:val="decimal"/>
      <w:lvlText w:val="%4."/>
      <w:lvlJc w:val="left"/>
      <w:pPr>
        <w:ind w:left="3654" w:hanging="360"/>
      </w:pPr>
    </w:lvl>
    <w:lvl w:ilvl="4" w:tplc="10090019" w:tentative="1">
      <w:start w:val="1"/>
      <w:numFmt w:val="lowerLetter"/>
      <w:lvlText w:val="%5."/>
      <w:lvlJc w:val="left"/>
      <w:pPr>
        <w:ind w:left="4374" w:hanging="360"/>
      </w:pPr>
    </w:lvl>
    <w:lvl w:ilvl="5" w:tplc="1009001B" w:tentative="1">
      <w:start w:val="1"/>
      <w:numFmt w:val="lowerRoman"/>
      <w:lvlText w:val="%6."/>
      <w:lvlJc w:val="right"/>
      <w:pPr>
        <w:ind w:left="5094" w:hanging="180"/>
      </w:pPr>
    </w:lvl>
    <w:lvl w:ilvl="6" w:tplc="1009000F" w:tentative="1">
      <w:start w:val="1"/>
      <w:numFmt w:val="decimal"/>
      <w:lvlText w:val="%7."/>
      <w:lvlJc w:val="left"/>
      <w:pPr>
        <w:ind w:left="5814" w:hanging="360"/>
      </w:pPr>
    </w:lvl>
    <w:lvl w:ilvl="7" w:tplc="10090019" w:tentative="1">
      <w:start w:val="1"/>
      <w:numFmt w:val="lowerLetter"/>
      <w:lvlText w:val="%8."/>
      <w:lvlJc w:val="left"/>
      <w:pPr>
        <w:ind w:left="6534" w:hanging="360"/>
      </w:pPr>
    </w:lvl>
    <w:lvl w:ilvl="8" w:tplc="1009001B" w:tentative="1">
      <w:start w:val="1"/>
      <w:numFmt w:val="lowerRoman"/>
      <w:lvlText w:val="%9."/>
      <w:lvlJc w:val="right"/>
      <w:pPr>
        <w:ind w:left="7254"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8642807"/>
    <w:multiLevelType w:val="hybridMultilevel"/>
    <w:tmpl w:val="36CCA5B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0BD81E01"/>
    <w:multiLevelType w:val="hybridMultilevel"/>
    <w:tmpl w:val="F62C76D6"/>
    <w:lvl w:ilvl="0" w:tplc="E0FA54E2">
      <w:start w:val="3"/>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15">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6">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9">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0">
    <w:nsid w:val="1A667145"/>
    <w:multiLevelType w:val="hybridMultilevel"/>
    <w:tmpl w:val="32FA10A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1">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1A97A4A"/>
    <w:multiLevelType w:val="hybridMultilevel"/>
    <w:tmpl w:val="5216A528"/>
    <w:lvl w:ilvl="0" w:tplc="97E6B682">
      <w:start w:val="3"/>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1BD0541"/>
    <w:multiLevelType w:val="hybridMultilevel"/>
    <w:tmpl w:val="C02854C2"/>
    <w:lvl w:ilvl="0" w:tplc="E0FA54E2">
      <w:start w:val="3"/>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24">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6">
    <w:nsid w:val="3C792C04"/>
    <w:multiLevelType w:val="hybridMultilevel"/>
    <w:tmpl w:val="F8AC8536"/>
    <w:lvl w:ilvl="0" w:tplc="BE58C102">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7">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9">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0">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31">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2">
    <w:nsid w:val="606A1E1D"/>
    <w:multiLevelType w:val="hybridMultilevel"/>
    <w:tmpl w:val="5098487A"/>
    <w:lvl w:ilvl="0" w:tplc="6AE06FD2">
      <w:start w:val="1"/>
      <w:numFmt w:val="decimal"/>
      <w:lvlText w:val="%1."/>
      <w:lvlJc w:val="left"/>
      <w:pPr>
        <w:ind w:left="1500" w:hanging="360"/>
      </w:pPr>
      <w:rPr>
        <w:rFonts w:hint="default"/>
      </w:rPr>
    </w:lvl>
    <w:lvl w:ilvl="1" w:tplc="04070019" w:tentative="1">
      <w:start w:val="1"/>
      <w:numFmt w:val="lowerLetter"/>
      <w:lvlText w:val="%2."/>
      <w:lvlJc w:val="left"/>
      <w:pPr>
        <w:ind w:left="2220" w:hanging="360"/>
      </w:pPr>
    </w:lvl>
    <w:lvl w:ilvl="2" w:tplc="0407001B" w:tentative="1">
      <w:start w:val="1"/>
      <w:numFmt w:val="lowerRoman"/>
      <w:lvlText w:val="%3."/>
      <w:lvlJc w:val="right"/>
      <w:pPr>
        <w:ind w:left="2940" w:hanging="180"/>
      </w:pPr>
    </w:lvl>
    <w:lvl w:ilvl="3" w:tplc="0407000F" w:tentative="1">
      <w:start w:val="1"/>
      <w:numFmt w:val="decimal"/>
      <w:lvlText w:val="%4."/>
      <w:lvlJc w:val="left"/>
      <w:pPr>
        <w:ind w:left="3660" w:hanging="360"/>
      </w:pPr>
    </w:lvl>
    <w:lvl w:ilvl="4" w:tplc="04070019" w:tentative="1">
      <w:start w:val="1"/>
      <w:numFmt w:val="lowerLetter"/>
      <w:lvlText w:val="%5."/>
      <w:lvlJc w:val="left"/>
      <w:pPr>
        <w:ind w:left="4380" w:hanging="360"/>
      </w:pPr>
    </w:lvl>
    <w:lvl w:ilvl="5" w:tplc="0407001B" w:tentative="1">
      <w:start w:val="1"/>
      <w:numFmt w:val="lowerRoman"/>
      <w:lvlText w:val="%6."/>
      <w:lvlJc w:val="right"/>
      <w:pPr>
        <w:ind w:left="5100" w:hanging="180"/>
      </w:pPr>
    </w:lvl>
    <w:lvl w:ilvl="6" w:tplc="0407000F" w:tentative="1">
      <w:start w:val="1"/>
      <w:numFmt w:val="decimal"/>
      <w:lvlText w:val="%7."/>
      <w:lvlJc w:val="left"/>
      <w:pPr>
        <w:ind w:left="5820" w:hanging="360"/>
      </w:pPr>
    </w:lvl>
    <w:lvl w:ilvl="7" w:tplc="04070019" w:tentative="1">
      <w:start w:val="1"/>
      <w:numFmt w:val="lowerLetter"/>
      <w:lvlText w:val="%8."/>
      <w:lvlJc w:val="left"/>
      <w:pPr>
        <w:ind w:left="6540" w:hanging="360"/>
      </w:pPr>
    </w:lvl>
    <w:lvl w:ilvl="8" w:tplc="0407001B" w:tentative="1">
      <w:start w:val="1"/>
      <w:numFmt w:val="lowerRoman"/>
      <w:lvlText w:val="%9."/>
      <w:lvlJc w:val="right"/>
      <w:pPr>
        <w:ind w:left="7260" w:hanging="180"/>
      </w:pPr>
    </w:lvl>
  </w:abstractNum>
  <w:abstractNum w:abstractNumId="33">
    <w:nsid w:val="631E3EA8"/>
    <w:multiLevelType w:val="hybridMultilevel"/>
    <w:tmpl w:val="DEF0180A"/>
    <w:lvl w:ilvl="0" w:tplc="8688A2D0">
      <w:start w:val="1"/>
      <w:numFmt w:val="decimal"/>
      <w:lvlText w:val="%1."/>
      <w:lvlJc w:val="left"/>
      <w:pPr>
        <w:ind w:left="808" w:hanging="360"/>
      </w:pPr>
      <w:rPr>
        <w:b w:val="0"/>
      </w:rPr>
    </w:lvl>
    <w:lvl w:ilvl="1" w:tplc="10090019" w:tentative="1">
      <w:start w:val="1"/>
      <w:numFmt w:val="lowerLetter"/>
      <w:lvlText w:val="%2."/>
      <w:lvlJc w:val="left"/>
      <w:pPr>
        <w:ind w:left="1528" w:hanging="360"/>
      </w:pPr>
    </w:lvl>
    <w:lvl w:ilvl="2" w:tplc="1009001B" w:tentative="1">
      <w:start w:val="1"/>
      <w:numFmt w:val="lowerRoman"/>
      <w:lvlText w:val="%3."/>
      <w:lvlJc w:val="right"/>
      <w:pPr>
        <w:ind w:left="2248" w:hanging="180"/>
      </w:pPr>
    </w:lvl>
    <w:lvl w:ilvl="3" w:tplc="1009000F" w:tentative="1">
      <w:start w:val="1"/>
      <w:numFmt w:val="decimal"/>
      <w:lvlText w:val="%4."/>
      <w:lvlJc w:val="left"/>
      <w:pPr>
        <w:ind w:left="2968" w:hanging="360"/>
      </w:pPr>
    </w:lvl>
    <w:lvl w:ilvl="4" w:tplc="10090019" w:tentative="1">
      <w:start w:val="1"/>
      <w:numFmt w:val="lowerLetter"/>
      <w:lvlText w:val="%5."/>
      <w:lvlJc w:val="left"/>
      <w:pPr>
        <w:ind w:left="3688" w:hanging="360"/>
      </w:pPr>
    </w:lvl>
    <w:lvl w:ilvl="5" w:tplc="1009001B" w:tentative="1">
      <w:start w:val="1"/>
      <w:numFmt w:val="lowerRoman"/>
      <w:lvlText w:val="%6."/>
      <w:lvlJc w:val="right"/>
      <w:pPr>
        <w:ind w:left="4408" w:hanging="180"/>
      </w:pPr>
    </w:lvl>
    <w:lvl w:ilvl="6" w:tplc="1009000F" w:tentative="1">
      <w:start w:val="1"/>
      <w:numFmt w:val="decimal"/>
      <w:lvlText w:val="%7."/>
      <w:lvlJc w:val="left"/>
      <w:pPr>
        <w:ind w:left="5128" w:hanging="360"/>
      </w:pPr>
    </w:lvl>
    <w:lvl w:ilvl="7" w:tplc="10090019" w:tentative="1">
      <w:start w:val="1"/>
      <w:numFmt w:val="lowerLetter"/>
      <w:lvlText w:val="%8."/>
      <w:lvlJc w:val="left"/>
      <w:pPr>
        <w:ind w:left="5848" w:hanging="360"/>
      </w:pPr>
    </w:lvl>
    <w:lvl w:ilvl="8" w:tplc="1009001B" w:tentative="1">
      <w:start w:val="1"/>
      <w:numFmt w:val="lowerRoman"/>
      <w:lvlText w:val="%9."/>
      <w:lvlJc w:val="right"/>
      <w:pPr>
        <w:ind w:left="6568" w:hanging="180"/>
      </w:pPr>
    </w:lvl>
  </w:abstractNum>
  <w:abstractNum w:abstractNumId="34">
    <w:nsid w:val="71FB0B5C"/>
    <w:multiLevelType w:val="hybridMultilevel"/>
    <w:tmpl w:val="36CCA5B4"/>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6">
    <w:nsid w:val="758D78F2"/>
    <w:multiLevelType w:val="hybridMultilevel"/>
    <w:tmpl w:val="0FCEB126"/>
    <w:lvl w:ilvl="0" w:tplc="816210BC">
      <w:start w:val="1"/>
      <w:numFmt w:val="decimal"/>
      <w:lvlText w:val="%1."/>
      <w:lvlJc w:val="left"/>
      <w:pPr>
        <w:ind w:left="0" w:hanging="360"/>
      </w:pPr>
      <w:rPr>
        <w:b w:val="0"/>
        <w:sz w:val="20"/>
        <w:szCs w:val="2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37">
    <w:nsid w:val="778336AF"/>
    <w:multiLevelType w:val="hybridMultilevel"/>
    <w:tmpl w:val="7F3493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7D2A1773"/>
    <w:multiLevelType w:val="hybridMultilevel"/>
    <w:tmpl w:val="A518F4BE"/>
    <w:lvl w:ilvl="0" w:tplc="DDAA6D4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9">
    <w:nsid w:val="7FBD374D"/>
    <w:multiLevelType w:val="hybridMultilevel"/>
    <w:tmpl w:val="7F3493F2"/>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1"/>
  </w:num>
  <w:num w:numId="13">
    <w:abstractNumId w:val="10"/>
  </w:num>
  <w:num w:numId="14">
    <w:abstractNumId w:val="31"/>
  </w:num>
  <w:num w:numId="15">
    <w:abstractNumId w:val="17"/>
  </w:num>
  <w:num w:numId="16">
    <w:abstractNumId w:val="12"/>
  </w:num>
  <w:num w:numId="17">
    <w:abstractNumId w:val="35"/>
  </w:num>
  <w:num w:numId="18">
    <w:abstractNumId w:val="25"/>
  </w:num>
  <w:num w:numId="19">
    <w:abstractNumId w:val="15"/>
  </w:num>
  <w:num w:numId="20">
    <w:abstractNumId w:val="28"/>
  </w:num>
  <w:num w:numId="21">
    <w:abstractNumId w:val="19"/>
  </w:num>
  <w:num w:numId="22">
    <w:abstractNumId w:val="16"/>
  </w:num>
  <w:num w:numId="23">
    <w:abstractNumId w:val="18"/>
  </w:num>
  <w:num w:numId="24">
    <w:abstractNumId w:val="27"/>
  </w:num>
  <w:num w:numId="25">
    <w:abstractNumId w:val="29"/>
  </w:num>
  <w:num w:numId="26">
    <w:abstractNumId w:val="30"/>
  </w:num>
  <w:num w:numId="27">
    <w:abstractNumId w:val="38"/>
  </w:num>
  <w:num w:numId="28">
    <w:abstractNumId w:val="26"/>
  </w:num>
  <w:num w:numId="29">
    <w:abstractNumId w:val="22"/>
  </w:num>
  <w:num w:numId="30">
    <w:abstractNumId w:val="36"/>
  </w:num>
  <w:num w:numId="31">
    <w:abstractNumId w:val="20"/>
  </w:num>
  <w:num w:numId="32">
    <w:abstractNumId w:val="32"/>
  </w:num>
  <w:num w:numId="33">
    <w:abstractNumId w:val="23"/>
  </w:num>
  <w:num w:numId="34">
    <w:abstractNumId w:val="14"/>
  </w:num>
  <w:num w:numId="35">
    <w:abstractNumId w:val="11"/>
  </w:num>
  <w:num w:numId="36">
    <w:abstractNumId w:val="13"/>
  </w:num>
  <w:num w:numId="37">
    <w:abstractNumId w:val="39"/>
  </w:num>
  <w:num w:numId="38">
    <w:abstractNumId w:val="33"/>
  </w:num>
  <w:num w:numId="39">
    <w:abstractNumId w:val="34"/>
  </w:num>
  <w:num w:numId="40">
    <w:abstractNumId w:val="3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CA"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42B2"/>
    <w:rsid w:val="00004B0B"/>
    <w:rsid w:val="00006600"/>
    <w:rsid w:val="000105B7"/>
    <w:rsid w:val="00010DB3"/>
    <w:rsid w:val="00015A1E"/>
    <w:rsid w:val="00027F2A"/>
    <w:rsid w:val="0003260B"/>
    <w:rsid w:val="00044167"/>
    <w:rsid w:val="000458D9"/>
    <w:rsid w:val="0005011F"/>
    <w:rsid w:val="00050F6B"/>
    <w:rsid w:val="0005111B"/>
    <w:rsid w:val="0005570C"/>
    <w:rsid w:val="00064F24"/>
    <w:rsid w:val="00067C1A"/>
    <w:rsid w:val="000719CE"/>
    <w:rsid w:val="00071BC5"/>
    <w:rsid w:val="000726F2"/>
    <w:rsid w:val="00072C8C"/>
    <w:rsid w:val="000732CC"/>
    <w:rsid w:val="00073E97"/>
    <w:rsid w:val="0007718E"/>
    <w:rsid w:val="000814A8"/>
    <w:rsid w:val="000869B4"/>
    <w:rsid w:val="00086BA4"/>
    <w:rsid w:val="00091419"/>
    <w:rsid w:val="00092DE4"/>
    <w:rsid w:val="000931C0"/>
    <w:rsid w:val="000950E9"/>
    <w:rsid w:val="00097A34"/>
    <w:rsid w:val="000A0405"/>
    <w:rsid w:val="000A2E07"/>
    <w:rsid w:val="000A3ADF"/>
    <w:rsid w:val="000A4318"/>
    <w:rsid w:val="000A607C"/>
    <w:rsid w:val="000A71A2"/>
    <w:rsid w:val="000B175B"/>
    <w:rsid w:val="000B2276"/>
    <w:rsid w:val="000B265A"/>
    <w:rsid w:val="000B3A0F"/>
    <w:rsid w:val="000B3B18"/>
    <w:rsid w:val="000B4BFA"/>
    <w:rsid w:val="000B4E5A"/>
    <w:rsid w:val="000B5ECB"/>
    <w:rsid w:val="000B7325"/>
    <w:rsid w:val="000D43C8"/>
    <w:rsid w:val="000E0415"/>
    <w:rsid w:val="000E27B4"/>
    <w:rsid w:val="000E572A"/>
    <w:rsid w:val="000F0909"/>
    <w:rsid w:val="000F143A"/>
    <w:rsid w:val="000F1D1F"/>
    <w:rsid w:val="000F5FF7"/>
    <w:rsid w:val="00103C0E"/>
    <w:rsid w:val="00114E72"/>
    <w:rsid w:val="00117787"/>
    <w:rsid w:val="00120F5D"/>
    <w:rsid w:val="00125758"/>
    <w:rsid w:val="00125775"/>
    <w:rsid w:val="001266BA"/>
    <w:rsid w:val="00131D42"/>
    <w:rsid w:val="0014496C"/>
    <w:rsid w:val="00144FC4"/>
    <w:rsid w:val="0015653A"/>
    <w:rsid w:val="0016063F"/>
    <w:rsid w:val="00160BC1"/>
    <w:rsid w:val="001633FB"/>
    <w:rsid w:val="00166B07"/>
    <w:rsid w:val="00177434"/>
    <w:rsid w:val="00187869"/>
    <w:rsid w:val="00190361"/>
    <w:rsid w:val="0019061B"/>
    <w:rsid w:val="00191BE2"/>
    <w:rsid w:val="001967AB"/>
    <w:rsid w:val="001A6691"/>
    <w:rsid w:val="001B0DDE"/>
    <w:rsid w:val="001B10FC"/>
    <w:rsid w:val="001B4B04"/>
    <w:rsid w:val="001B574E"/>
    <w:rsid w:val="001C3AB7"/>
    <w:rsid w:val="001C6663"/>
    <w:rsid w:val="001C7895"/>
    <w:rsid w:val="001D0C12"/>
    <w:rsid w:val="001D26DF"/>
    <w:rsid w:val="001D2FDC"/>
    <w:rsid w:val="001D2FE8"/>
    <w:rsid w:val="001E3023"/>
    <w:rsid w:val="001F1227"/>
    <w:rsid w:val="001F57B4"/>
    <w:rsid w:val="00211CD6"/>
    <w:rsid w:val="00211E0B"/>
    <w:rsid w:val="00225D08"/>
    <w:rsid w:val="002264E0"/>
    <w:rsid w:val="002309A7"/>
    <w:rsid w:val="00233CFA"/>
    <w:rsid w:val="002350D2"/>
    <w:rsid w:val="002370BB"/>
    <w:rsid w:val="002370D0"/>
    <w:rsid w:val="00237785"/>
    <w:rsid w:val="00241466"/>
    <w:rsid w:val="00247A0C"/>
    <w:rsid w:val="00266C11"/>
    <w:rsid w:val="002722E5"/>
    <w:rsid w:val="002725CA"/>
    <w:rsid w:val="00274700"/>
    <w:rsid w:val="00280D2B"/>
    <w:rsid w:val="00280EB7"/>
    <w:rsid w:val="002817F4"/>
    <w:rsid w:val="00281BE2"/>
    <w:rsid w:val="0029620A"/>
    <w:rsid w:val="002A2560"/>
    <w:rsid w:val="002A7532"/>
    <w:rsid w:val="002B082F"/>
    <w:rsid w:val="002B1CDA"/>
    <w:rsid w:val="002B2EA7"/>
    <w:rsid w:val="002B521D"/>
    <w:rsid w:val="002B5778"/>
    <w:rsid w:val="002B79CF"/>
    <w:rsid w:val="002B7D6F"/>
    <w:rsid w:val="002C54A4"/>
    <w:rsid w:val="002C7649"/>
    <w:rsid w:val="002D7530"/>
    <w:rsid w:val="002E040D"/>
    <w:rsid w:val="002E4E12"/>
    <w:rsid w:val="002E7C35"/>
    <w:rsid w:val="002F0918"/>
    <w:rsid w:val="002F1234"/>
    <w:rsid w:val="002F1906"/>
    <w:rsid w:val="00302963"/>
    <w:rsid w:val="00303816"/>
    <w:rsid w:val="003107FA"/>
    <w:rsid w:val="00310B32"/>
    <w:rsid w:val="00316C13"/>
    <w:rsid w:val="00320A76"/>
    <w:rsid w:val="003229D8"/>
    <w:rsid w:val="00322F52"/>
    <w:rsid w:val="00323BE7"/>
    <w:rsid w:val="003262BE"/>
    <w:rsid w:val="003311AD"/>
    <w:rsid w:val="003323B3"/>
    <w:rsid w:val="00333732"/>
    <w:rsid w:val="0034522A"/>
    <w:rsid w:val="00347184"/>
    <w:rsid w:val="003540DE"/>
    <w:rsid w:val="003570B2"/>
    <w:rsid w:val="003611C0"/>
    <w:rsid w:val="00372BDC"/>
    <w:rsid w:val="00373815"/>
    <w:rsid w:val="00374763"/>
    <w:rsid w:val="00381262"/>
    <w:rsid w:val="00390C04"/>
    <w:rsid w:val="0039277A"/>
    <w:rsid w:val="00396C00"/>
    <w:rsid w:val="003972E0"/>
    <w:rsid w:val="003A358E"/>
    <w:rsid w:val="003B4359"/>
    <w:rsid w:val="003B47CC"/>
    <w:rsid w:val="003C2CC4"/>
    <w:rsid w:val="003C6BA6"/>
    <w:rsid w:val="003D4B23"/>
    <w:rsid w:val="003E1C5A"/>
    <w:rsid w:val="003E5413"/>
    <w:rsid w:val="003F0697"/>
    <w:rsid w:val="003F3F40"/>
    <w:rsid w:val="003F40C8"/>
    <w:rsid w:val="0040291E"/>
    <w:rsid w:val="0040320D"/>
    <w:rsid w:val="00404FD4"/>
    <w:rsid w:val="0041189E"/>
    <w:rsid w:val="0041741B"/>
    <w:rsid w:val="004179D7"/>
    <w:rsid w:val="004325CB"/>
    <w:rsid w:val="00437F3F"/>
    <w:rsid w:val="0044017E"/>
    <w:rsid w:val="00442686"/>
    <w:rsid w:val="0044679E"/>
    <w:rsid w:val="00446C28"/>
    <w:rsid w:val="00446DE4"/>
    <w:rsid w:val="004479B5"/>
    <w:rsid w:val="00450B3A"/>
    <w:rsid w:val="00451CCB"/>
    <w:rsid w:val="004522E0"/>
    <w:rsid w:val="004618F7"/>
    <w:rsid w:val="004624AF"/>
    <w:rsid w:val="00464C2B"/>
    <w:rsid w:val="0047319B"/>
    <w:rsid w:val="004735FB"/>
    <w:rsid w:val="00475444"/>
    <w:rsid w:val="0049223B"/>
    <w:rsid w:val="0049309D"/>
    <w:rsid w:val="00494D24"/>
    <w:rsid w:val="004969ED"/>
    <w:rsid w:val="00497FF3"/>
    <w:rsid w:val="004A2BD1"/>
    <w:rsid w:val="004B163A"/>
    <w:rsid w:val="004B2C9D"/>
    <w:rsid w:val="004B49FD"/>
    <w:rsid w:val="004B6475"/>
    <w:rsid w:val="004C6E3D"/>
    <w:rsid w:val="004D51A9"/>
    <w:rsid w:val="004E1150"/>
    <w:rsid w:val="004E3C4B"/>
    <w:rsid w:val="004E4DCE"/>
    <w:rsid w:val="00500DCD"/>
    <w:rsid w:val="00512574"/>
    <w:rsid w:val="005149A9"/>
    <w:rsid w:val="00515763"/>
    <w:rsid w:val="0051609A"/>
    <w:rsid w:val="005206A2"/>
    <w:rsid w:val="005248FF"/>
    <w:rsid w:val="0052704D"/>
    <w:rsid w:val="00527910"/>
    <w:rsid w:val="00532A62"/>
    <w:rsid w:val="005335B1"/>
    <w:rsid w:val="0053786F"/>
    <w:rsid w:val="005414F5"/>
    <w:rsid w:val="005420F2"/>
    <w:rsid w:val="00543B03"/>
    <w:rsid w:val="00552C5F"/>
    <w:rsid w:val="005553A2"/>
    <w:rsid w:val="005557E8"/>
    <w:rsid w:val="005627FA"/>
    <w:rsid w:val="00566392"/>
    <w:rsid w:val="00566B77"/>
    <w:rsid w:val="005676D5"/>
    <w:rsid w:val="0057509F"/>
    <w:rsid w:val="00581B62"/>
    <w:rsid w:val="00581C11"/>
    <w:rsid w:val="00590144"/>
    <w:rsid w:val="00592C65"/>
    <w:rsid w:val="005A1FEB"/>
    <w:rsid w:val="005A37A2"/>
    <w:rsid w:val="005A77C6"/>
    <w:rsid w:val="005A78F9"/>
    <w:rsid w:val="005B2C26"/>
    <w:rsid w:val="005B3614"/>
    <w:rsid w:val="005B3DB3"/>
    <w:rsid w:val="005B6EC0"/>
    <w:rsid w:val="005B6FA9"/>
    <w:rsid w:val="005D1C0C"/>
    <w:rsid w:val="005D407C"/>
    <w:rsid w:val="005E29AE"/>
    <w:rsid w:val="005E6C20"/>
    <w:rsid w:val="00611FC4"/>
    <w:rsid w:val="0061401C"/>
    <w:rsid w:val="006176FB"/>
    <w:rsid w:val="0063330C"/>
    <w:rsid w:val="00633C10"/>
    <w:rsid w:val="0063419C"/>
    <w:rsid w:val="00634398"/>
    <w:rsid w:val="00640B26"/>
    <w:rsid w:val="00641876"/>
    <w:rsid w:val="00647621"/>
    <w:rsid w:val="00650267"/>
    <w:rsid w:val="00657AC6"/>
    <w:rsid w:val="00664F8E"/>
    <w:rsid w:val="00677B40"/>
    <w:rsid w:val="00682466"/>
    <w:rsid w:val="0068393D"/>
    <w:rsid w:val="006A0AE9"/>
    <w:rsid w:val="006A7392"/>
    <w:rsid w:val="006B3590"/>
    <w:rsid w:val="006B7406"/>
    <w:rsid w:val="006B79A2"/>
    <w:rsid w:val="006C0D34"/>
    <w:rsid w:val="006C129C"/>
    <w:rsid w:val="006C1C4A"/>
    <w:rsid w:val="006C51B3"/>
    <w:rsid w:val="006D1BA6"/>
    <w:rsid w:val="006D2DC3"/>
    <w:rsid w:val="006D7899"/>
    <w:rsid w:val="006D7D5F"/>
    <w:rsid w:val="006E564B"/>
    <w:rsid w:val="006E7B3F"/>
    <w:rsid w:val="00707A67"/>
    <w:rsid w:val="0071233A"/>
    <w:rsid w:val="00716D0F"/>
    <w:rsid w:val="00723B8F"/>
    <w:rsid w:val="00725764"/>
    <w:rsid w:val="0072632A"/>
    <w:rsid w:val="00732FC7"/>
    <w:rsid w:val="007405D2"/>
    <w:rsid w:val="007428A0"/>
    <w:rsid w:val="0075177E"/>
    <w:rsid w:val="00757A17"/>
    <w:rsid w:val="0076099B"/>
    <w:rsid w:val="0077383A"/>
    <w:rsid w:val="00790791"/>
    <w:rsid w:val="007909EA"/>
    <w:rsid w:val="007920A5"/>
    <w:rsid w:val="00795779"/>
    <w:rsid w:val="007965B5"/>
    <w:rsid w:val="00796B95"/>
    <w:rsid w:val="007B3D26"/>
    <w:rsid w:val="007B6BA5"/>
    <w:rsid w:val="007B6BE5"/>
    <w:rsid w:val="007C3390"/>
    <w:rsid w:val="007C3416"/>
    <w:rsid w:val="007C3658"/>
    <w:rsid w:val="007C455E"/>
    <w:rsid w:val="007C4F4B"/>
    <w:rsid w:val="007D3266"/>
    <w:rsid w:val="007E3F55"/>
    <w:rsid w:val="007F3C74"/>
    <w:rsid w:val="007F42B1"/>
    <w:rsid w:val="007F52A6"/>
    <w:rsid w:val="007F6611"/>
    <w:rsid w:val="00803636"/>
    <w:rsid w:val="008138E4"/>
    <w:rsid w:val="008175E9"/>
    <w:rsid w:val="00820DBE"/>
    <w:rsid w:val="008242D7"/>
    <w:rsid w:val="008274C8"/>
    <w:rsid w:val="00832905"/>
    <w:rsid w:val="00842FAF"/>
    <w:rsid w:val="00844A23"/>
    <w:rsid w:val="008553AE"/>
    <w:rsid w:val="008566E6"/>
    <w:rsid w:val="008616E6"/>
    <w:rsid w:val="0086798F"/>
    <w:rsid w:val="00871FD5"/>
    <w:rsid w:val="0087202A"/>
    <w:rsid w:val="008749E1"/>
    <w:rsid w:val="008900F3"/>
    <w:rsid w:val="00891033"/>
    <w:rsid w:val="0089467C"/>
    <w:rsid w:val="00894AA2"/>
    <w:rsid w:val="008979B1"/>
    <w:rsid w:val="008A2299"/>
    <w:rsid w:val="008A6B25"/>
    <w:rsid w:val="008A6C4F"/>
    <w:rsid w:val="008A7362"/>
    <w:rsid w:val="008B0C07"/>
    <w:rsid w:val="008B2E94"/>
    <w:rsid w:val="008C1535"/>
    <w:rsid w:val="008C7A1A"/>
    <w:rsid w:val="008D44E2"/>
    <w:rsid w:val="008E0E46"/>
    <w:rsid w:val="008E1D4C"/>
    <w:rsid w:val="008F36A7"/>
    <w:rsid w:val="008F42F2"/>
    <w:rsid w:val="00905AEA"/>
    <w:rsid w:val="00910229"/>
    <w:rsid w:val="00910E37"/>
    <w:rsid w:val="009145E5"/>
    <w:rsid w:val="00915E24"/>
    <w:rsid w:val="009174F9"/>
    <w:rsid w:val="009178F6"/>
    <w:rsid w:val="00920726"/>
    <w:rsid w:val="00924330"/>
    <w:rsid w:val="0093457E"/>
    <w:rsid w:val="00945A5D"/>
    <w:rsid w:val="0094761C"/>
    <w:rsid w:val="00953DD5"/>
    <w:rsid w:val="00963CBA"/>
    <w:rsid w:val="00965ACC"/>
    <w:rsid w:val="00970D90"/>
    <w:rsid w:val="0097150D"/>
    <w:rsid w:val="00971B0B"/>
    <w:rsid w:val="00972131"/>
    <w:rsid w:val="00977813"/>
    <w:rsid w:val="009863A7"/>
    <w:rsid w:val="00986BF1"/>
    <w:rsid w:val="0099124E"/>
    <w:rsid w:val="00991261"/>
    <w:rsid w:val="00994010"/>
    <w:rsid w:val="00994014"/>
    <w:rsid w:val="009A37C7"/>
    <w:rsid w:val="009B1829"/>
    <w:rsid w:val="009B2FB7"/>
    <w:rsid w:val="009B3CC1"/>
    <w:rsid w:val="009B6F46"/>
    <w:rsid w:val="009D7741"/>
    <w:rsid w:val="009E2874"/>
    <w:rsid w:val="009E35FF"/>
    <w:rsid w:val="009E587B"/>
    <w:rsid w:val="00A12267"/>
    <w:rsid w:val="00A1427D"/>
    <w:rsid w:val="00A22441"/>
    <w:rsid w:val="00A2493F"/>
    <w:rsid w:val="00A24E0D"/>
    <w:rsid w:val="00A25434"/>
    <w:rsid w:val="00A27584"/>
    <w:rsid w:val="00A3317D"/>
    <w:rsid w:val="00A3734E"/>
    <w:rsid w:val="00A40281"/>
    <w:rsid w:val="00A41170"/>
    <w:rsid w:val="00A4449F"/>
    <w:rsid w:val="00A475B8"/>
    <w:rsid w:val="00A52017"/>
    <w:rsid w:val="00A549AB"/>
    <w:rsid w:val="00A6043B"/>
    <w:rsid w:val="00A63B38"/>
    <w:rsid w:val="00A64ED3"/>
    <w:rsid w:val="00A66610"/>
    <w:rsid w:val="00A679F9"/>
    <w:rsid w:val="00A7181F"/>
    <w:rsid w:val="00A72F22"/>
    <w:rsid w:val="00A748A6"/>
    <w:rsid w:val="00A7523F"/>
    <w:rsid w:val="00A75EC9"/>
    <w:rsid w:val="00A76B37"/>
    <w:rsid w:val="00A80431"/>
    <w:rsid w:val="00A80FD5"/>
    <w:rsid w:val="00A81CD3"/>
    <w:rsid w:val="00A879A4"/>
    <w:rsid w:val="00A97C30"/>
    <w:rsid w:val="00AA022C"/>
    <w:rsid w:val="00AA2DB2"/>
    <w:rsid w:val="00AB390A"/>
    <w:rsid w:val="00AC0EEF"/>
    <w:rsid w:val="00AC1F60"/>
    <w:rsid w:val="00AC3364"/>
    <w:rsid w:val="00AC38F2"/>
    <w:rsid w:val="00AC7451"/>
    <w:rsid w:val="00AD4C3F"/>
    <w:rsid w:val="00AD60BA"/>
    <w:rsid w:val="00AE2BC1"/>
    <w:rsid w:val="00AE313E"/>
    <w:rsid w:val="00AE3359"/>
    <w:rsid w:val="00AE3791"/>
    <w:rsid w:val="00AF1489"/>
    <w:rsid w:val="00AF248C"/>
    <w:rsid w:val="00B0125E"/>
    <w:rsid w:val="00B02079"/>
    <w:rsid w:val="00B05614"/>
    <w:rsid w:val="00B2292E"/>
    <w:rsid w:val="00B30179"/>
    <w:rsid w:val="00B32399"/>
    <w:rsid w:val="00B3317B"/>
    <w:rsid w:val="00B34A94"/>
    <w:rsid w:val="00B35770"/>
    <w:rsid w:val="00B45379"/>
    <w:rsid w:val="00B57B8C"/>
    <w:rsid w:val="00B62799"/>
    <w:rsid w:val="00B65BD4"/>
    <w:rsid w:val="00B742AE"/>
    <w:rsid w:val="00B7575E"/>
    <w:rsid w:val="00B76D98"/>
    <w:rsid w:val="00B80DD3"/>
    <w:rsid w:val="00B81E12"/>
    <w:rsid w:val="00B8308C"/>
    <w:rsid w:val="00B84410"/>
    <w:rsid w:val="00B87A6B"/>
    <w:rsid w:val="00B90984"/>
    <w:rsid w:val="00B910C6"/>
    <w:rsid w:val="00B93068"/>
    <w:rsid w:val="00B96106"/>
    <w:rsid w:val="00BA4AAC"/>
    <w:rsid w:val="00BA611E"/>
    <w:rsid w:val="00BB3979"/>
    <w:rsid w:val="00BB6685"/>
    <w:rsid w:val="00BC4804"/>
    <w:rsid w:val="00BC553A"/>
    <w:rsid w:val="00BC5CF4"/>
    <w:rsid w:val="00BC74E9"/>
    <w:rsid w:val="00BD4242"/>
    <w:rsid w:val="00BD42B2"/>
    <w:rsid w:val="00BE618E"/>
    <w:rsid w:val="00C01730"/>
    <w:rsid w:val="00C12FE8"/>
    <w:rsid w:val="00C17582"/>
    <w:rsid w:val="00C20E3D"/>
    <w:rsid w:val="00C23226"/>
    <w:rsid w:val="00C3461F"/>
    <w:rsid w:val="00C4186E"/>
    <w:rsid w:val="00C41C15"/>
    <w:rsid w:val="00C463DD"/>
    <w:rsid w:val="00C46E2A"/>
    <w:rsid w:val="00C60D9F"/>
    <w:rsid w:val="00C60DCD"/>
    <w:rsid w:val="00C626EA"/>
    <w:rsid w:val="00C62F76"/>
    <w:rsid w:val="00C64CF9"/>
    <w:rsid w:val="00C67F22"/>
    <w:rsid w:val="00C72209"/>
    <w:rsid w:val="00C745C3"/>
    <w:rsid w:val="00C835F0"/>
    <w:rsid w:val="00C85F9B"/>
    <w:rsid w:val="00CA1406"/>
    <w:rsid w:val="00CA1CBE"/>
    <w:rsid w:val="00CA5C02"/>
    <w:rsid w:val="00CB4C9D"/>
    <w:rsid w:val="00CC18B3"/>
    <w:rsid w:val="00CC23F0"/>
    <w:rsid w:val="00CD42C3"/>
    <w:rsid w:val="00CD68B3"/>
    <w:rsid w:val="00CE4A8F"/>
    <w:rsid w:val="00CE58B6"/>
    <w:rsid w:val="00CE5C4D"/>
    <w:rsid w:val="00CE7E5D"/>
    <w:rsid w:val="00CF4639"/>
    <w:rsid w:val="00CF4BF2"/>
    <w:rsid w:val="00CF6553"/>
    <w:rsid w:val="00CF7C69"/>
    <w:rsid w:val="00CF7FCE"/>
    <w:rsid w:val="00D00E69"/>
    <w:rsid w:val="00D01ACC"/>
    <w:rsid w:val="00D02365"/>
    <w:rsid w:val="00D04934"/>
    <w:rsid w:val="00D0609D"/>
    <w:rsid w:val="00D11828"/>
    <w:rsid w:val="00D13382"/>
    <w:rsid w:val="00D2031B"/>
    <w:rsid w:val="00D2387E"/>
    <w:rsid w:val="00D25FE2"/>
    <w:rsid w:val="00D37949"/>
    <w:rsid w:val="00D42146"/>
    <w:rsid w:val="00D43252"/>
    <w:rsid w:val="00D44AE0"/>
    <w:rsid w:val="00D44EFC"/>
    <w:rsid w:val="00D5171D"/>
    <w:rsid w:val="00D606BB"/>
    <w:rsid w:val="00D625F5"/>
    <w:rsid w:val="00D668CA"/>
    <w:rsid w:val="00D72869"/>
    <w:rsid w:val="00D753D8"/>
    <w:rsid w:val="00D84DB1"/>
    <w:rsid w:val="00D9208C"/>
    <w:rsid w:val="00D95849"/>
    <w:rsid w:val="00D96CC5"/>
    <w:rsid w:val="00D978C6"/>
    <w:rsid w:val="00DA67AD"/>
    <w:rsid w:val="00DA71EC"/>
    <w:rsid w:val="00DB0284"/>
    <w:rsid w:val="00DB0442"/>
    <w:rsid w:val="00DB281B"/>
    <w:rsid w:val="00DB4C88"/>
    <w:rsid w:val="00DC16B9"/>
    <w:rsid w:val="00DC1797"/>
    <w:rsid w:val="00DD41E5"/>
    <w:rsid w:val="00DD70B8"/>
    <w:rsid w:val="00DE19A0"/>
    <w:rsid w:val="00DE4184"/>
    <w:rsid w:val="00DF0081"/>
    <w:rsid w:val="00DF7129"/>
    <w:rsid w:val="00E011D0"/>
    <w:rsid w:val="00E049CA"/>
    <w:rsid w:val="00E130AB"/>
    <w:rsid w:val="00E154D5"/>
    <w:rsid w:val="00E15862"/>
    <w:rsid w:val="00E21A5F"/>
    <w:rsid w:val="00E23CEE"/>
    <w:rsid w:val="00E24107"/>
    <w:rsid w:val="00E26B83"/>
    <w:rsid w:val="00E274C0"/>
    <w:rsid w:val="00E305E0"/>
    <w:rsid w:val="00E35BAA"/>
    <w:rsid w:val="00E40163"/>
    <w:rsid w:val="00E4194D"/>
    <w:rsid w:val="00E44882"/>
    <w:rsid w:val="00E450F1"/>
    <w:rsid w:val="00E45DE2"/>
    <w:rsid w:val="00E5126A"/>
    <w:rsid w:val="00E5317F"/>
    <w:rsid w:val="00E5644E"/>
    <w:rsid w:val="00E62EE3"/>
    <w:rsid w:val="00E66AF1"/>
    <w:rsid w:val="00E7260F"/>
    <w:rsid w:val="00E8535A"/>
    <w:rsid w:val="00E9026E"/>
    <w:rsid w:val="00E92301"/>
    <w:rsid w:val="00E96630"/>
    <w:rsid w:val="00EA5271"/>
    <w:rsid w:val="00EB6541"/>
    <w:rsid w:val="00EB6832"/>
    <w:rsid w:val="00EC2543"/>
    <w:rsid w:val="00EC42EA"/>
    <w:rsid w:val="00EC5D78"/>
    <w:rsid w:val="00EC7379"/>
    <w:rsid w:val="00ED4EB3"/>
    <w:rsid w:val="00ED67DB"/>
    <w:rsid w:val="00ED7A2A"/>
    <w:rsid w:val="00EE18BF"/>
    <w:rsid w:val="00EE32E6"/>
    <w:rsid w:val="00EE6D6E"/>
    <w:rsid w:val="00EE7FF7"/>
    <w:rsid w:val="00EF051D"/>
    <w:rsid w:val="00EF1393"/>
    <w:rsid w:val="00EF1D7F"/>
    <w:rsid w:val="00EF3923"/>
    <w:rsid w:val="00F01117"/>
    <w:rsid w:val="00F01716"/>
    <w:rsid w:val="00F0351B"/>
    <w:rsid w:val="00F03C2A"/>
    <w:rsid w:val="00F054AD"/>
    <w:rsid w:val="00F11A87"/>
    <w:rsid w:val="00F14001"/>
    <w:rsid w:val="00F14936"/>
    <w:rsid w:val="00F23940"/>
    <w:rsid w:val="00F40E75"/>
    <w:rsid w:val="00F416AA"/>
    <w:rsid w:val="00F45C14"/>
    <w:rsid w:val="00F45D1A"/>
    <w:rsid w:val="00F475EB"/>
    <w:rsid w:val="00F5272A"/>
    <w:rsid w:val="00F54674"/>
    <w:rsid w:val="00F54DDA"/>
    <w:rsid w:val="00F57710"/>
    <w:rsid w:val="00F6331D"/>
    <w:rsid w:val="00F660F2"/>
    <w:rsid w:val="00F72912"/>
    <w:rsid w:val="00F73E3B"/>
    <w:rsid w:val="00F74124"/>
    <w:rsid w:val="00F85D7A"/>
    <w:rsid w:val="00F873E7"/>
    <w:rsid w:val="00F93B34"/>
    <w:rsid w:val="00F957FD"/>
    <w:rsid w:val="00FA54B1"/>
    <w:rsid w:val="00FB6DCF"/>
    <w:rsid w:val="00FB7905"/>
    <w:rsid w:val="00FC0AAF"/>
    <w:rsid w:val="00FC3415"/>
    <w:rsid w:val="00FC68B7"/>
    <w:rsid w:val="00FC6CF3"/>
    <w:rsid w:val="00FD2AAF"/>
    <w:rsid w:val="00FD6B2B"/>
    <w:rsid w:val="00FE0B49"/>
    <w:rsid w:val="00FE4A81"/>
    <w:rsid w:val="00FE752E"/>
    <w:rsid w:val="00FF03BB"/>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paragraph" w:customStyle="1" w:styleId="UNPara">
    <w:name w:val="UN Para"/>
    <w:basedOn w:val="Normal"/>
    <w:link w:val="UNParaChar"/>
    <w:qFormat/>
    <w:rsid w:val="002370BB"/>
    <w:pPr>
      <w:numPr>
        <w:numId w:val="35"/>
      </w:numPr>
      <w:tabs>
        <w:tab w:val="left" w:pos="1792"/>
      </w:tabs>
      <w:spacing w:after="120"/>
      <w:ind w:left="1134" w:right="45" w:firstLine="0"/>
      <w:jc w:val="both"/>
    </w:pPr>
    <w:rPr>
      <w:color w:val="000000"/>
      <w:sz w:val="22"/>
      <w:szCs w:val="22"/>
      <w:lang w:val="en-CA"/>
    </w:rPr>
  </w:style>
  <w:style w:type="character" w:customStyle="1" w:styleId="UNParaChar">
    <w:name w:val="UN Para Char"/>
    <w:link w:val="UNPara"/>
    <w:rsid w:val="002370BB"/>
    <w:rPr>
      <w:color w:val="000000"/>
      <w:sz w:val="22"/>
      <w:szCs w:val="22"/>
      <w:lang w:val="en-C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semiHidden/>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semiHidden/>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paragraph" w:customStyle="1" w:styleId="UNPara">
    <w:name w:val="UN Para"/>
    <w:basedOn w:val="Normal"/>
    <w:link w:val="UNParaChar"/>
    <w:qFormat/>
    <w:rsid w:val="002370BB"/>
    <w:pPr>
      <w:numPr>
        <w:numId w:val="35"/>
      </w:numPr>
      <w:tabs>
        <w:tab w:val="left" w:pos="1792"/>
      </w:tabs>
      <w:spacing w:after="120"/>
      <w:ind w:left="1134" w:right="45" w:firstLine="0"/>
      <w:jc w:val="both"/>
    </w:pPr>
    <w:rPr>
      <w:color w:val="000000"/>
      <w:sz w:val="22"/>
      <w:szCs w:val="22"/>
      <w:lang w:val="en-CA"/>
    </w:rPr>
  </w:style>
  <w:style w:type="character" w:customStyle="1" w:styleId="UNParaChar">
    <w:name w:val="UN Para Char"/>
    <w:link w:val="UNPara"/>
    <w:rsid w:val="002370BB"/>
    <w:rPr>
      <w:color w:val="000000"/>
      <w:sz w:val="22"/>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9533">
      <w:bodyDiv w:val="1"/>
      <w:marLeft w:val="0"/>
      <w:marRight w:val="0"/>
      <w:marTop w:val="0"/>
      <w:marBottom w:val="0"/>
      <w:divBdr>
        <w:top w:val="none" w:sz="0" w:space="0" w:color="auto"/>
        <w:left w:val="none" w:sz="0" w:space="0" w:color="auto"/>
        <w:bottom w:val="none" w:sz="0" w:space="0" w:color="auto"/>
        <w:right w:val="none" w:sz="0" w:space="0" w:color="auto"/>
      </w:divBdr>
    </w:div>
    <w:div w:id="1356467396">
      <w:bodyDiv w:val="1"/>
      <w:marLeft w:val="0"/>
      <w:marRight w:val="0"/>
      <w:marTop w:val="0"/>
      <w:marBottom w:val="0"/>
      <w:divBdr>
        <w:top w:val="none" w:sz="0" w:space="0" w:color="auto"/>
        <w:left w:val="none" w:sz="0" w:space="0" w:color="auto"/>
        <w:bottom w:val="none" w:sz="0" w:space="0" w:color="auto"/>
        <w:right w:val="none" w:sz="0" w:space="0" w:color="auto"/>
      </w:divBdr>
    </w:div>
    <w:div w:id="1734307777">
      <w:bodyDiv w:val="1"/>
      <w:marLeft w:val="0"/>
      <w:marRight w:val="0"/>
      <w:marTop w:val="0"/>
      <w:marBottom w:val="0"/>
      <w:divBdr>
        <w:top w:val="none" w:sz="0" w:space="0" w:color="auto"/>
        <w:left w:val="none" w:sz="0" w:space="0" w:color="auto"/>
        <w:bottom w:val="none" w:sz="0" w:space="0" w:color="auto"/>
        <w:right w:val="none" w:sz="0" w:space="0" w:color="auto"/>
      </w:divBdr>
    </w:div>
    <w:div w:id="1772625191">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1AFA6-4992-4D79-A6C1-B6707059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4</Pages>
  <Words>1406</Words>
  <Characters>8017</Characters>
  <Application>Microsoft Office Word</Application>
  <DocSecurity>0</DocSecurity>
  <Lines>66</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1321580</vt:lpstr>
      <vt:lpstr>1321580</vt:lpstr>
    </vt:vector>
  </TitlesOfParts>
  <Company>CSD</Company>
  <LinksUpToDate>false</LinksUpToDate>
  <CharactersWithSpaces>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8</cp:revision>
  <cp:lastPrinted>2016-05-12T08:39:00Z</cp:lastPrinted>
  <dcterms:created xsi:type="dcterms:W3CDTF">2016-05-04T09:15:00Z</dcterms:created>
  <dcterms:modified xsi:type="dcterms:W3CDTF">2016-05-12T08:39:00Z</dcterms:modified>
</cp:coreProperties>
</file>