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807FBA">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807FBA" w:rsidP="00807FBA">
            <w:pPr>
              <w:jc w:val="right"/>
            </w:pPr>
            <w:r w:rsidRPr="00807FBA">
              <w:rPr>
                <w:sz w:val="40"/>
              </w:rPr>
              <w:t>ST</w:t>
            </w:r>
            <w:r>
              <w:t>/SG/AC.10/C.3/2016/9</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807FBA" w:rsidP="009C3129">
            <w:pPr>
              <w:spacing w:before="240"/>
            </w:pPr>
            <w:r>
              <w:t>Distr. générale</w:t>
            </w:r>
          </w:p>
          <w:p w:rsidR="00807FBA" w:rsidRDefault="00807FBA" w:rsidP="00807FBA">
            <w:pPr>
              <w:spacing w:line="240" w:lineRule="exact"/>
            </w:pPr>
            <w:r>
              <w:t>29 mars 2016</w:t>
            </w:r>
          </w:p>
          <w:p w:rsidR="00807FBA" w:rsidRDefault="00807FBA" w:rsidP="00807FBA">
            <w:pPr>
              <w:spacing w:line="240" w:lineRule="exact"/>
            </w:pPr>
            <w:r>
              <w:t>Français</w:t>
            </w:r>
          </w:p>
          <w:p w:rsidR="00807FBA" w:rsidRPr="00DB58B5" w:rsidRDefault="00807FBA" w:rsidP="00807FBA">
            <w:pPr>
              <w:spacing w:line="240" w:lineRule="exact"/>
            </w:pPr>
            <w:r>
              <w:t>Original : anglais</w:t>
            </w:r>
          </w:p>
        </w:tc>
      </w:tr>
    </w:tbl>
    <w:p w:rsidR="00807FBA" w:rsidRPr="00CA0680" w:rsidRDefault="00807FBA" w:rsidP="000305D3">
      <w:pPr>
        <w:spacing w:before="120"/>
        <w:rPr>
          <w:b/>
          <w:sz w:val="24"/>
          <w:szCs w:val="24"/>
        </w:rPr>
      </w:pPr>
      <w:r w:rsidRPr="00CA0680">
        <w:rPr>
          <w:b/>
          <w:sz w:val="24"/>
          <w:szCs w:val="24"/>
        </w:rPr>
        <w:t>Comité d</w:t>
      </w:r>
      <w:r w:rsidR="003D3E83">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sidR="003D3E83">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sidR="003D3E83">
        <w:rPr>
          <w:b/>
          <w:sz w:val="24"/>
          <w:szCs w:val="24"/>
        </w:rPr>
        <w:t xml:space="preserve"> </w:t>
      </w:r>
      <w:r>
        <w:rPr>
          <w:b/>
          <w:sz w:val="24"/>
          <w:szCs w:val="24"/>
        </w:rPr>
        <w:br/>
      </w:r>
      <w:r w:rsidRPr="00CA0680">
        <w:rPr>
          <w:b/>
          <w:sz w:val="24"/>
          <w:szCs w:val="24"/>
        </w:rPr>
        <w:t>et d</w:t>
      </w:r>
      <w:r w:rsidR="003D3E83">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807FBA" w:rsidRPr="00CA0680" w:rsidRDefault="00807FBA" w:rsidP="000305D3">
      <w:pPr>
        <w:spacing w:before="120"/>
        <w:rPr>
          <w:b/>
        </w:rPr>
      </w:pPr>
      <w:r w:rsidRPr="00CA0680">
        <w:rPr>
          <w:b/>
        </w:rPr>
        <w:t>Sous</w:t>
      </w:r>
      <w:r>
        <w:rPr>
          <w:b/>
        </w:rPr>
        <w:t>-</w:t>
      </w:r>
      <w:r w:rsidRPr="00CA0680">
        <w:rPr>
          <w:b/>
        </w:rPr>
        <w:t>Comité d</w:t>
      </w:r>
      <w:r w:rsidR="003D3E83">
        <w:rPr>
          <w:b/>
        </w:rPr>
        <w:t>’</w:t>
      </w:r>
      <w:r w:rsidRPr="00CA0680">
        <w:rPr>
          <w:b/>
        </w:rPr>
        <w:t>experts du transport des marchandises dangereuses</w:t>
      </w:r>
    </w:p>
    <w:p w:rsidR="00807FBA" w:rsidRDefault="007F3F28" w:rsidP="000305D3">
      <w:pPr>
        <w:spacing w:before="120"/>
        <w:rPr>
          <w:b/>
        </w:rPr>
      </w:pPr>
      <w:r w:rsidRPr="00807FBA">
        <w:rPr>
          <w:b/>
          <w:bCs/>
          <w:lang w:val="fr-FR"/>
        </w:rPr>
        <w:t>Quarante-neuvième</w:t>
      </w:r>
      <w:r w:rsidR="00807FBA">
        <w:rPr>
          <w:b/>
        </w:rPr>
        <w:t xml:space="preserve"> </w:t>
      </w:r>
      <w:r w:rsidR="00807FBA" w:rsidRPr="00CA0680">
        <w:rPr>
          <w:b/>
        </w:rPr>
        <w:t>session</w:t>
      </w:r>
    </w:p>
    <w:p w:rsidR="00807FBA" w:rsidRDefault="00807FBA" w:rsidP="000305D3">
      <w:r>
        <w:t xml:space="preserve">Genève, </w:t>
      </w:r>
      <w:r w:rsidR="007F3F28" w:rsidRPr="00807FBA">
        <w:rPr>
          <w:lang w:val="fr-FR"/>
        </w:rPr>
        <w:t>27 juin-6 juillet 2016</w:t>
      </w:r>
    </w:p>
    <w:p w:rsidR="00807FBA" w:rsidRDefault="00807FBA" w:rsidP="000305D3">
      <w:r>
        <w:t>Point 3 de l</w:t>
      </w:r>
      <w:r w:rsidR="003D3E83">
        <w:t>’</w:t>
      </w:r>
      <w:r>
        <w:t>ordre du jour provisoire</w:t>
      </w:r>
    </w:p>
    <w:p w:rsidR="000470EB" w:rsidRPr="00807FBA" w:rsidRDefault="007F3F28" w:rsidP="00807FBA">
      <w:pPr>
        <w:rPr>
          <w:b/>
          <w:lang w:val="fr-FR"/>
        </w:rPr>
      </w:pPr>
      <w:r w:rsidRPr="00807FBA">
        <w:rPr>
          <w:b/>
          <w:lang w:val="fr-FR"/>
        </w:rPr>
        <w:t>Inscription, classement et emballage</w:t>
      </w:r>
    </w:p>
    <w:p w:rsidR="000470EB" w:rsidRPr="00807FBA" w:rsidRDefault="007F3F28" w:rsidP="00807FBA">
      <w:pPr>
        <w:pStyle w:val="HChG"/>
        <w:rPr>
          <w:lang w:val="fr-FR"/>
        </w:rPr>
      </w:pPr>
      <w:r w:rsidRPr="00807FBA">
        <w:rPr>
          <w:lang w:val="fr-FR"/>
        </w:rPr>
        <w:tab/>
      </w:r>
      <w:r w:rsidRPr="00807FBA">
        <w:rPr>
          <w:lang w:val="fr-FR"/>
        </w:rPr>
        <w:tab/>
        <w:t xml:space="preserve">Emballages pour matières infectieuses </w:t>
      </w:r>
      <w:r w:rsidR="00807FBA">
        <w:rPr>
          <w:lang w:val="fr-FR"/>
        </w:rPr>
        <w:t>−</w:t>
      </w:r>
      <w:r w:rsidRPr="00807FBA">
        <w:rPr>
          <w:lang w:val="fr-FR"/>
        </w:rPr>
        <w:t xml:space="preserve"> proposition </w:t>
      </w:r>
      <w:r w:rsidR="00807FBA">
        <w:rPr>
          <w:lang w:val="fr-FR"/>
        </w:rPr>
        <w:br/>
      </w:r>
      <w:r w:rsidRPr="00807FBA">
        <w:rPr>
          <w:lang w:val="fr-FR"/>
        </w:rPr>
        <w:t>révisée</w:t>
      </w:r>
    </w:p>
    <w:p w:rsidR="000470EB" w:rsidRPr="00807FBA" w:rsidRDefault="007F3F28" w:rsidP="00807FBA">
      <w:pPr>
        <w:pStyle w:val="H1G"/>
        <w:rPr>
          <w:lang w:val="fr-FR"/>
        </w:rPr>
      </w:pPr>
      <w:r w:rsidRPr="00807FBA">
        <w:rPr>
          <w:lang w:val="fr-FR"/>
        </w:rPr>
        <w:tab/>
      </w:r>
      <w:r w:rsidRPr="00807FBA">
        <w:rPr>
          <w:lang w:val="fr-FR"/>
        </w:rPr>
        <w:tab/>
        <w:t>Communication de l</w:t>
      </w:r>
      <w:r w:rsidR="003D3E83">
        <w:rPr>
          <w:lang w:val="fr-FR"/>
        </w:rPr>
        <w:t>’</w:t>
      </w:r>
      <w:r w:rsidRPr="00807FBA">
        <w:rPr>
          <w:lang w:val="fr-FR"/>
        </w:rPr>
        <w:t>expert de l</w:t>
      </w:r>
      <w:r w:rsidR="003D3E83">
        <w:rPr>
          <w:lang w:val="fr-FR"/>
        </w:rPr>
        <w:t>’</w:t>
      </w:r>
      <w:r w:rsidRPr="00807FBA">
        <w:rPr>
          <w:lang w:val="fr-FR"/>
        </w:rPr>
        <w:t>Allemagne</w:t>
      </w:r>
      <w:r w:rsidRPr="00807FBA">
        <w:rPr>
          <w:b w:val="0"/>
          <w:sz w:val="20"/>
          <w:vertAlign w:val="superscript"/>
        </w:rPr>
        <w:footnoteReference w:id="2"/>
      </w:r>
    </w:p>
    <w:p w:rsidR="000470EB" w:rsidRPr="00807FBA" w:rsidRDefault="007F3F28" w:rsidP="00807FBA">
      <w:pPr>
        <w:pStyle w:val="ParNoG"/>
        <w:rPr>
          <w:b/>
          <w:lang w:val="fr-FR"/>
        </w:rPr>
      </w:pPr>
      <w:r w:rsidRPr="00807FBA">
        <w:rPr>
          <w:lang w:val="fr-FR"/>
        </w:rPr>
        <w:t>À sa dernière session, le Sous-Comité a examiné plusieurs propositions relatives aux essais des emballages pour matières infectieuses (ST/SG/AC.10/C.3/2015/48 et documents informels INF.30 et INF.59). Le Sous-Comité a appuyé le principe de révision des dispositions relatives aux emballages pour surmonter les problèmes rencontrés dans la pratique avec les déchets contaminés par des matières infectieuses, par exemple dans le contexte récent du traitement des déchets solides générés en lien avec l</w:t>
      </w:r>
      <w:r w:rsidR="003D3E83">
        <w:rPr>
          <w:lang w:val="fr-FR"/>
        </w:rPr>
        <w:t>’</w:t>
      </w:r>
      <w:r w:rsidRPr="00807FBA">
        <w:rPr>
          <w:lang w:val="fr-FR"/>
        </w:rPr>
        <w:t>épidémie d</w:t>
      </w:r>
      <w:r w:rsidR="003D3E83">
        <w:rPr>
          <w:lang w:val="fr-FR"/>
        </w:rPr>
        <w:t>’</w:t>
      </w:r>
      <w:r w:rsidR="008F4B64">
        <w:rPr>
          <w:lang w:val="fr-FR"/>
        </w:rPr>
        <w:t>E</w:t>
      </w:r>
      <w:r w:rsidRPr="00807FBA">
        <w:rPr>
          <w:lang w:val="fr-FR"/>
        </w:rPr>
        <w:t>bola. Toutefois, aucun consensus n</w:t>
      </w:r>
      <w:r w:rsidR="003D3E83">
        <w:rPr>
          <w:lang w:val="fr-FR"/>
        </w:rPr>
        <w:t>’</w:t>
      </w:r>
      <w:r w:rsidRPr="00807FBA">
        <w:rPr>
          <w:lang w:val="fr-FR"/>
        </w:rPr>
        <w:t>a pu être trouvé sur certains détails des propositions.</w:t>
      </w:r>
    </w:p>
    <w:p w:rsidR="000470EB" w:rsidRPr="00807FBA" w:rsidRDefault="007F3F28" w:rsidP="00807FBA">
      <w:pPr>
        <w:pStyle w:val="ParNoG"/>
        <w:tabs>
          <w:tab w:val="clear" w:pos="1701"/>
        </w:tabs>
        <w:rPr>
          <w:lang w:val="fr-FR"/>
        </w:rPr>
      </w:pPr>
      <w:r w:rsidRPr="00807FBA">
        <w:rPr>
          <w:lang w:val="fr-FR"/>
        </w:rPr>
        <w:t>En tenant compte des débats ayant eu lieu au cours de cette dernière session et des résultats des épreuves de chute effectuées à l</w:t>
      </w:r>
      <w:r w:rsidR="003D3E83">
        <w:rPr>
          <w:lang w:val="fr-FR"/>
        </w:rPr>
        <w:t>’</w:t>
      </w:r>
      <w:r w:rsidRPr="00807FBA">
        <w:rPr>
          <w:lang w:val="fr-FR"/>
        </w:rPr>
        <w:t>Institut fédéral de recherches et d</w:t>
      </w:r>
      <w:r w:rsidR="003D3E83">
        <w:rPr>
          <w:lang w:val="fr-FR"/>
        </w:rPr>
        <w:t>’</w:t>
      </w:r>
      <w:r w:rsidRPr="00807FBA">
        <w:rPr>
          <w:lang w:val="fr-FR"/>
        </w:rPr>
        <w:t>essais sur les matériaux (BAM), l</w:t>
      </w:r>
      <w:r w:rsidR="003D3E83">
        <w:rPr>
          <w:lang w:val="fr-FR"/>
        </w:rPr>
        <w:t>’</w:t>
      </w:r>
      <w:r w:rsidRPr="00807FBA">
        <w:rPr>
          <w:lang w:val="fr-FR"/>
        </w:rPr>
        <w:t>expert de l</w:t>
      </w:r>
      <w:r w:rsidR="003D3E83">
        <w:rPr>
          <w:lang w:val="fr-FR"/>
        </w:rPr>
        <w:t>’</w:t>
      </w:r>
      <w:r w:rsidRPr="00807FBA">
        <w:rPr>
          <w:lang w:val="fr-FR"/>
        </w:rPr>
        <w:t>Allemagne</w:t>
      </w:r>
      <w:r w:rsidRPr="00807FBA">
        <w:rPr>
          <w:b/>
          <w:lang w:val="fr-FR"/>
        </w:rPr>
        <w:t xml:space="preserve"> </w:t>
      </w:r>
      <w:r w:rsidRPr="00807FBA">
        <w:rPr>
          <w:lang w:val="fr-FR"/>
        </w:rPr>
        <w:t>a révisé la proposition figurant dans le document informel INF.30. La tâche principale était de trouver une solution pour garder des dispositions formulées de manière aussi simple que possible afin qu</w:t>
      </w:r>
      <w:r w:rsidR="003D3E83">
        <w:rPr>
          <w:lang w:val="fr-FR"/>
        </w:rPr>
        <w:t>’</w:t>
      </w:r>
      <w:r w:rsidRPr="00807FBA">
        <w:rPr>
          <w:lang w:val="fr-FR"/>
        </w:rPr>
        <w:t>elles soient facilement applicables pour les matières infectieuses solides.</w:t>
      </w:r>
    </w:p>
    <w:p w:rsidR="000470EB" w:rsidRPr="00807FBA" w:rsidRDefault="007F3F28" w:rsidP="00807FBA">
      <w:pPr>
        <w:pStyle w:val="ParNoG"/>
        <w:tabs>
          <w:tab w:val="clear" w:pos="1701"/>
        </w:tabs>
        <w:rPr>
          <w:lang w:val="fr-FR"/>
        </w:rPr>
      </w:pPr>
      <w:r w:rsidRPr="00807FBA">
        <w:rPr>
          <w:lang w:val="fr-FR"/>
        </w:rPr>
        <w:t>La première modification proposée porte sur l</w:t>
      </w:r>
      <w:r w:rsidR="003D3E83">
        <w:rPr>
          <w:lang w:val="fr-FR"/>
        </w:rPr>
        <w:t>’</w:t>
      </w:r>
      <w:r w:rsidRPr="00807FBA">
        <w:rPr>
          <w:lang w:val="fr-FR"/>
        </w:rPr>
        <w:t>instruction d</w:t>
      </w:r>
      <w:r w:rsidR="003D3E83">
        <w:rPr>
          <w:lang w:val="fr-FR"/>
        </w:rPr>
        <w:t>’</w:t>
      </w:r>
      <w:r w:rsidRPr="00807FBA">
        <w:rPr>
          <w:lang w:val="fr-FR"/>
        </w:rPr>
        <w:t>emballage P620. Les prescriptions relatives à l</w:t>
      </w:r>
      <w:r w:rsidR="003D3E83">
        <w:rPr>
          <w:lang w:val="fr-FR"/>
        </w:rPr>
        <w:t>’</w:t>
      </w:r>
      <w:r w:rsidRPr="00807FBA">
        <w:rPr>
          <w:lang w:val="fr-FR"/>
        </w:rPr>
        <w:t>épreuve de pression interne et à la résistance à des températures de -40 °C à +55 °C sont examinées séparément comme cela avait déjà été proposé dans le document ST/SG/AC.10/C.3/2015/48 et les documents informels INF.30 et INF.59. Si le matériau absorbant est placé dans le récipient primaire, les dispositions du chapitre 6.3 concernant les solides s</w:t>
      </w:r>
      <w:r w:rsidR="003D3E83">
        <w:rPr>
          <w:lang w:val="fr-FR"/>
        </w:rPr>
        <w:t>’</w:t>
      </w:r>
      <w:r w:rsidRPr="00807FBA">
        <w:rPr>
          <w:lang w:val="fr-FR"/>
        </w:rPr>
        <w:t xml:space="preserve">appliquent. La deuxième modification concerne la sous-section </w:t>
      </w:r>
      <w:r w:rsidRPr="00807FBA">
        <w:rPr>
          <w:lang w:val="fr-FR"/>
        </w:rPr>
        <w:lastRenderedPageBreak/>
        <w:t>6.3.5.2.1. Ici</w:t>
      </w:r>
      <w:r w:rsidR="008F4B64">
        <w:rPr>
          <w:lang w:val="fr-FR"/>
        </w:rPr>
        <w:t>,</w:t>
      </w:r>
      <w:r w:rsidRPr="00807FBA">
        <w:rPr>
          <w:lang w:val="fr-FR"/>
        </w:rPr>
        <w:t xml:space="preserve"> le point le plus important est que le récipient primaire ne doit pas être rempli à au moins 98 % de sa contenance mais plutôt à sa masse brute maximale admissible, et que, pour les solides, les essais peuvent être réalisés avec un matériau solide équivalent au lieu d</w:t>
      </w:r>
      <w:r w:rsidR="003D3E83">
        <w:rPr>
          <w:lang w:val="fr-FR"/>
        </w:rPr>
        <w:t>’</w:t>
      </w:r>
      <w:r w:rsidRPr="00807FBA">
        <w:rPr>
          <w:lang w:val="fr-FR"/>
        </w:rPr>
        <w:t>un liquide. L</w:t>
      </w:r>
      <w:r w:rsidR="003D3E83">
        <w:rPr>
          <w:lang w:val="fr-FR"/>
        </w:rPr>
        <w:t>’</w:t>
      </w:r>
      <w:r w:rsidRPr="00807FBA">
        <w:rPr>
          <w:lang w:val="fr-FR"/>
        </w:rPr>
        <w:t>emballage doit porter la marque prescrite dans le document informel INF.59. La proposition visant à prescrire un texte de marquage (</w:t>
      </w:r>
      <w:r w:rsidR="003D3E83">
        <w:rPr>
          <w:lang w:val="fr-FR"/>
        </w:rPr>
        <w:t>« </w:t>
      </w:r>
      <w:r w:rsidRPr="00807FBA">
        <w:rPr>
          <w:lang w:val="fr-FR"/>
        </w:rPr>
        <w:t>EMBALLAGE POUR DÉCHETS SOLIDES UNIQUEMENT</w:t>
      </w:r>
      <w:r w:rsidR="003D3E83">
        <w:rPr>
          <w:lang w:val="fr-FR"/>
        </w:rPr>
        <w:t> »</w:t>
      </w:r>
      <w:r w:rsidRPr="00807FBA">
        <w:rPr>
          <w:lang w:val="fr-FR"/>
        </w:rPr>
        <w:t>) n</w:t>
      </w:r>
      <w:r w:rsidR="003D3E83">
        <w:rPr>
          <w:lang w:val="fr-FR"/>
        </w:rPr>
        <w:t>’</w:t>
      </w:r>
      <w:r w:rsidRPr="00807FBA">
        <w:rPr>
          <w:lang w:val="fr-FR"/>
        </w:rPr>
        <w:t>est pas retenue. Un tel texte de marquage pourrait constituer une aide pour le personnel médical utilisant ce type d</w:t>
      </w:r>
      <w:r w:rsidR="003D3E83">
        <w:rPr>
          <w:lang w:val="fr-FR"/>
        </w:rPr>
        <w:t>’</w:t>
      </w:r>
      <w:r w:rsidRPr="00807FBA">
        <w:rPr>
          <w:lang w:val="fr-FR"/>
        </w:rPr>
        <w:t>emballage, mais des marques supplémentaires autorisées par l</w:t>
      </w:r>
      <w:r w:rsidR="003D3E83">
        <w:rPr>
          <w:lang w:val="fr-FR"/>
        </w:rPr>
        <w:t>’</w:t>
      </w:r>
      <w:r w:rsidRPr="00807FBA">
        <w:rPr>
          <w:lang w:val="fr-FR"/>
        </w:rPr>
        <w:t>autorité compétente peuvent aussi faire l</w:t>
      </w:r>
      <w:r w:rsidR="003D3E83">
        <w:rPr>
          <w:lang w:val="fr-FR"/>
        </w:rPr>
        <w:t>’</w:t>
      </w:r>
      <w:r w:rsidRPr="00807FBA">
        <w:rPr>
          <w:lang w:val="fr-FR"/>
        </w:rPr>
        <w:t>affaire.</w:t>
      </w:r>
    </w:p>
    <w:p w:rsidR="000470EB" w:rsidRPr="00807FBA" w:rsidRDefault="004B5C65" w:rsidP="00807FBA">
      <w:pPr>
        <w:pStyle w:val="HChG"/>
        <w:rPr>
          <w:lang w:val="fr-FR"/>
        </w:rPr>
      </w:pPr>
      <w:r>
        <w:rPr>
          <w:lang w:val="fr-FR"/>
        </w:rPr>
        <w:tab/>
      </w:r>
      <w:r>
        <w:rPr>
          <w:lang w:val="fr-FR"/>
        </w:rPr>
        <w:tab/>
      </w:r>
      <w:r w:rsidR="007F3F28" w:rsidRPr="00807FBA">
        <w:rPr>
          <w:lang w:val="fr-FR"/>
        </w:rPr>
        <w:t>Proposition</w:t>
      </w:r>
    </w:p>
    <w:p w:rsidR="000470EB" w:rsidRPr="00807FBA" w:rsidRDefault="007F3F28" w:rsidP="00807FBA">
      <w:pPr>
        <w:pStyle w:val="ParNoG"/>
        <w:tabs>
          <w:tab w:val="clear" w:pos="1701"/>
        </w:tabs>
        <w:rPr>
          <w:lang w:val="fr-FR"/>
        </w:rPr>
      </w:pPr>
      <w:r w:rsidRPr="00807FBA">
        <w:rPr>
          <w:lang w:val="fr-FR"/>
        </w:rPr>
        <w:t>Modifier le texte du P620 comme suit (les suppressions apparaissent biffées et les éléments nouveaux soulignés)</w:t>
      </w:r>
      <w:r w:rsidR="003D3E83">
        <w:rPr>
          <w:lang w:val="fr-FR"/>
        </w:rPr>
        <w:t> :</w:t>
      </w:r>
      <w:r w:rsidRPr="00807FBA">
        <w:rPr>
          <w:lang w:val="fr-FR"/>
        </w:rPr>
        <w:t xml:space="preserve"> </w:t>
      </w:r>
    </w:p>
    <w:p w:rsidR="000470EB" w:rsidRPr="00807FBA" w:rsidRDefault="004B5C65" w:rsidP="00972D2B">
      <w:pPr>
        <w:pStyle w:val="SingleTxtG"/>
        <w:ind w:left="1701"/>
        <w:rPr>
          <w:lang w:val="fr-FR"/>
        </w:rPr>
      </w:pPr>
      <w:r>
        <w:rPr>
          <w:lang w:val="fr-FR"/>
        </w:rPr>
        <w:t>« </w:t>
      </w:r>
      <w:r w:rsidR="007F3F28" w:rsidRPr="00807FBA">
        <w:rPr>
          <w:lang w:val="fr-FR"/>
        </w:rPr>
        <w:t>Emballages satisfaisant aux prescriptions du chapitre 6.3 et agréés conformément à ces prescriptions consistant en</w:t>
      </w:r>
      <w:r w:rsidR="003D3E83">
        <w:rPr>
          <w:lang w:val="fr-FR"/>
        </w:rPr>
        <w:t> :</w:t>
      </w:r>
    </w:p>
    <w:p w:rsidR="000470EB" w:rsidRPr="00807FBA" w:rsidRDefault="007F3F28" w:rsidP="004B5C65">
      <w:pPr>
        <w:pStyle w:val="SingleTxtG"/>
        <w:ind w:firstLine="567"/>
        <w:rPr>
          <w:lang w:val="fr-FR"/>
        </w:rPr>
      </w:pPr>
      <w:r w:rsidRPr="00807FBA">
        <w:rPr>
          <w:lang w:val="fr-FR"/>
        </w:rPr>
        <w:t>a)</w:t>
      </w:r>
      <w:r w:rsidRPr="00807FBA">
        <w:rPr>
          <w:lang w:val="fr-FR"/>
        </w:rPr>
        <w:tab/>
        <w:t>Des emballages intérieurs comprenant</w:t>
      </w:r>
      <w:r w:rsidR="003D3E83">
        <w:rPr>
          <w:lang w:val="fr-FR"/>
        </w:rPr>
        <w:t> :</w:t>
      </w:r>
    </w:p>
    <w:p w:rsidR="000470EB" w:rsidRPr="00807FBA" w:rsidRDefault="007F3F28" w:rsidP="00972D2B">
      <w:pPr>
        <w:pStyle w:val="SingleTxtG"/>
        <w:ind w:left="2268"/>
        <w:rPr>
          <w:lang w:val="fr-FR"/>
        </w:rPr>
      </w:pPr>
      <w:r w:rsidRPr="00807FBA">
        <w:rPr>
          <w:lang w:val="fr-FR"/>
        </w:rPr>
        <w:t>i)</w:t>
      </w:r>
      <w:r w:rsidRPr="00807FBA">
        <w:rPr>
          <w:lang w:val="fr-FR"/>
        </w:rPr>
        <w:tab/>
      </w:r>
      <w:r w:rsidR="00972D2B" w:rsidRPr="00807FBA">
        <w:rPr>
          <w:lang w:val="fr-FR"/>
        </w:rPr>
        <w:t xml:space="preserve">Un </w:t>
      </w:r>
      <w:r w:rsidRPr="00807FBA">
        <w:rPr>
          <w:lang w:val="fr-FR"/>
        </w:rPr>
        <w:t>ou plusieurs récipients primaires étanches</w:t>
      </w:r>
      <w:r w:rsidR="003D3E83">
        <w:rPr>
          <w:lang w:val="fr-FR"/>
        </w:rPr>
        <w:t> ;</w:t>
      </w:r>
    </w:p>
    <w:p w:rsidR="000470EB" w:rsidRPr="00807FBA" w:rsidRDefault="007F3F28" w:rsidP="00972D2B">
      <w:pPr>
        <w:pStyle w:val="SingleTxtG"/>
        <w:ind w:left="2268"/>
        <w:rPr>
          <w:lang w:val="fr-FR"/>
        </w:rPr>
      </w:pPr>
      <w:r w:rsidRPr="00807FBA">
        <w:rPr>
          <w:lang w:val="fr-FR"/>
        </w:rPr>
        <w:t>ii)</w:t>
      </w:r>
      <w:r w:rsidRPr="00807FBA">
        <w:rPr>
          <w:lang w:val="fr-FR"/>
        </w:rPr>
        <w:tab/>
      </w:r>
      <w:r w:rsidR="00972D2B" w:rsidRPr="00807FBA">
        <w:rPr>
          <w:lang w:val="fr-FR"/>
        </w:rPr>
        <w:t xml:space="preserve">Un </w:t>
      </w:r>
      <w:r w:rsidRPr="00807FBA">
        <w:rPr>
          <w:lang w:val="fr-FR"/>
        </w:rPr>
        <w:t>emballage secondaire étanche</w:t>
      </w:r>
      <w:r w:rsidR="003D3E83">
        <w:rPr>
          <w:lang w:val="fr-FR"/>
        </w:rPr>
        <w:t> ;</w:t>
      </w:r>
    </w:p>
    <w:p w:rsidR="000470EB" w:rsidRPr="00807FBA" w:rsidRDefault="007F3F28" w:rsidP="00972D2B">
      <w:pPr>
        <w:pStyle w:val="SingleTxtG"/>
        <w:ind w:left="2268"/>
        <w:rPr>
          <w:u w:val="single"/>
          <w:lang w:val="fr-FR"/>
        </w:rPr>
      </w:pPr>
      <w:r w:rsidRPr="00807FBA">
        <w:rPr>
          <w:lang w:val="fr-FR"/>
        </w:rPr>
        <w:t>iii)</w:t>
      </w:r>
      <w:r w:rsidRPr="00807FBA">
        <w:rPr>
          <w:lang w:val="fr-FR"/>
        </w:rPr>
        <w:tab/>
      </w:r>
      <w:r w:rsidR="00972D2B" w:rsidRPr="00807FBA">
        <w:rPr>
          <w:lang w:val="fr-FR"/>
        </w:rPr>
        <w:t xml:space="preserve">Sauf </w:t>
      </w:r>
      <w:r w:rsidRPr="00807FBA">
        <w:rPr>
          <w:lang w:val="fr-FR"/>
        </w:rPr>
        <w:t>dans le cas des matières infectieuses solides, un matériau absorbant en quantité suffisante pour absorber la totalité du contenu placé entre le ou les récipients primaires et l</w:t>
      </w:r>
      <w:r w:rsidR="003D3E83">
        <w:rPr>
          <w:lang w:val="fr-FR"/>
        </w:rPr>
        <w:t>’</w:t>
      </w:r>
      <w:r w:rsidRPr="00807FBA">
        <w:rPr>
          <w:lang w:val="fr-FR"/>
        </w:rPr>
        <w:t xml:space="preserve">emballage secondaire </w:t>
      </w:r>
      <w:r w:rsidRPr="00807FBA">
        <w:rPr>
          <w:u w:val="single"/>
          <w:lang w:val="fr-FR"/>
        </w:rPr>
        <w:t>ou dans le ou les récipients primaires</w:t>
      </w:r>
      <w:r w:rsidR="003D3E83">
        <w:rPr>
          <w:u w:val="single"/>
          <w:lang w:val="fr-FR"/>
        </w:rPr>
        <w:t> ;</w:t>
      </w:r>
      <w:r w:rsidRPr="00807FBA">
        <w:rPr>
          <w:u w:val="single"/>
          <w:lang w:val="fr-FR"/>
        </w:rPr>
        <w:t xml:space="preserve"> si un matériau absorbant en quantité suffisante pour absorber la totalité du contenu est placé dans le ou les récipients primaires, les dispositions du chapitre 6.3 concernant les solides s</w:t>
      </w:r>
      <w:r w:rsidR="003D3E83">
        <w:rPr>
          <w:u w:val="single"/>
          <w:lang w:val="fr-FR"/>
        </w:rPr>
        <w:t>’</w:t>
      </w:r>
      <w:r w:rsidRPr="00807FBA">
        <w:rPr>
          <w:u w:val="single"/>
          <w:lang w:val="fr-FR"/>
        </w:rPr>
        <w:t>appliquent</w:t>
      </w:r>
      <w:r w:rsidR="003D3E83">
        <w:rPr>
          <w:lang w:val="fr-FR"/>
        </w:rPr>
        <w:t> ;</w:t>
      </w:r>
      <w:r w:rsidRPr="00807FBA">
        <w:rPr>
          <w:lang w:val="fr-FR"/>
        </w:rPr>
        <w:t xml:space="preserve"> si plusieurs récipients primaires sont placés dans un emballage secondaire simple, il faut les envelopper individuellement ou les séparer pour empêcher tout contact entre eux</w:t>
      </w:r>
      <w:r w:rsidR="00972D2B">
        <w:rPr>
          <w:lang w:val="fr-FR"/>
        </w:rPr>
        <w:t> ; ».</w:t>
      </w:r>
    </w:p>
    <w:p w:rsidR="000470EB" w:rsidRPr="00807FBA" w:rsidRDefault="00972D2B" w:rsidP="00972D2B">
      <w:pPr>
        <w:pStyle w:val="SingleTxtG"/>
        <w:ind w:left="1701"/>
        <w:rPr>
          <w:lang w:val="fr-FR"/>
        </w:rPr>
      </w:pPr>
      <w:r>
        <w:rPr>
          <w:lang w:val="fr-FR"/>
        </w:rPr>
        <w:t>« </w:t>
      </w:r>
      <w:r w:rsidR="007F3F28" w:rsidRPr="00807FBA">
        <w:rPr>
          <w:lang w:val="fr-FR"/>
        </w:rPr>
        <w:t xml:space="preserve">3. </w:t>
      </w:r>
      <w:r w:rsidR="007F3F28" w:rsidRPr="00807FBA">
        <w:rPr>
          <w:lang w:val="fr-FR"/>
        </w:rPr>
        <w:tab/>
        <w:t>Quelle que soit la température prévue de l</w:t>
      </w:r>
      <w:r w:rsidR="003D3E83">
        <w:rPr>
          <w:lang w:val="fr-FR"/>
        </w:rPr>
        <w:t>’</w:t>
      </w:r>
      <w:r w:rsidR="007F3F28" w:rsidRPr="00807FBA">
        <w:rPr>
          <w:lang w:val="fr-FR"/>
        </w:rPr>
        <w:t>envoi, le récipient primaire ou l</w:t>
      </w:r>
      <w:r w:rsidR="003D3E83">
        <w:rPr>
          <w:lang w:val="fr-FR"/>
        </w:rPr>
        <w:t>’</w:t>
      </w:r>
      <w:r w:rsidR="007F3F28" w:rsidRPr="00807FBA">
        <w:rPr>
          <w:lang w:val="fr-FR"/>
        </w:rPr>
        <w:t>emballage secondaire doit pouvoir résister, sans fuite, à une pression interne qui donne une différence de pression d</w:t>
      </w:r>
      <w:r w:rsidR="003D3E83">
        <w:rPr>
          <w:lang w:val="fr-FR"/>
        </w:rPr>
        <w:t>’</w:t>
      </w:r>
      <w:r w:rsidR="007F3F28" w:rsidRPr="00807FBA">
        <w:rPr>
          <w:lang w:val="fr-FR"/>
        </w:rPr>
        <w:t>au moins 95 kPa</w:t>
      </w:r>
      <w:r w:rsidR="007F3F28" w:rsidRPr="00972D2B">
        <w:rPr>
          <w:strike/>
          <w:lang w:val="fr-FR"/>
        </w:rPr>
        <w:t xml:space="preserve"> et</w:t>
      </w:r>
      <w:r w:rsidR="007F3F28" w:rsidRPr="00807FBA">
        <w:rPr>
          <w:lang w:val="fr-FR"/>
        </w:rPr>
        <w:t xml:space="preserve">. </w:t>
      </w:r>
      <w:r w:rsidR="007F3F28" w:rsidRPr="008F4B64">
        <w:rPr>
          <w:u w:val="single"/>
          <w:lang w:val="fr-FR"/>
        </w:rPr>
        <w:t>Ce récipient ou cet emballage doit aussi être capable de résister</w:t>
      </w:r>
      <w:r w:rsidR="007F3F28" w:rsidRPr="00807FBA">
        <w:rPr>
          <w:lang w:val="fr-FR"/>
        </w:rPr>
        <w:t xml:space="preserve"> à des températures de -40 °C à +55 °C.</w:t>
      </w:r>
      <w:r>
        <w:rPr>
          <w:lang w:val="fr-FR"/>
        </w:rPr>
        <w:t> »</w:t>
      </w:r>
    </w:p>
    <w:p w:rsidR="000470EB" w:rsidRPr="00807FBA" w:rsidRDefault="007F3F28" w:rsidP="00807FBA">
      <w:pPr>
        <w:pStyle w:val="ParNoG"/>
        <w:tabs>
          <w:tab w:val="clear" w:pos="1701"/>
        </w:tabs>
        <w:rPr>
          <w:lang w:val="fr-FR"/>
        </w:rPr>
      </w:pPr>
      <w:r w:rsidRPr="00807FBA">
        <w:rPr>
          <w:lang w:val="fr-FR"/>
        </w:rPr>
        <w:t>Modifier le texte de la sous-section 6.3.5.2.1 comme suit (les suppressions apparaissent biffées et les éléments nouveaux soulignés)</w:t>
      </w:r>
      <w:r w:rsidR="003D3E83">
        <w:rPr>
          <w:lang w:val="fr-FR"/>
        </w:rPr>
        <w:t> :</w:t>
      </w:r>
      <w:r w:rsidRPr="00807FBA">
        <w:rPr>
          <w:lang w:val="fr-FR"/>
        </w:rPr>
        <w:t xml:space="preserve"> </w:t>
      </w:r>
    </w:p>
    <w:p w:rsidR="000470EB" w:rsidRPr="00807FBA" w:rsidRDefault="00972D2B" w:rsidP="00972D2B">
      <w:pPr>
        <w:pStyle w:val="SingleTxtG"/>
        <w:ind w:left="1701"/>
        <w:rPr>
          <w:lang w:val="fr-FR"/>
        </w:rPr>
      </w:pPr>
      <w:r>
        <w:rPr>
          <w:lang w:val="fr-FR"/>
        </w:rPr>
        <w:t>« </w:t>
      </w:r>
      <w:r w:rsidR="007F3F28" w:rsidRPr="00807FBA">
        <w:rPr>
          <w:lang w:val="fr-FR"/>
        </w:rPr>
        <w:t xml:space="preserve">6.3.5.2.1 </w:t>
      </w:r>
      <w:r w:rsidR="007F3F28" w:rsidRPr="00807FBA">
        <w:rPr>
          <w:lang w:val="fr-FR"/>
        </w:rPr>
        <w:tab/>
        <w:t>Il faut préparer des échantillons de chaque emballage comme pour un transport, si ce n</w:t>
      </w:r>
      <w:r w:rsidR="003D3E83">
        <w:rPr>
          <w:lang w:val="fr-FR"/>
        </w:rPr>
        <w:t>’</w:t>
      </w:r>
      <w:r w:rsidR="007F3F28" w:rsidRPr="00807FBA">
        <w:rPr>
          <w:lang w:val="fr-FR"/>
        </w:rPr>
        <w:t>est qu</w:t>
      </w:r>
      <w:r w:rsidR="003D3E83">
        <w:rPr>
          <w:lang w:val="fr-FR"/>
        </w:rPr>
        <w:t>’</w:t>
      </w:r>
      <w:r w:rsidR="007F3F28" w:rsidRPr="00807FBA">
        <w:rPr>
          <w:lang w:val="fr-FR"/>
        </w:rPr>
        <w:t>une matière liquide doit être remplacée par de l</w:t>
      </w:r>
      <w:r w:rsidR="003D3E83">
        <w:rPr>
          <w:lang w:val="fr-FR"/>
        </w:rPr>
        <w:t>’</w:t>
      </w:r>
      <w:r w:rsidR="007F3F28" w:rsidRPr="00807FBA">
        <w:rPr>
          <w:lang w:val="fr-FR"/>
        </w:rPr>
        <w:t xml:space="preserve">eau ou, quand un conditionnement à -18 °C est spécifié, par un mélange eau/antigel. </w:t>
      </w:r>
      <w:r w:rsidR="007F3F28" w:rsidRPr="00807FBA">
        <w:rPr>
          <w:u w:val="single"/>
          <w:lang w:val="fr-FR"/>
        </w:rPr>
        <w:t>Les matières ou objets infectieux solides doivent être remplacés par un équivalent possédant les mêmes propriétés physiques (masse, densité, etc.) et ne risquant pas de fausser les résultats des essais. Pour les emballages dont l</w:t>
      </w:r>
      <w:r w:rsidR="003D3E83">
        <w:rPr>
          <w:u w:val="single"/>
          <w:lang w:val="fr-FR"/>
        </w:rPr>
        <w:t>’</w:t>
      </w:r>
      <w:r w:rsidR="007F3F28" w:rsidRPr="00807FBA">
        <w:rPr>
          <w:u w:val="single"/>
          <w:lang w:val="fr-FR"/>
        </w:rPr>
        <w:t>emballage intérieur est destiné au transport des matières solides ou liquides, des essais distincts s</w:t>
      </w:r>
      <w:r w:rsidR="003D3E83">
        <w:rPr>
          <w:u w:val="single"/>
          <w:lang w:val="fr-FR"/>
        </w:rPr>
        <w:t>’</w:t>
      </w:r>
      <w:r w:rsidR="007F3F28" w:rsidRPr="00807FBA">
        <w:rPr>
          <w:u w:val="single"/>
          <w:lang w:val="fr-FR"/>
        </w:rPr>
        <w:t>imposent pour les contenus liquides et pour les contenus solides.</w:t>
      </w:r>
      <w:r w:rsidR="007F3F28" w:rsidRPr="00807FBA">
        <w:rPr>
          <w:lang w:val="fr-FR"/>
        </w:rPr>
        <w:t xml:space="preserve"> Chaque récipient primaire doit être rempli à </w:t>
      </w:r>
      <w:r w:rsidR="007F3F28" w:rsidRPr="003B6021">
        <w:rPr>
          <w:strike/>
          <w:lang w:val="fr-FR"/>
        </w:rPr>
        <w:t>au moins 98 % de sa contenance</w:t>
      </w:r>
      <w:r w:rsidR="007F3F28" w:rsidRPr="00807FBA">
        <w:rPr>
          <w:lang w:val="fr-FR"/>
        </w:rPr>
        <w:t xml:space="preserve"> </w:t>
      </w:r>
      <w:r w:rsidR="007F3F28" w:rsidRPr="00807FBA">
        <w:rPr>
          <w:u w:val="single"/>
          <w:lang w:val="fr-FR"/>
        </w:rPr>
        <w:t>sa masse brute maximale admissible</w:t>
      </w:r>
      <w:r w:rsidR="007F3F28" w:rsidRPr="00807FBA">
        <w:rPr>
          <w:lang w:val="fr-FR"/>
        </w:rPr>
        <w:t>.</w:t>
      </w:r>
      <w:r>
        <w:rPr>
          <w:lang w:val="fr-FR"/>
        </w:rPr>
        <w:t> ».</w:t>
      </w:r>
    </w:p>
    <w:p w:rsidR="000470EB" w:rsidRPr="00807FBA" w:rsidRDefault="007F3F28" w:rsidP="00972D2B">
      <w:pPr>
        <w:pStyle w:val="ParNoG"/>
        <w:keepNext/>
        <w:keepLines/>
        <w:tabs>
          <w:tab w:val="clear" w:pos="1701"/>
        </w:tabs>
        <w:rPr>
          <w:lang w:val="fr-FR"/>
        </w:rPr>
      </w:pPr>
      <w:r w:rsidRPr="00807FBA">
        <w:rPr>
          <w:lang w:val="fr-FR"/>
        </w:rPr>
        <w:lastRenderedPageBreak/>
        <w:t>Modifier comme suit les dispositions relatives au marquage</w:t>
      </w:r>
      <w:r w:rsidR="003D3E83">
        <w:rPr>
          <w:lang w:val="fr-FR"/>
        </w:rPr>
        <w:t> </w:t>
      </w:r>
      <w:r w:rsidRPr="00807FBA">
        <w:rPr>
          <w:lang w:val="fr-FR"/>
        </w:rPr>
        <w:t>:</w:t>
      </w:r>
      <w:r w:rsidR="003D3B39">
        <w:rPr>
          <w:lang w:val="fr-FR"/>
        </w:rPr>
        <w:t> </w:t>
      </w:r>
    </w:p>
    <w:p w:rsidR="000470EB" w:rsidRPr="00807FBA" w:rsidRDefault="007F3F28" w:rsidP="00972D2B">
      <w:pPr>
        <w:pStyle w:val="SingleTxtG"/>
        <w:keepNext/>
        <w:keepLines/>
        <w:ind w:left="1701"/>
        <w:rPr>
          <w:lang w:val="fr-FR"/>
        </w:rPr>
      </w:pPr>
      <w:r w:rsidRPr="00807FBA">
        <w:rPr>
          <w:lang w:val="fr-FR"/>
        </w:rPr>
        <w:t>Insérer deux nouveaux alinéas 6.3.4.2 d) et e)</w:t>
      </w:r>
      <w:r w:rsidR="003D3E83">
        <w:rPr>
          <w:lang w:val="fr-FR"/>
        </w:rPr>
        <w:t> :</w:t>
      </w:r>
    </w:p>
    <w:p w:rsidR="000470EB" w:rsidRPr="00807FBA" w:rsidRDefault="00972D2B" w:rsidP="00972D2B">
      <w:pPr>
        <w:pStyle w:val="SingleTxtG"/>
        <w:ind w:left="1701"/>
        <w:rPr>
          <w:lang w:val="fr-FR"/>
        </w:rPr>
      </w:pPr>
      <w:r>
        <w:rPr>
          <w:lang w:val="fr-FR"/>
        </w:rPr>
        <w:t>« </w:t>
      </w:r>
      <w:r w:rsidR="007F3F28" w:rsidRPr="00807FBA">
        <w:rPr>
          <w:lang w:val="fr-FR"/>
        </w:rPr>
        <w:t xml:space="preserve">d) </w:t>
      </w:r>
      <w:r w:rsidR="007F3F28" w:rsidRPr="00807FBA">
        <w:rPr>
          <w:lang w:val="fr-FR"/>
        </w:rPr>
        <w:tab/>
        <w:t>Pour les emballages testés pour les matières infectieuses solides uniquement, la masse brute maximale en kilogrammes</w:t>
      </w:r>
      <w:r w:rsidR="003D3E83">
        <w:rPr>
          <w:lang w:val="fr-FR"/>
        </w:rPr>
        <w:t> ;</w:t>
      </w:r>
    </w:p>
    <w:p w:rsidR="000470EB" w:rsidRPr="00807FBA" w:rsidRDefault="00972D2B" w:rsidP="00972D2B">
      <w:pPr>
        <w:pStyle w:val="SingleTxtG"/>
        <w:ind w:left="1701"/>
        <w:rPr>
          <w:lang w:val="fr-FR"/>
        </w:rPr>
      </w:pPr>
      <w:r>
        <w:rPr>
          <w:lang w:val="fr-FR"/>
        </w:rPr>
        <w:t>e)</w:t>
      </w:r>
      <w:r w:rsidR="007F3F28" w:rsidRPr="00807FBA">
        <w:rPr>
          <w:lang w:val="fr-FR"/>
        </w:rPr>
        <w:tab/>
        <w:t xml:space="preserve">Pour les emballages testés pour les matières infectieuses solides uniquement, la lettre </w:t>
      </w:r>
      <w:r w:rsidR="003D3B39">
        <w:t>“</w:t>
      </w:r>
      <w:r w:rsidR="007F3F28" w:rsidRPr="00807FBA">
        <w:rPr>
          <w:lang w:val="fr-FR"/>
        </w:rPr>
        <w:t>S</w:t>
      </w:r>
      <w:r w:rsidR="003D3B39" w:rsidRPr="0081774C">
        <w:rPr>
          <w:lang w:bidi="hi-IN"/>
        </w:rPr>
        <w:t>”</w:t>
      </w:r>
      <w:r w:rsidR="003D3E83">
        <w:rPr>
          <w:lang w:val="fr-FR"/>
        </w:rPr>
        <w:t> ;</w:t>
      </w:r>
      <w:r>
        <w:rPr>
          <w:lang w:val="fr-FR"/>
        </w:rPr>
        <w:t> »</w:t>
      </w:r>
      <w:r w:rsidR="003B6021">
        <w:rPr>
          <w:lang w:val="fr-FR"/>
        </w:rPr>
        <w:t>.</w:t>
      </w:r>
    </w:p>
    <w:p w:rsidR="000470EB" w:rsidRPr="00807FBA" w:rsidRDefault="007F3F28" w:rsidP="00972D2B">
      <w:pPr>
        <w:pStyle w:val="SingleTxtG"/>
        <w:ind w:left="1701"/>
        <w:rPr>
          <w:lang w:val="fr-FR"/>
        </w:rPr>
      </w:pPr>
      <w:r w:rsidRPr="00807FBA">
        <w:rPr>
          <w:lang w:val="fr-FR"/>
        </w:rPr>
        <w:t>Les alinéas d) à g) du paragraphe 6.3.4.2 deviennent les alinéas f) à i).</w:t>
      </w:r>
    </w:p>
    <w:p w:rsidR="000470EB" w:rsidRPr="00807FBA" w:rsidRDefault="007F3F28" w:rsidP="00972D2B">
      <w:pPr>
        <w:pStyle w:val="SingleTxtG"/>
        <w:ind w:left="1701"/>
        <w:rPr>
          <w:lang w:val="fr-FR"/>
        </w:rPr>
      </w:pPr>
      <w:r w:rsidRPr="00807FBA">
        <w:rPr>
          <w:lang w:val="fr-FR"/>
        </w:rPr>
        <w:t xml:space="preserve">Dans la sous-section 6.3.4.3, remplacer </w:t>
      </w:r>
      <w:r w:rsidR="003B6021">
        <w:rPr>
          <w:lang w:val="fr-FR"/>
        </w:rPr>
        <w:t>« </w:t>
      </w:r>
      <w:r w:rsidRPr="00807FBA">
        <w:rPr>
          <w:lang w:val="fr-FR"/>
        </w:rPr>
        <w:t>alinéas a) à g) du 6.3.4.2</w:t>
      </w:r>
      <w:r w:rsidR="003B6021">
        <w:rPr>
          <w:lang w:val="fr-FR"/>
        </w:rPr>
        <w:t> »</w:t>
      </w:r>
      <w:r w:rsidRPr="00807FBA">
        <w:rPr>
          <w:lang w:val="fr-FR"/>
        </w:rPr>
        <w:t xml:space="preserve"> par </w:t>
      </w:r>
      <w:r w:rsidR="003B6021">
        <w:rPr>
          <w:lang w:val="fr-FR"/>
        </w:rPr>
        <w:t>« </w:t>
      </w:r>
      <w:r w:rsidRPr="00807FBA">
        <w:rPr>
          <w:lang w:val="fr-FR"/>
        </w:rPr>
        <w:t>alinéas a) à i) du 6.3.4.2</w:t>
      </w:r>
      <w:r w:rsidR="003B6021">
        <w:rPr>
          <w:lang w:val="fr-FR"/>
        </w:rPr>
        <w:t> »</w:t>
      </w:r>
      <w:r w:rsidRPr="00807FBA">
        <w:rPr>
          <w:lang w:val="fr-FR"/>
        </w:rPr>
        <w:t>.</w:t>
      </w:r>
    </w:p>
    <w:p w:rsidR="000470EB" w:rsidRPr="00807FBA" w:rsidRDefault="007F3F28" w:rsidP="00972D2B">
      <w:pPr>
        <w:pStyle w:val="SingleTxtG"/>
        <w:ind w:left="1701"/>
        <w:rPr>
          <w:lang w:val="fr-FR"/>
        </w:rPr>
      </w:pPr>
      <w:r w:rsidRPr="00807FBA">
        <w:rPr>
          <w:lang w:val="fr-FR"/>
        </w:rPr>
        <w:t>Modifier comme suit la sous-section 6.3.4.4</w:t>
      </w:r>
      <w:r w:rsidR="003D3E83">
        <w:rPr>
          <w:lang w:val="fr-FR"/>
        </w:rPr>
        <w:t> :</w:t>
      </w:r>
    </w:p>
    <w:p w:rsidR="000470EB" w:rsidRPr="00807FBA" w:rsidRDefault="007F3F28" w:rsidP="008F4B64">
      <w:pPr>
        <w:pStyle w:val="SingleTxtG"/>
        <w:tabs>
          <w:tab w:val="left" w:pos="2835"/>
        </w:tabs>
        <w:ind w:left="1701"/>
        <w:rPr>
          <w:lang w:val="fr-FR"/>
        </w:rPr>
      </w:pPr>
      <w:r w:rsidRPr="00807FBA">
        <w:rPr>
          <w:lang w:val="fr-FR"/>
        </w:rPr>
        <w:t>6.3.4.4</w:t>
      </w:r>
      <w:r w:rsidR="008F4B64">
        <w:rPr>
          <w:lang w:val="fr-FR"/>
        </w:rPr>
        <w:tab/>
      </w:r>
      <w:r w:rsidRPr="00807FBA">
        <w:rPr>
          <w:lang w:val="fr-FR"/>
        </w:rPr>
        <w:t>Exemples de marques</w:t>
      </w:r>
    </w:p>
    <w:p w:rsidR="000470EB" w:rsidRPr="00807FBA" w:rsidRDefault="007F3F28" w:rsidP="00972D2B">
      <w:pPr>
        <w:pStyle w:val="SingleTxtG"/>
        <w:ind w:left="1701"/>
        <w:rPr>
          <w:lang w:val="fr-FR"/>
        </w:rPr>
      </w:pPr>
      <w:r w:rsidRPr="00807FBA">
        <w:rPr>
          <w:lang w:val="fr-FR"/>
        </w:rPr>
        <w:t>4G/CLASSE 6.2/06</w:t>
      </w:r>
      <w:r w:rsidRPr="00807FBA">
        <w:rPr>
          <w:lang w:val="fr-FR"/>
        </w:rPr>
        <w:tab/>
      </w:r>
      <w:r w:rsidRPr="00807FBA">
        <w:rPr>
          <w:lang w:val="fr-FR"/>
        </w:rPr>
        <w:tab/>
      </w:r>
      <w:r w:rsidRPr="00807FBA">
        <w:rPr>
          <w:lang w:val="fr-FR"/>
        </w:rPr>
        <w:tab/>
        <w:t xml:space="preserve">selon 6.3.4.2 a), b), c) et </w:t>
      </w:r>
      <w:r w:rsidRPr="00807FBA">
        <w:rPr>
          <w:u w:val="single"/>
          <w:lang w:val="fr-FR"/>
        </w:rPr>
        <w:t>f)</w:t>
      </w:r>
    </w:p>
    <w:p w:rsidR="000470EB" w:rsidRPr="00807FBA" w:rsidRDefault="007F3F28" w:rsidP="00972D2B">
      <w:pPr>
        <w:pStyle w:val="SingleTxtG"/>
        <w:ind w:left="1701"/>
        <w:rPr>
          <w:lang w:val="fr-FR"/>
        </w:rPr>
      </w:pPr>
      <w:r w:rsidRPr="00807FBA">
        <w:rPr>
          <w:lang w:val="fr-FR"/>
        </w:rPr>
        <w:t>S/SP-9989-ERIKSSON</w:t>
      </w:r>
      <w:r w:rsidRPr="00807FBA">
        <w:rPr>
          <w:lang w:val="fr-FR"/>
        </w:rPr>
        <w:tab/>
      </w:r>
      <w:r w:rsidRPr="00807FBA">
        <w:rPr>
          <w:lang w:val="fr-FR"/>
        </w:rPr>
        <w:tab/>
        <w:t xml:space="preserve">selon 6.3.4.2 </w:t>
      </w:r>
      <w:r w:rsidRPr="00807FBA">
        <w:rPr>
          <w:u w:val="single"/>
          <w:lang w:val="fr-FR"/>
        </w:rPr>
        <w:t>g) et h)</w:t>
      </w:r>
    </w:p>
    <w:p w:rsidR="000470EB" w:rsidRPr="00807FBA" w:rsidRDefault="007F3F28" w:rsidP="00972D2B">
      <w:pPr>
        <w:pStyle w:val="SingleTxtG"/>
        <w:ind w:left="1701"/>
        <w:rPr>
          <w:u w:val="single"/>
          <w:lang w:val="fr-FR"/>
        </w:rPr>
      </w:pPr>
      <w:r w:rsidRPr="00807FBA">
        <w:rPr>
          <w:u w:val="single"/>
          <w:lang w:val="fr-FR"/>
        </w:rPr>
        <w:t>4G/CLASSE 6.2/15/S/06</w:t>
      </w:r>
      <w:r w:rsidRPr="00807FBA">
        <w:rPr>
          <w:u w:val="single"/>
          <w:lang w:val="fr-FR"/>
        </w:rPr>
        <w:tab/>
      </w:r>
      <w:r w:rsidRPr="00807FBA">
        <w:rPr>
          <w:u w:val="single"/>
          <w:lang w:val="fr-FR"/>
        </w:rPr>
        <w:tab/>
        <w:t>selon 6.3.4.2 a), b), c), d) et e)</w:t>
      </w:r>
    </w:p>
    <w:p w:rsidR="000470EB" w:rsidRPr="00807FBA" w:rsidRDefault="007F3F28" w:rsidP="00972D2B">
      <w:pPr>
        <w:pStyle w:val="SingleTxtG"/>
        <w:ind w:left="1701"/>
        <w:rPr>
          <w:u w:val="single"/>
          <w:lang w:val="fr-FR"/>
        </w:rPr>
      </w:pPr>
      <w:r w:rsidRPr="00807FBA">
        <w:rPr>
          <w:u w:val="single"/>
          <w:lang w:val="fr-FR"/>
        </w:rPr>
        <w:t>S/SP-9989-ERIKSSON</w:t>
      </w:r>
      <w:r w:rsidRPr="00807FBA">
        <w:rPr>
          <w:u w:val="single"/>
          <w:lang w:val="fr-FR"/>
        </w:rPr>
        <w:tab/>
      </w:r>
      <w:r w:rsidRPr="00807FBA">
        <w:rPr>
          <w:u w:val="single"/>
          <w:lang w:val="fr-FR"/>
        </w:rPr>
        <w:tab/>
        <w:t>selon 6.3.4.2 g) et h)</w:t>
      </w:r>
    </w:p>
    <w:p w:rsidR="00446FE5" w:rsidRDefault="007F3F28" w:rsidP="00972D2B">
      <w:pPr>
        <w:pStyle w:val="SingleTxtG"/>
        <w:ind w:left="1701"/>
        <w:rPr>
          <w:lang w:val="fr-FR"/>
        </w:rPr>
      </w:pPr>
      <w:r w:rsidRPr="00807FBA">
        <w:rPr>
          <w:lang w:val="fr-FR"/>
        </w:rPr>
        <w:t>À l</w:t>
      </w:r>
      <w:r w:rsidR="003D3E83">
        <w:rPr>
          <w:lang w:val="fr-FR"/>
        </w:rPr>
        <w:t>’</w:t>
      </w:r>
      <w:r w:rsidRPr="00807FBA">
        <w:rPr>
          <w:lang w:val="fr-FR"/>
        </w:rPr>
        <w:t xml:space="preserve">alinéa 6.3.5.1.6 g), remplacer </w:t>
      </w:r>
      <w:r w:rsidR="003B6021">
        <w:rPr>
          <w:lang w:val="fr-FR"/>
        </w:rPr>
        <w:t>« </w:t>
      </w:r>
      <w:r w:rsidRPr="00807FBA">
        <w:rPr>
          <w:lang w:val="fr-FR"/>
        </w:rPr>
        <w:t>6.3.4.2 a) à f)</w:t>
      </w:r>
      <w:r w:rsidR="003B6021">
        <w:rPr>
          <w:lang w:val="fr-FR"/>
        </w:rPr>
        <w:t> »</w:t>
      </w:r>
      <w:r w:rsidRPr="00807FBA">
        <w:rPr>
          <w:lang w:val="fr-FR"/>
        </w:rPr>
        <w:t xml:space="preserve"> par </w:t>
      </w:r>
      <w:r w:rsidR="003B6021">
        <w:rPr>
          <w:lang w:val="fr-FR"/>
        </w:rPr>
        <w:t>« </w:t>
      </w:r>
      <w:r w:rsidRPr="00807FBA">
        <w:rPr>
          <w:lang w:val="fr-FR"/>
        </w:rPr>
        <w:t>6.3.4.2 a) à h)</w:t>
      </w:r>
      <w:r w:rsidR="003B6021">
        <w:rPr>
          <w:lang w:val="fr-FR"/>
        </w:rPr>
        <w:t> »</w:t>
      </w:r>
      <w:r w:rsidRPr="00807FBA">
        <w:rPr>
          <w:lang w:val="fr-FR"/>
        </w:rPr>
        <w:t xml:space="preserve"> et </w:t>
      </w:r>
      <w:r w:rsidR="003B6021">
        <w:rPr>
          <w:lang w:val="fr-FR"/>
        </w:rPr>
        <w:t>« </w:t>
      </w:r>
      <w:r w:rsidRPr="00807FBA">
        <w:rPr>
          <w:lang w:val="fr-FR"/>
        </w:rPr>
        <w:t>6.3.4.2 g)</w:t>
      </w:r>
      <w:r w:rsidR="003B6021">
        <w:rPr>
          <w:lang w:val="fr-FR"/>
        </w:rPr>
        <w:t> »</w:t>
      </w:r>
      <w:r w:rsidRPr="00807FBA">
        <w:rPr>
          <w:lang w:val="fr-FR"/>
        </w:rPr>
        <w:t xml:space="preserve"> par </w:t>
      </w:r>
      <w:r w:rsidR="003B6021">
        <w:rPr>
          <w:lang w:val="fr-FR"/>
        </w:rPr>
        <w:t>« </w:t>
      </w:r>
      <w:r w:rsidRPr="00807FBA">
        <w:rPr>
          <w:lang w:val="fr-FR"/>
        </w:rPr>
        <w:t>6.3.4.2 h)</w:t>
      </w:r>
      <w:r w:rsidR="003B6021">
        <w:rPr>
          <w:lang w:val="fr-FR"/>
        </w:rPr>
        <w:t> »</w:t>
      </w:r>
      <w:r w:rsidRPr="00807FBA">
        <w:rPr>
          <w:lang w:val="fr-FR"/>
        </w:rPr>
        <w:t>.</w:t>
      </w:r>
    </w:p>
    <w:p w:rsidR="00972D2B" w:rsidRPr="00972D2B" w:rsidRDefault="00972D2B" w:rsidP="00972D2B">
      <w:pPr>
        <w:pStyle w:val="SingleTxtG"/>
        <w:spacing w:before="240" w:after="0"/>
        <w:jc w:val="center"/>
        <w:rPr>
          <w:u w:val="single"/>
        </w:rPr>
      </w:pPr>
      <w:r>
        <w:rPr>
          <w:u w:val="single"/>
        </w:rPr>
        <w:tab/>
      </w:r>
      <w:r>
        <w:rPr>
          <w:u w:val="single"/>
        </w:rPr>
        <w:tab/>
      </w:r>
      <w:r>
        <w:rPr>
          <w:u w:val="single"/>
        </w:rPr>
        <w:tab/>
      </w:r>
    </w:p>
    <w:sectPr w:rsidR="00972D2B" w:rsidRPr="00972D2B" w:rsidSect="00807FB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05" w:rsidRDefault="00706E05" w:rsidP="00F95C08">
      <w:pPr>
        <w:spacing w:line="240" w:lineRule="auto"/>
      </w:pPr>
    </w:p>
  </w:endnote>
  <w:endnote w:type="continuationSeparator" w:id="0">
    <w:p w:rsidR="00706E05" w:rsidRPr="00AC3823" w:rsidRDefault="00706E05" w:rsidP="00AC3823">
      <w:pPr>
        <w:pStyle w:val="Footer"/>
      </w:pPr>
    </w:p>
  </w:endnote>
  <w:endnote w:type="continuationNotice" w:id="1">
    <w:p w:rsidR="00706E05" w:rsidRDefault="00706E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BA" w:rsidRPr="00807FBA" w:rsidRDefault="00807FBA" w:rsidP="00807FBA">
    <w:pPr>
      <w:pStyle w:val="Footer"/>
      <w:tabs>
        <w:tab w:val="right" w:pos="9638"/>
      </w:tabs>
    </w:pPr>
    <w:r w:rsidRPr="00807FBA">
      <w:rPr>
        <w:b/>
        <w:sz w:val="18"/>
      </w:rPr>
      <w:fldChar w:fldCharType="begin"/>
    </w:r>
    <w:r w:rsidRPr="00807FBA">
      <w:rPr>
        <w:b/>
        <w:sz w:val="18"/>
      </w:rPr>
      <w:instrText xml:space="preserve"> PAGE  \* MERGEFORMAT </w:instrText>
    </w:r>
    <w:r w:rsidRPr="00807FBA">
      <w:rPr>
        <w:b/>
        <w:sz w:val="18"/>
      </w:rPr>
      <w:fldChar w:fldCharType="separate"/>
    </w:r>
    <w:r w:rsidR="00107064">
      <w:rPr>
        <w:b/>
        <w:noProof/>
        <w:sz w:val="18"/>
      </w:rPr>
      <w:t>2</w:t>
    </w:r>
    <w:r w:rsidRPr="00807FBA">
      <w:rPr>
        <w:b/>
        <w:sz w:val="18"/>
      </w:rPr>
      <w:fldChar w:fldCharType="end"/>
    </w:r>
    <w:r>
      <w:rPr>
        <w:b/>
        <w:sz w:val="18"/>
      </w:rPr>
      <w:tab/>
    </w:r>
    <w:r>
      <w:t>GE.16-05042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BA" w:rsidRPr="00807FBA" w:rsidRDefault="00807FBA" w:rsidP="00807FBA">
    <w:pPr>
      <w:pStyle w:val="Footer"/>
      <w:tabs>
        <w:tab w:val="right" w:pos="9638"/>
      </w:tabs>
      <w:rPr>
        <w:b/>
        <w:sz w:val="18"/>
      </w:rPr>
    </w:pPr>
    <w:r>
      <w:t>GE.16-05042</w:t>
    </w:r>
    <w:r>
      <w:tab/>
    </w:r>
    <w:r w:rsidRPr="00807FBA">
      <w:rPr>
        <w:b/>
        <w:sz w:val="18"/>
      </w:rPr>
      <w:fldChar w:fldCharType="begin"/>
    </w:r>
    <w:r w:rsidRPr="00807FBA">
      <w:rPr>
        <w:b/>
        <w:sz w:val="18"/>
      </w:rPr>
      <w:instrText xml:space="preserve"> PAGE  \* MERGEFORMAT </w:instrText>
    </w:r>
    <w:r w:rsidRPr="00807FBA">
      <w:rPr>
        <w:b/>
        <w:sz w:val="18"/>
      </w:rPr>
      <w:fldChar w:fldCharType="separate"/>
    </w:r>
    <w:r w:rsidR="00107064">
      <w:rPr>
        <w:b/>
        <w:noProof/>
        <w:sz w:val="18"/>
      </w:rPr>
      <w:t>3</w:t>
    </w:r>
    <w:r w:rsidRPr="00807FB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807FBA" w:rsidRDefault="00807FBA" w:rsidP="00807FBA">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5FC3B524" wp14:editId="72091FC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16-05042  (F)</w:t>
    </w:r>
    <w:r w:rsidR="003B6021">
      <w:rPr>
        <w:sz w:val="20"/>
      </w:rPr>
      <w:t xml:space="preserve">    090516    090516</w:t>
    </w:r>
    <w:r>
      <w:rPr>
        <w:sz w:val="20"/>
      </w:rPr>
      <w:br/>
    </w:r>
    <w:r w:rsidRPr="00807FBA">
      <w:rPr>
        <w:rFonts w:ascii="C39T30Lfz" w:hAnsi="C39T30Lfz"/>
        <w:sz w:val="56"/>
      </w:rPr>
      <w:t></w:t>
    </w:r>
    <w:r w:rsidRPr="00807FBA">
      <w:rPr>
        <w:rFonts w:ascii="C39T30Lfz" w:hAnsi="C39T30Lfz"/>
        <w:sz w:val="56"/>
      </w:rPr>
      <w:t></w:t>
    </w:r>
    <w:r w:rsidRPr="00807FBA">
      <w:rPr>
        <w:rFonts w:ascii="C39T30Lfz" w:hAnsi="C39T30Lfz"/>
        <w:sz w:val="56"/>
      </w:rPr>
      <w:t></w:t>
    </w:r>
    <w:r w:rsidRPr="00807FBA">
      <w:rPr>
        <w:rFonts w:ascii="C39T30Lfz" w:hAnsi="C39T30Lfz"/>
        <w:sz w:val="56"/>
      </w:rPr>
      <w:t></w:t>
    </w:r>
    <w:r w:rsidRPr="00807FBA">
      <w:rPr>
        <w:rFonts w:ascii="C39T30Lfz" w:hAnsi="C39T30Lfz"/>
        <w:sz w:val="56"/>
      </w:rPr>
      <w:t></w:t>
    </w:r>
    <w:r w:rsidRPr="00807FBA">
      <w:rPr>
        <w:rFonts w:ascii="C39T30Lfz" w:hAnsi="C39T30Lfz"/>
        <w:sz w:val="56"/>
      </w:rPr>
      <w:t></w:t>
    </w:r>
    <w:r w:rsidRPr="00807FBA">
      <w:rPr>
        <w:rFonts w:ascii="C39T30Lfz" w:hAnsi="C39T30Lfz"/>
        <w:sz w:val="56"/>
      </w:rPr>
      <w:t></w:t>
    </w:r>
    <w:r w:rsidRPr="00807FBA">
      <w:rPr>
        <w:rFonts w:ascii="C39T30Lfz" w:hAnsi="C39T30Lfz"/>
        <w:sz w:val="56"/>
      </w:rPr>
      <w:t></w:t>
    </w:r>
    <w:r w:rsidRPr="00807FBA">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05" w:rsidRPr="00AC3823" w:rsidRDefault="00706E05" w:rsidP="00AC3823">
      <w:pPr>
        <w:pStyle w:val="Footer"/>
        <w:tabs>
          <w:tab w:val="right" w:pos="2155"/>
        </w:tabs>
        <w:spacing w:after="80" w:line="240" w:lineRule="atLeast"/>
        <w:ind w:left="680"/>
        <w:rPr>
          <w:u w:val="single"/>
        </w:rPr>
      </w:pPr>
      <w:r>
        <w:rPr>
          <w:u w:val="single"/>
        </w:rPr>
        <w:tab/>
      </w:r>
    </w:p>
  </w:footnote>
  <w:footnote w:type="continuationSeparator" w:id="0">
    <w:p w:rsidR="00706E05" w:rsidRPr="00AC3823" w:rsidRDefault="00706E05" w:rsidP="00AC3823">
      <w:pPr>
        <w:pStyle w:val="Footer"/>
        <w:tabs>
          <w:tab w:val="right" w:pos="2155"/>
        </w:tabs>
        <w:spacing w:after="80" w:line="240" w:lineRule="atLeast"/>
        <w:ind w:left="680"/>
        <w:rPr>
          <w:u w:val="single"/>
        </w:rPr>
      </w:pPr>
      <w:r>
        <w:rPr>
          <w:u w:val="single"/>
        </w:rPr>
        <w:tab/>
      </w:r>
    </w:p>
  </w:footnote>
  <w:footnote w:type="continuationNotice" w:id="1">
    <w:p w:rsidR="00706E05" w:rsidRPr="00AC3823" w:rsidRDefault="00706E05">
      <w:pPr>
        <w:spacing w:line="240" w:lineRule="auto"/>
        <w:rPr>
          <w:sz w:val="2"/>
          <w:szCs w:val="2"/>
        </w:rPr>
      </w:pPr>
    </w:p>
  </w:footnote>
  <w:footnote w:id="2">
    <w:p w:rsidR="00807FBA" w:rsidRPr="005C57E1" w:rsidRDefault="00972D2B" w:rsidP="00972D2B">
      <w:pPr>
        <w:pStyle w:val="FootnoteText"/>
      </w:pPr>
      <w:r>
        <w:tab/>
      </w:r>
      <w:r w:rsidR="00807FBA" w:rsidRPr="00972D2B">
        <w:rPr>
          <w:rStyle w:val="FootnoteReference"/>
        </w:rPr>
        <w:footnoteRef/>
      </w:r>
      <w:r>
        <w:tab/>
      </w:r>
      <w:r w:rsidR="00807FBA" w:rsidRPr="000470EB">
        <w:t>Conformément au programme de travail du Sous-Comité pour la période 2015-2016 tel qu’approuvé par le Comité à sa septième session (voir ST/SG/AC.10/C.3/92, par.</w:t>
      </w:r>
      <w:r w:rsidR="003D3E83">
        <w:t> </w:t>
      </w:r>
      <w:r w:rsidR="00807FBA" w:rsidRPr="000470EB">
        <w:t>95, et ST/SG/AC.10/42, par.</w:t>
      </w:r>
      <w:r w:rsidR="003D3E83">
        <w:t> </w:t>
      </w:r>
      <w:r w:rsidR="00807FBA" w:rsidRPr="000470EB">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BA" w:rsidRPr="00807FBA" w:rsidRDefault="00807FBA">
    <w:pPr>
      <w:pStyle w:val="Header"/>
    </w:pPr>
    <w:r>
      <w:t>ST/SG/AC.10/C.3/2016/9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BA" w:rsidRPr="00807FBA" w:rsidRDefault="00807FBA" w:rsidP="00807FBA">
    <w:pPr>
      <w:pStyle w:val="Header"/>
      <w:jc w:val="right"/>
    </w:pPr>
    <w:r>
      <w:t>ST/SG/AC.10/C.3/2016/9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05"/>
    <w:rsid w:val="000114D3"/>
    <w:rsid w:val="00017F94"/>
    <w:rsid w:val="00023842"/>
    <w:rsid w:val="000305D3"/>
    <w:rsid w:val="000334F9"/>
    <w:rsid w:val="0007796D"/>
    <w:rsid w:val="000B7790"/>
    <w:rsid w:val="00107064"/>
    <w:rsid w:val="00111F2F"/>
    <w:rsid w:val="00132EA9"/>
    <w:rsid w:val="0014365E"/>
    <w:rsid w:val="00176178"/>
    <w:rsid w:val="001F525A"/>
    <w:rsid w:val="00223272"/>
    <w:rsid w:val="0024779E"/>
    <w:rsid w:val="00283190"/>
    <w:rsid w:val="002832AC"/>
    <w:rsid w:val="002D7C93"/>
    <w:rsid w:val="003B6021"/>
    <w:rsid w:val="003D3B39"/>
    <w:rsid w:val="003D3E83"/>
    <w:rsid w:val="00441C3B"/>
    <w:rsid w:val="00446FE5"/>
    <w:rsid w:val="00452396"/>
    <w:rsid w:val="004B5C65"/>
    <w:rsid w:val="004E468C"/>
    <w:rsid w:val="005505B7"/>
    <w:rsid w:val="00573BE5"/>
    <w:rsid w:val="00586ED3"/>
    <w:rsid w:val="00596AA9"/>
    <w:rsid w:val="0068456F"/>
    <w:rsid w:val="00706E05"/>
    <w:rsid w:val="0071601D"/>
    <w:rsid w:val="007A62E6"/>
    <w:rsid w:val="007F3F28"/>
    <w:rsid w:val="0080684C"/>
    <w:rsid w:val="00807FBA"/>
    <w:rsid w:val="00871C75"/>
    <w:rsid w:val="008776DC"/>
    <w:rsid w:val="008F4B64"/>
    <w:rsid w:val="009705C8"/>
    <w:rsid w:val="00972D2B"/>
    <w:rsid w:val="009C1CF4"/>
    <w:rsid w:val="00A30353"/>
    <w:rsid w:val="00AC3823"/>
    <w:rsid w:val="00AE323C"/>
    <w:rsid w:val="00B00181"/>
    <w:rsid w:val="00B00B0D"/>
    <w:rsid w:val="00B765F7"/>
    <w:rsid w:val="00BA0CA9"/>
    <w:rsid w:val="00C02897"/>
    <w:rsid w:val="00D3439C"/>
    <w:rsid w:val="00DB1831"/>
    <w:rsid w:val="00DD3BFD"/>
    <w:rsid w:val="00DF6678"/>
    <w:rsid w:val="00E56476"/>
    <w:rsid w:val="00EF2E22"/>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5131</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ST/SG/AC.10/C.3/2016/9</vt:lpstr>
      <vt:lpstr>ST/SG/AC.10/C.3/2016/9</vt:lpstr>
    </vt:vector>
  </TitlesOfParts>
  <Company>DCM</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ST/SG/AC.10/C.3/2016/9</dc:title>
  <dc:creator>Beysard Pascale</dc:creator>
  <cp:lastModifiedBy>Laurence Berthet</cp:lastModifiedBy>
  <cp:revision>2</cp:revision>
  <cp:lastPrinted>2016-05-09T09:03:00Z</cp:lastPrinted>
  <dcterms:created xsi:type="dcterms:W3CDTF">2016-05-09T13:43:00Z</dcterms:created>
  <dcterms:modified xsi:type="dcterms:W3CDTF">2016-05-09T13:43:00Z</dcterms:modified>
</cp:coreProperties>
</file>