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C14945" w:rsidRPr="003F006C" w:rsidTr="00C14945">
        <w:trPr>
          <w:trHeight w:val="851"/>
        </w:trPr>
        <w:tc>
          <w:tcPr>
            <w:tcW w:w="1259" w:type="dxa"/>
            <w:tcBorders>
              <w:top w:val="nil"/>
              <w:left w:val="nil"/>
              <w:bottom w:val="single" w:sz="4" w:space="0" w:color="auto"/>
              <w:right w:val="nil"/>
            </w:tcBorders>
            <w:shd w:val="clear" w:color="auto" w:fill="auto"/>
          </w:tcPr>
          <w:p w:rsidR="00C14945" w:rsidRPr="003F006C" w:rsidRDefault="00C14945" w:rsidP="00C14945">
            <w:pPr>
              <w:spacing w:after="80" w:line="340" w:lineRule="exact"/>
            </w:pPr>
          </w:p>
        </w:tc>
        <w:tc>
          <w:tcPr>
            <w:tcW w:w="2236" w:type="dxa"/>
            <w:tcBorders>
              <w:top w:val="nil"/>
              <w:left w:val="nil"/>
              <w:bottom w:val="single" w:sz="4" w:space="0" w:color="auto"/>
              <w:right w:val="nil"/>
            </w:tcBorders>
            <w:shd w:val="clear" w:color="auto" w:fill="auto"/>
            <w:vAlign w:val="bottom"/>
          </w:tcPr>
          <w:p w:rsidR="00C14945" w:rsidRPr="003F006C" w:rsidRDefault="00C14945" w:rsidP="00C14945">
            <w:pPr>
              <w:spacing w:after="80" w:line="340" w:lineRule="exact"/>
              <w:rPr>
                <w:sz w:val="28"/>
                <w:szCs w:val="28"/>
              </w:rPr>
            </w:pPr>
            <w:r w:rsidRPr="003F006C">
              <w:rPr>
                <w:sz w:val="28"/>
                <w:szCs w:val="28"/>
              </w:rPr>
              <w:t>United Nations</w:t>
            </w:r>
          </w:p>
        </w:tc>
        <w:tc>
          <w:tcPr>
            <w:tcW w:w="6144" w:type="dxa"/>
            <w:gridSpan w:val="2"/>
            <w:tcBorders>
              <w:top w:val="nil"/>
              <w:left w:val="nil"/>
              <w:bottom w:val="single" w:sz="4" w:space="0" w:color="auto"/>
              <w:right w:val="nil"/>
            </w:tcBorders>
            <w:shd w:val="clear" w:color="auto" w:fill="auto"/>
            <w:vAlign w:val="bottom"/>
          </w:tcPr>
          <w:p w:rsidR="00C14945" w:rsidRPr="003F006C" w:rsidRDefault="00C14945" w:rsidP="005B1970">
            <w:pPr>
              <w:suppressAutoHyphens w:val="0"/>
              <w:spacing w:after="20"/>
              <w:jc w:val="right"/>
            </w:pPr>
            <w:r w:rsidRPr="003F006C">
              <w:rPr>
                <w:sz w:val="40"/>
              </w:rPr>
              <w:t>ST</w:t>
            </w:r>
            <w:r w:rsidR="005717DA">
              <w:t>/SG/AC.10/C.3/2016</w:t>
            </w:r>
            <w:r w:rsidR="00F16F65">
              <w:t>/</w:t>
            </w:r>
            <w:r w:rsidR="00B926B1">
              <w:t>8</w:t>
            </w:r>
            <w:r w:rsidR="005B1970">
              <w:t>2</w:t>
            </w:r>
          </w:p>
        </w:tc>
      </w:tr>
      <w:tr w:rsidR="00C14945" w:rsidRPr="003F006C" w:rsidTr="00C14945">
        <w:trPr>
          <w:trHeight w:val="2835"/>
        </w:trPr>
        <w:tc>
          <w:tcPr>
            <w:tcW w:w="1259" w:type="dxa"/>
            <w:tcBorders>
              <w:top w:val="single" w:sz="4" w:space="0" w:color="auto"/>
              <w:left w:val="nil"/>
              <w:bottom w:val="single" w:sz="12" w:space="0" w:color="auto"/>
              <w:right w:val="nil"/>
            </w:tcBorders>
            <w:shd w:val="clear" w:color="auto" w:fill="auto"/>
          </w:tcPr>
          <w:p w:rsidR="00C14945" w:rsidRPr="003F006C" w:rsidRDefault="009153A0" w:rsidP="00C14945">
            <w:pPr>
              <w:spacing w:before="120"/>
              <w:jc w:val="center"/>
            </w:pPr>
            <w:r>
              <w:rPr>
                <w:noProof/>
                <w:lang w:eastAsia="en-GB"/>
              </w:rPr>
              <w:drawing>
                <wp:inline distT="0" distB="0" distL="0" distR="0" wp14:anchorId="7F5285FD" wp14:editId="1BEB2AA1">
                  <wp:extent cx="714375" cy="591185"/>
                  <wp:effectExtent l="0" t="0" r="9525" b="0"/>
                  <wp:docPr id="1" name="Bild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_un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4375" cy="591185"/>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rsidR="00C14945" w:rsidRPr="003F006C" w:rsidRDefault="00C14945" w:rsidP="00C14945">
            <w:pPr>
              <w:spacing w:before="120" w:line="420" w:lineRule="exact"/>
              <w:rPr>
                <w:b/>
                <w:sz w:val="40"/>
                <w:szCs w:val="40"/>
              </w:rPr>
            </w:pPr>
            <w:r w:rsidRPr="003F006C">
              <w:rPr>
                <w:b/>
                <w:sz w:val="40"/>
                <w:szCs w:val="40"/>
              </w:rPr>
              <w:t>Secretariat</w:t>
            </w:r>
          </w:p>
        </w:tc>
        <w:tc>
          <w:tcPr>
            <w:tcW w:w="2930" w:type="dxa"/>
            <w:tcBorders>
              <w:top w:val="single" w:sz="4" w:space="0" w:color="auto"/>
              <w:left w:val="nil"/>
              <w:bottom w:val="single" w:sz="12" w:space="0" w:color="auto"/>
              <w:right w:val="nil"/>
            </w:tcBorders>
            <w:shd w:val="clear" w:color="auto" w:fill="auto"/>
          </w:tcPr>
          <w:p w:rsidR="00C14945" w:rsidRPr="003F006C" w:rsidRDefault="00C14945" w:rsidP="00C14945">
            <w:pPr>
              <w:suppressAutoHyphens w:val="0"/>
              <w:spacing w:before="240" w:line="240" w:lineRule="exact"/>
            </w:pPr>
            <w:r w:rsidRPr="003F006C">
              <w:t>Distr.: General</w:t>
            </w:r>
          </w:p>
          <w:p w:rsidR="00C14945" w:rsidRPr="003F006C" w:rsidRDefault="00765461" w:rsidP="00C14945">
            <w:pPr>
              <w:suppressAutoHyphens w:val="0"/>
            </w:pPr>
            <w:r>
              <w:t>9</w:t>
            </w:r>
            <w:r w:rsidR="003F006C">
              <w:t xml:space="preserve"> </w:t>
            </w:r>
            <w:r w:rsidR="005B1865">
              <w:t>September</w:t>
            </w:r>
            <w:r w:rsidR="00E85933">
              <w:t xml:space="preserve"> </w:t>
            </w:r>
            <w:r w:rsidR="00AC6C48" w:rsidRPr="003F006C">
              <w:t>2016</w:t>
            </w:r>
          </w:p>
          <w:p w:rsidR="00C14945" w:rsidRPr="003F006C" w:rsidRDefault="00C14945" w:rsidP="00C14945">
            <w:pPr>
              <w:suppressAutoHyphens w:val="0"/>
            </w:pPr>
          </w:p>
          <w:p w:rsidR="00C14945" w:rsidRPr="003F006C" w:rsidRDefault="00C14945" w:rsidP="00C14945">
            <w:pPr>
              <w:suppressAutoHyphens w:val="0"/>
            </w:pPr>
            <w:r w:rsidRPr="003F006C">
              <w:t>Original: English</w:t>
            </w:r>
          </w:p>
        </w:tc>
      </w:tr>
    </w:tbl>
    <w:p w:rsidR="00C14945" w:rsidRPr="003F006C" w:rsidRDefault="00C14945" w:rsidP="00C14945">
      <w:pPr>
        <w:spacing w:before="120" w:after="120"/>
        <w:rPr>
          <w:b/>
          <w:sz w:val="24"/>
          <w:szCs w:val="24"/>
        </w:rPr>
      </w:pPr>
      <w:r w:rsidRPr="003F006C">
        <w:rPr>
          <w:b/>
          <w:sz w:val="24"/>
          <w:szCs w:val="24"/>
        </w:rPr>
        <w:t>Committee of Experts on the Transport of Dangerous Goods</w:t>
      </w:r>
      <w:r w:rsidRPr="003F006C">
        <w:rPr>
          <w:b/>
          <w:sz w:val="24"/>
          <w:szCs w:val="24"/>
        </w:rPr>
        <w:br/>
        <w:t>and on the Globally Harmonized System of Classification</w:t>
      </w:r>
      <w:r w:rsidRPr="003F006C">
        <w:rPr>
          <w:b/>
          <w:sz w:val="24"/>
          <w:szCs w:val="24"/>
        </w:rPr>
        <w:br/>
        <w:t>and Labelling of Chemicals</w:t>
      </w:r>
    </w:p>
    <w:p w:rsidR="00C14945" w:rsidRPr="003F006C" w:rsidRDefault="00C14945" w:rsidP="00C14945">
      <w:pPr>
        <w:spacing w:before="120"/>
        <w:rPr>
          <w:b/>
          <w:lang w:val="en-US"/>
        </w:rPr>
      </w:pPr>
      <w:r w:rsidRPr="003F006C">
        <w:rPr>
          <w:b/>
          <w:lang w:val="en-US"/>
        </w:rPr>
        <w:t>Sub-Committee of Experts on the Transport of Dangerous Goods</w:t>
      </w:r>
    </w:p>
    <w:p w:rsidR="00876173" w:rsidRPr="003F006C" w:rsidRDefault="00E85933" w:rsidP="00876173">
      <w:pPr>
        <w:spacing w:before="120"/>
        <w:rPr>
          <w:b/>
        </w:rPr>
      </w:pPr>
      <w:r>
        <w:rPr>
          <w:b/>
        </w:rPr>
        <w:t>Fiftieth</w:t>
      </w:r>
      <w:r w:rsidR="00876173" w:rsidRPr="003F006C">
        <w:rPr>
          <w:b/>
        </w:rPr>
        <w:t xml:space="preserve"> session</w:t>
      </w:r>
    </w:p>
    <w:p w:rsidR="00876173" w:rsidRPr="003F006C" w:rsidRDefault="00876173" w:rsidP="00876173">
      <w:pPr>
        <w:rPr>
          <w:color w:val="333333"/>
          <w:lang w:eastAsia="it-IT"/>
        </w:rPr>
      </w:pPr>
      <w:r w:rsidRPr="003F006C">
        <w:t xml:space="preserve">Geneva, </w:t>
      </w:r>
      <w:r w:rsidR="00B926B1">
        <w:rPr>
          <w:color w:val="333333"/>
          <w:lang w:eastAsia="it-IT"/>
        </w:rPr>
        <w:t>28 November-</w:t>
      </w:r>
      <w:r w:rsidR="00E85933" w:rsidRPr="00E85933">
        <w:rPr>
          <w:color w:val="333333"/>
          <w:lang w:eastAsia="it-IT"/>
        </w:rPr>
        <w:t>6 December 2016</w:t>
      </w:r>
    </w:p>
    <w:p w:rsidR="00876173" w:rsidRPr="003F006C" w:rsidRDefault="00876173" w:rsidP="00876173">
      <w:r w:rsidRPr="003F006C">
        <w:t>Item</w:t>
      </w:r>
      <w:r w:rsidR="00F16F65">
        <w:t xml:space="preserve"> </w:t>
      </w:r>
      <w:r w:rsidR="00F11B6A">
        <w:t>2 (c)</w:t>
      </w:r>
      <w:r w:rsidRPr="003F006C">
        <w:t xml:space="preserve"> of the provisional agenda</w:t>
      </w:r>
    </w:p>
    <w:p w:rsidR="00EC1580" w:rsidRPr="00F11B6A" w:rsidRDefault="00F11B6A" w:rsidP="00EC1580">
      <w:pPr>
        <w:rPr>
          <w:b/>
        </w:rPr>
      </w:pPr>
      <w:r w:rsidRPr="00F11B6A">
        <w:rPr>
          <w:b/>
        </w:rPr>
        <w:t xml:space="preserve">Recommendations made by the Sub-Committee </w:t>
      </w:r>
      <w:r w:rsidRPr="00F11B6A">
        <w:rPr>
          <w:b/>
        </w:rPr>
        <w:br/>
        <w:t xml:space="preserve">on its forty-seventh, forty-eighth </w:t>
      </w:r>
      <w:r w:rsidRPr="00F11B6A">
        <w:rPr>
          <w:b/>
        </w:rPr>
        <w:br/>
        <w:t xml:space="preserve">and forty-ninth sessions and pending issues: </w:t>
      </w:r>
      <w:r w:rsidRPr="00F11B6A">
        <w:rPr>
          <w:b/>
        </w:rPr>
        <w:br/>
        <w:t>listing, classification and packing</w:t>
      </w:r>
    </w:p>
    <w:p w:rsidR="005B1970" w:rsidRPr="00A72281" w:rsidRDefault="005B1970" w:rsidP="005B1970">
      <w:pPr>
        <w:pStyle w:val="HChG"/>
      </w:pPr>
      <w:r w:rsidRPr="00A72281">
        <w:rPr>
          <w:rFonts w:eastAsia="MS Mincho"/>
        </w:rPr>
        <w:tab/>
      </w:r>
      <w:r w:rsidRPr="00A72281">
        <w:rPr>
          <w:rFonts w:eastAsia="MS Mincho"/>
        </w:rPr>
        <w:tab/>
      </w:r>
      <w:r>
        <w:rPr>
          <w:rFonts w:eastAsia="MS Mincho"/>
        </w:rPr>
        <w:t>S</w:t>
      </w:r>
      <w:r w:rsidR="00F11B6A">
        <w:rPr>
          <w:rFonts w:eastAsia="MS Mincho"/>
        </w:rPr>
        <w:t>pecial Provision</w:t>
      </w:r>
      <w:r>
        <w:rPr>
          <w:rFonts w:eastAsia="MS Mincho"/>
        </w:rPr>
        <w:t xml:space="preserve"> 308 </w:t>
      </w:r>
      <w:r w:rsidR="00F11B6A">
        <w:rPr>
          <w:rFonts w:eastAsia="MS Mincho"/>
        </w:rPr>
        <w:t>for</w:t>
      </w:r>
      <w:r>
        <w:rPr>
          <w:rFonts w:eastAsia="MS Mincho"/>
        </w:rPr>
        <w:t xml:space="preserve"> </w:t>
      </w:r>
      <w:r w:rsidRPr="00A72281">
        <w:rPr>
          <w:rFonts w:eastAsia="MS Mincho"/>
        </w:rPr>
        <w:t>Fish Meal (Fish Scrap), Stabilised (UN 2216): Class 9</w:t>
      </w:r>
    </w:p>
    <w:p w:rsidR="005B1970" w:rsidRPr="00F11B6A" w:rsidRDefault="005B1970" w:rsidP="005B1970">
      <w:pPr>
        <w:pStyle w:val="H1G"/>
        <w:rPr>
          <w:szCs w:val="24"/>
        </w:rPr>
      </w:pPr>
      <w:r w:rsidRPr="00F11B6A">
        <w:rPr>
          <w:rFonts w:eastAsia="MS Mincho"/>
          <w:szCs w:val="24"/>
        </w:rPr>
        <w:tab/>
      </w:r>
      <w:r w:rsidRPr="00F11B6A">
        <w:rPr>
          <w:rFonts w:eastAsia="MS Mincho"/>
          <w:szCs w:val="24"/>
        </w:rPr>
        <w:tab/>
        <w:t xml:space="preserve">Transmitted by </w:t>
      </w:r>
      <w:r w:rsidR="00387109">
        <w:rPr>
          <w:color w:val="000000"/>
          <w:szCs w:val="24"/>
          <w:lang w:val="en-US"/>
        </w:rPr>
        <w:t>The Marine Ingredients Organiz</w:t>
      </w:r>
      <w:r w:rsidR="00F11B6A" w:rsidRPr="00F11B6A">
        <w:rPr>
          <w:color w:val="000000"/>
          <w:szCs w:val="24"/>
          <w:lang w:val="en-US"/>
        </w:rPr>
        <w:t xml:space="preserve">ation </w:t>
      </w:r>
      <w:r w:rsidRPr="00F11B6A">
        <w:rPr>
          <w:rFonts w:eastAsia="MS Mincho"/>
          <w:szCs w:val="24"/>
        </w:rPr>
        <w:t>IFFO</w:t>
      </w:r>
      <w:r w:rsidRPr="00F11B6A">
        <w:rPr>
          <w:rStyle w:val="FootnoteReference"/>
          <w:rFonts w:eastAsia="MS Mincho"/>
          <w:sz w:val="24"/>
          <w:szCs w:val="24"/>
        </w:rPr>
        <w:footnoteReference w:id="2"/>
      </w:r>
    </w:p>
    <w:p w:rsidR="005B1970" w:rsidRPr="00A72281" w:rsidRDefault="005B1970" w:rsidP="005B1970">
      <w:pPr>
        <w:pStyle w:val="HChG"/>
        <w:rPr>
          <w:lang w:val="en-US"/>
        </w:rPr>
      </w:pPr>
      <w:r w:rsidRPr="00A72281">
        <w:tab/>
      </w:r>
      <w:r w:rsidRPr="00A72281">
        <w:tab/>
      </w:r>
      <w:r w:rsidRPr="00A72281">
        <w:rPr>
          <w:lang w:val="en-US"/>
        </w:rPr>
        <w:t>Introduction</w:t>
      </w:r>
    </w:p>
    <w:p w:rsidR="005B1970" w:rsidRDefault="005B1970" w:rsidP="005B1970">
      <w:pPr>
        <w:pStyle w:val="SingleTxtG"/>
      </w:pPr>
      <w:r>
        <w:t>1.</w:t>
      </w:r>
      <w:r>
        <w:tab/>
      </w:r>
      <w:r w:rsidRPr="00CD4F7A">
        <w:t>Stabilising fishmeal</w:t>
      </w:r>
      <w:r w:rsidR="00F11B6A">
        <w:t xml:space="preserve"> by addition of the antioxidant</w:t>
      </w:r>
      <w:r w:rsidRPr="00CD4F7A">
        <w:t xml:space="preserve"> ethoxyquin (EQ) has been done for many years</w:t>
      </w:r>
      <w:r>
        <w:t xml:space="preserve">, and IFFO estimates that approximately 66% of globally traded fishmeal is stabilised with ethoxyquin. </w:t>
      </w:r>
      <w:r w:rsidRPr="00CD4F7A">
        <w:t>The addition levels of ethoxyquin</w:t>
      </w:r>
      <w:r>
        <w:t xml:space="preserve"> listed in the IMDG Code</w:t>
      </w:r>
      <w:r w:rsidRPr="00CD4F7A">
        <w:t xml:space="preserve"> were determined more than 40 years ago</w:t>
      </w:r>
      <w:r>
        <w:t>, and are likely to be at levels well in excess of those that will achieve stabilisation, having been based on the information at that time</w:t>
      </w:r>
      <w:r w:rsidRPr="00CD4F7A">
        <w:t xml:space="preserve">.  Unnecessarily high levels of ethoxyquin are undesirable and </w:t>
      </w:r>
      <w:r>
        <w:t>may</w:t>
      </w:r>
      <w:r w:rsidRPr="00CD4F7A">
        <w:t xml:space="preserve"> lead to high residue levels in the animal which has been fed </w:t>
      </w:r>
      <w:r w:rsidR="00F11B6A">
        <w:t xml:space="preserve">with </w:t>
      </w:r>
      <w:r>
        <w:t xml:space="preserve">feed which incorporates </w:t>
      </w:r>
      <w:r w:rsidRPr="00CD4F7A">
        <w:t>the treated fishmeal</w:t>
      </w:r>
      <w:r>
        <w:t xml:space="preserve"> as a feed ingredient</w:t>
      </w:r>
      <w:r w:rsidRPr="00CD4F7A">
        <w:t>.</w:t>
      </w:r>
      <w:r>
        <w:t xml:space="preserve"> Ethoxyquin is undergoing a reauthorisation process in the E</w:t>
      </w:r>
      <w:r w:rsidR="00F11B6A">
        <w:t>uropean Union</w:t>
      </w:r>
      <w:r>
        <w:t xml:space="preserve"> for use as an animal feed ingredient, within which a safety assessment based on the levels in animal feed has been conducted.</w:t>
      </w:r>
    </w:p>
    <w:p w:rsidR="005B1970" w:rsidRDefault="005B1970" w:rsidP="005B1970">
      <w:pPr>
        <w:pStyle w:val="SingleTxtG"/>
      </w:pPr>
      <w:r>
        <w:t>2.</w:t>
      </w:r>
      <w:r>
        <w:tab/>
      </w:r>
      <w:r w:rsidRPr="00D856BC">
        <w:t>Ethoxyquin is such an effective antioxidant that it has been used as a benchmark against which the efficacy of other</w:t>
      </w:r>
      <w:r>
        <w:t xml:space="preserve"> antioxidants is measured (de Koning, 1998</w:t>
      </w:r>
      <w:r w:rsidRPr="00D856BC">
        <w:t>).</w:t>
      </w:r>
      <w:r>
        <w:t xml:space="preserve"> When the ethoxyquin level for stabilisation of fishmeal was originally advised for incorporation into </w:t>
      </w:r>
      <w:r>
        <w:lastRenderedPageBreak/>
        <w:t xml:space="preserve">the IMDG Code in the 1970s the science was based on the antioxidant capability of the compound solely. Further research has established that the main two breakdown products of ethoxyquin, namely ethoxyquin dimer and ethoxyquin quinolone imine, are antioxidants in their own right and also confer antioxidant capability (de Koning, 2002), so there is a logical basis for assuming that the stabilisation effects of fishmeal treated with ethoxyquin extend beyond merely the original compound’s presence post-treatment. That author provides estimates for an antioxidant efficacy of 69% and 80% respectively for these products against that of ethoxyquin in fishmeal. </w:t>
      </w:r>
    </w:p>
    <w:p w:rsidR="005B1970" w:rsidRPr="00CD4F7A" w:rsidRDefault="005B1970" w:rsidP="005B1970">
      <w:pPr>
        <w:pStyle w:val="SingleTxtG"/>
      </w:pPr>
      <w:r>
        <w:t>3.</w:t>
      </w:r>
      <w:r>
        <w:tab/>
        <w:t xml:space="preserve">At the time of the original setting of the levels of antioxidant prior to shipping in the IMDG Code, the fishmeal industry shipped the majority of its production in bulk. Fishmeal as an ingredient in animal feed has moved position in the market place from a commodity to a strategic ingredient, and commands prices that are consistent with that position. As a result, a significant and growing proportion of global shipping of the product now occurs in packaged format, in 1 tonne and 50kg bags, for example. </w:t>
      </w:r>
    </w:p>
    <w:p w:rsidR="005B1970" w:rsidRPr="00CC47DF" w:rsidRDefault="005B1970" w:rsidP="005B1970">
      <w:pPr>
        <w:pStyle w:val="SingleTxtG"/>
      </w:pPr>
      <w:r>
        <w:t>4.</w:t>
      </w:r>
      <w:r>
        <w:tab/>
      </w:r>
      <w:r w:rsidRPr="00CC47DF">
        <w:t>Increased negative publicity in the E</w:t>
      </w:r>
      <w:r w:rsidR="00F11B6A">
        <w:t>uropean Union</w:t>
      </w:r>
      <w:r>
        <w:t>,</w:t>
      </w:r>
      <w:r w:rsidRPr="00CC47DF">
        <w:t xml:space="preserve"> and difficulties with high levels of ethoxyquin found in shrimp originating from Asian countries exporting to Japan</w:t>
      </w:r>
      <w:r>
        <w:t>,</w:t>
      </w:r>
      <w:r w:rsidRPr="00CC47DF">
        <w:t xml:space="preserve"> has drawn attention </w:t>
      </w:r>
      <w:r>
        <w:t>to</w:t>
      </w:r>
      <w:r w:rsidRPr="00CC47DF">
        <w:t xml:space="preserve"> </w:t>
      </w:r>
      <w:r>
        <w:t xml:space="preserve">the use of ethoxyquin. </w:t>
      </w:r>
      <w:r w:rsidRPr="00CC47DF">
        <w:t xml:space="preserve">In addition, the potential carry-over of fat soluble ethoxyquin into omega-3 oils produced from by-products of farmed fish </w:t>
      </w:r>
      <w:r>
        <w:t>may be</w:t>
      </w:r>
      <w:r w:rsidRPr="00CC47DF">
        <w:t xml:space="preserve"> a cause for concern.</w:t>
      </w:r>
      <w:r>
        <w:t xml:space="preserve">  There are strong drivers to reduce the levels of ethoxyquin present in animal feeds, and one way this may be achieved is by optimising the use of ethoxyquin in the stabilisation of fishmeal.</w:t>
      </w:r>
    </w:p>
    <w:p w:rsidR="005B1970" w:rsidRPr="00CC47DF" w:rsidRDefault="005B1970" w:rsidP="005B1970">
      <w:pPr>
        <w:pStyle w:val="SingleTxtG"/>
      </w:pPr>
      <w:r>
        <w:t>5.</w:t>
      </w:r>
      <w:r>
        <w:tab/>
        <w:t xml:space="preserve">Ethoxyquin has been evaluated for re-authorisation as a feed additive according to the requirements of </w:t>
      </w:r>
      <w:r w:rsidRPr="00CC47DF">
        <w:t>European Parliament and Council Regulation (EC) No 1831/2003</w:t>
      </w:r>
      <w:r>
        <w:t>,</w:t>
      </w:r>
      <w:r w:rsidRPr="00CC47DF">
        <w:t xml:space="preserve"> that sets out new rules for the authorisation, supervision and labelling of feed additives.  </w:t>
      </w:r>
    </w:p>
    <w:p w:rsidR="005B1970" w:rsidRPr="008A6E6F" w:rsidRDefault="005B1970" w:rsidP="005B1970">
      <w:pPr>
        <w:pStyle w:val="SingleTxtG"/>
      </w:pPr>
      <w:r>
        <w:t>6.</w:t>
      </w:r>
      <w:r>
        <w:tab/>
      </w:r>
      <w:r w:rsidRPr="008A6E6F">
        <w:t>The European Food Safety Authority (EFSA) published their Opinion on ethoxyquin in November 2015 which states that the safety regarding the use of ethoxyquin remains inconclusive in terms of the risk associated with ethoxyquin to consumers, fed livestock, and the environment.</w:t>
      </w:r>
      <w:r>
        <w:t xml:space="preserve"> </w:t>
      </w:r>
      <w:r w:rsidRPr="002902EF">
        <w:t xml:space="preserve">EFSA identified a number of knowledge gaps where data is required to make an overall assessment of </w:t>
      </w:r>
      <w:r>
        <w:t xml:space="preserve">the </w:t>
      </w:r>
      <w:r w:rsidRPr="002902EF">
        <w:t>safety of ethoxyquin</w:t>
      </w:r>
      <w:r>
        <w:t xml:space="preserve">.  The European Commission is currently in the process of drafting a regulation based on the EFSA Opinion that may partially suspend or even ban the use of ethoxyquin within EU-28.  In the meantime, the applicant for reauthorisation of ethoxyquin continues to deliver more science on points around the safety of different dosages. </w:t>
      </w:r>
    </w:p>
    <w:p w:rsidR="005B1970" w:rsidRDefault="005B1970" w:rsidP="005B1970">
      <w:pPr>
        <w:pStyle w:val="SingleTxtG"/>
      </w:pPr>
      <w:r>
        <w:t>7.</w:t>
      </w:r>
      <w:r>
        <w:tab/>
        <w:t xml:space="preserve">Accordingly, reduced levels of ethoxyquin in compound feed, taking into account the level of ethoxyquin in feed ingredients such as fishmeal, may be introduced.  If that is the case, it is likely that </w:t>
      </w:r>
      <w:r w:rsidRPr="00C762F0">
        <w:t xml:space="preserve">Maximum Permitted Levels in </w:t>
      </w:r>
      <w:r>
        <w:t xml:space="preserve">farmed </w:t>
      </w:r>
      <w:r w:rsidRPr="00C762F0">
        <w:t>fish</w:t>
      </w:r>
      <w:r>
        <w:t xml:space="preserve"> will also be set, requiring that the fishmeal, aquafeed and fish farming industries all work towards maintaining as low a level of ethoxyquin in the end product as possible.  It is critical to look at optimisation of the levels of ethoxyquin for the stabilisation of fishmeal </w:t>
      </w:r>
      <w:r w:rsidRPr="00622BE4">
        <w:t>as well as</w:t>
      </w:r>
      <w:r>
        <w:t xml:space="preserve"> the use of </w:t>
      </w:r>
      <w:r w:rsidRPr="00622BE4">
        <w:t>alternative</w:t>
      </w:r>
      <w:r>
        <w:t xml:space="preserve"> antioxidant</w:t>
      </w:r>
      <w:r w:rsidRPr="00622BE4">
        <w:t>s to ethoxyquin</w:t>
      </w:r>
      <w:r>
        <w:t xml:space="preserve">. </w:t>
      </w:r>
    </w:p>
    <w:p w:rsidR="005B1970" w:rsidRDefault="005B1970" w:rsidP="00387109">
      <w:pPr>
        <w:pStyle w:val="SingleTxtG"/>
      </w:pPr>
      <w:r>
        <w:t>8.</w:t>
      </w:r>
      <w:r>
        <w:tab/>
        <w:t xml:space="preserve">As previously notified to the </w:t>
      </w:r>
      <w:r w:rsidR="00F11B6A">
        <w:t>Sub-Committee</w:t>
      </w:r>
      <w:r>
        <w:t xml:space="preserve"> at the </w:t>
      </w:r>
      <w:r w:rsidR="00F11B6A">
        <w:t>session</w:t>
      </w:r>
      <w:r>
        <w:t xml:space="preserve"> held in December 2015, IFFO commenced with a fishmeal stability trial on 9</w:t>
      </w:r>
      <w:r w:rsidRPr="00AD28B3">
        <w:rPr>
          <w:vertAlign w:val="superscript"/>
        </w:rPr>
        <w:t>th</w:t>
      </w:r>
      <w:r>
        <w:t xml:space="preserve"> July 2015 that was to continue for 12 months until July 2016. The aim of the trial was to compare the stability of fishmeal treated with lower inclusion rates of ethoxyquin, as well as other antioxidants, butylated hydroxytoluene (BHT) and a natural tocopherol/rosemary extract blend. All five of the sampling intervals have been performed (Day 0, Week 2, Month 3, Month 6 and Month 12) with the last analyses interval being in July 2016. The reactive anchovy fishmeal for the trial was provided by a producer from within the IFFO membership, and the trials were conducted under standard conditions, but also comparing storage volume through a comparison of 50kg and regular 1 ton bags.  The concentrations and analyses are detailed in </w:t>
      </w:r>
      <w:r>
        <w:lastRenderedPageBreak/>
        <w:t xml:space="preserve">the treatment plan in Table 1 along with the content of the active component in the treatments calculated from the percentage in the dosing solution. </w:t>
      </w:r>
    </w:p>
    <w:p w:rsidR="005B1970" w:rsidRDefault="005B1970" w:rsidP="005B1970">
      <w:pPr>
        <w:pStyle w:val="SingleTxtG"/>
      </w:pPr>
      <w:r>
        <w:t>9.</w:t>
      </w:r>
      <w:r>
        <w:tab/>
        <w:t xml:space="preserve">The specifications of the antioxidants are as follows: </w:t>
      </w:r>
    </w:p>
    <w:p w:rsidR="005B1970" w:rsidRPr="00060B7E" w:rsidRDefault="005B1970" w:rsidP="005B1970">
      <w:pPr>
        <w:pStyle w:val="Bullet1G"/>
      </w:pPr>
      <w:r w:rsidRPr="00060B7E">
        <w:t>Ethoxyquin</w:t>
      </w:r>
      <w:r>
        <w:t xml:space="preserve"> (EQ):</w:t>
      </w:r>
      <w:r w:rsidRPr="00060B7E">
        <w:t xml:space="preserve"> Minimum 95% solution</w:t>
      </w:r>
      <w:r w:rsidR="00823F92">
        <w:t>;</w:t>
      </w:r>
    </w:p>
    <w:p w:rsidR="005B1970" w:rsidRDefault="005B1970" w:rsidP="005B1970">
      <w:pPr>
        <w:pStyle w:val="Bullet1G"/>
      </w:pPr>
      <w:r w:rsidRPr="00060B7E">
        <w:t>Naturox Premium liquid: 23.2% tocopherols and &lt;1% rosemary extract</w:t>
      </w:r>
      <w:r>
        <w:t xml:space="preserve"> (containing ≈ 5% carnosic acid)</w:t>
      </w:r>
      <w:r w:rsidR="00823F92">
        <w:t>;</w:t>
      </w:r>
    </w:p>
    <w:p w:rsidR="005B1970" w:rsidRDefault="005B1970" w:rsidP="005B1970">
      <w:pPr>
        <w:pStyle w:val="Bullet1G"/>
      </w:pPr>
      <w:r w:rsidRPr="00060B7E">
        <w:t>Rendox T: 20% BHT</w:t>
      </w:r>
      <w:r>
        <w:t xml:space="preserve"> solution</w:t>
      </w:r>
      <w:r w:rsidR="00823F92">
        <w:t>.</w:t>
      </w:r>
    </w:p>
    <w:p w:rsidR="00823F92" w:rsidRPr="00823F92" w:rsidRDefault="00823F92" w:rsidP="00823F92">
      <w:pPr>
        <w:pStyle w:val="SingleTxtG"/>
        <w:jc w:val="center"/>
        <w:rPr>
          <w:b/>
        </w:rPr>
      </w:pPr>
      <w:r w:rsidRPr="00823F92">
        <w:rPr>
          <w:b/>
        </w:rPr>
        <w:t>Table 1: Antioxidant treatments, content of the active component and analyses plan</w:t>
      </w:r>
    </w:p>
    <w:tbl>
      <w:tblPr>
        <w:tblW w:w="76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01"/>
        <w:gridCol w:w="1418"/>
        <w:gridCol w:w="850"/>
        <w:gridCol w:w="851"/>
        <w:gridCol w:w="850"/>
        <w:gridCol w:w="992"/>
        <w:gridCol w:w="993"/>
      </w:tblGrid>
      <w:tr w:rsidR="00823F92" w:rsidRPr="00E00942" w:rsidTr="005A3BDD">
        <w:trPr>
          <w:trHeight w:val="240"/>
          <w:jc w:val="center"/>
        </w:trPr>
        <w:tc>
          <w:tcPr>
            <w:tcW w:w="1701" w:type="dxa"/>
            <w:vMerge w:val="restart"/>
            <w:shd w:val="clear" w:color="auto" w:fill="F2F2F2"/>
            <w:vAlign w:val="center"/>
          </w:tcPr>
          <w:p w:rsidR="00823F92" w:rsidRPr="002476F8" w:rsidRDefault="00823F92" w:rsidP="005A3BDD">
            <w:pPr>
              <w:spacing w:line="240" w:lineRule="auto"/>
              <w:rPr>
                <w:rFonts w:eastAsia="Calibri"/>
                <w:b/>
              </w:rPr>
            </w:pPr>
            <w:r w:rsidRPr="002476F8">
              <w:rPr>
                <w:rFonts w:eastAsia="Calibri"/>
                <w:b/>
              </w:rPr>
              <w:t>Treatment</w:t>
            </w:r>
            <w:r>
              <w:rPr>
                <w:rFonts w:eastAsia="Calibri"/>
                <w:b/>
              </w:rPr>
              <w:t>s</w:t>
            </w:r>
          </w:p>
        </w:tc>
        <w:tc>
          <w:tcPr>
            <w:tcW w:w="1418" w:type="dxa"/>
            <w:vMerge w:val="restart"/>
            <w:shd w:val="clear" w:color="auto" w:fill="F2F2F2"/>
            <w:tcMar>
              <w:left w:w="57" w:type="dxa"/>
              <w:right w:w="57" w:type="dxa"/>
            </w:tcMar>
          </w:tcPr>
          <w:p w:rsidR="00823F92" w:rsidRPr="002476F8" w:rsidRDefault="00823F92" w:rsidP="005A3BDD">
            <w:pPr>
              <w:spacing w:line="240" w:lineRule="auto"/>
              <w:jc w:val="center"/>
              <w:rPr>
                <w:rFonts w:eastAsia="Calibri"/>
                <w:b/>
              </w:rPr>
            </w:pPr>
            <w:r w:rsidRPr="00103AEC">
              <w:rPr>
                <w:rFonts w:eastAsia="Calibri"/>
                <w:b/>
              </w:rPr>
              <w:t xml:space="preserve">Antioxidant content </w:t>
            </w:r>
            <w:r>
              <w:rPr>
                <w:rFonts w:eastAsia="Calibri"/>
                <w:b/>
              </w:rPr>
              <w:t xml:space="preserve">(active component) </w:t>
            </w:r>
            <w:r w:rsidRPr="00103AEC">
              <w:rPr>
                <w:rFonts w:eastAsia="Calibri"/>
                <w:b/>
              </w:rPr>
              <w:t>(ppm)</w:t>
            </w:r>
          </w:p>
        </w:tc>
        <w:tc>
          <w:tcPr>
            <w:tcW w:w="4536" w:type="dxa"/>
            <w:gridSpan w:val="5"/>
            <w:tcBorders>
              <w:bottom w:val="single" w:sz="4" w:space="0" w:color="auto"/>
            </w:tcBorders>
            <w:shd w:val="clear" w:color="auto" w:fill="F2F2F2"/>
            <w:tcMar>
              <w:left w:w="28" w:type="dxa"/>
              <w:right w:w="28" w:type="dxa"/>
            </w:tcMar>
          </w:tcPr>
          <w:p w:rsidR="00823F92" w:rsidRPr="002476F8" w:rsidRDefault="00823F92" w:rsidP="005A3BDD">
            <w:pPr>
              <w:spacing w:line="240" w:lineRule="auto"/>
              <w:jc w:val="center"/>
              <w:rPr>
                <w:rFonts w:eastAsia="Calibri"/>
                <w:b/>
              </w:rPr>
            </w:pPr>
            <w:r w:rsidRPr="002476F8">
              <w:rPr>
                <w:rFonts w:eastAsia="Calibri"/>
                <w:b/>
              </w:rPr>
              <w:t xml:space="preserve">Sampling intervals </w:t>
            </w:r>
          </w:p>
        </w:tc>
      </w:tr>
      <w:tr w:rsidR="00823F92" w:rsidRPr="00E00942" w:rsidTr="005A3BDD">
        <w:trPr>
          <w:trHeight w:val="288"/>
          <w:jc w:val="center"/>
        </w:trPr>
        <w:tc>
          <w:tcPr>
            <w:tcW w:w="1701" w:type="dxa"/>
            <w:vMerge/>
            <w:shd w:val="clear" w:color="auto" w:fill="auto"/>
            <w:vAlign w:val="center"/>
          </w:tcPr>
          <w:p w:rsidR="00823F92" w:rsidRPr="002476F8" w:rsidRDefault="00823F92" w:rsidP="005A3BDD">
            <w:pPr>
              <w:spacing w:line="240" w:lineRule="auto"/>
              <w:rPr>
                <w:rFonts w:eastAsia="Calibri"/>
                <w:b/>
              </w:rPr>
            </w:pPr>
          </w:p>
        </w:tc>
        <w:tc>
          <w:tcPr>
            <w:tcW w:w="1418" w:type="dxa"/>
            <w:vMerge/>
          </w:tcPr>
          <w:p w:rsidR="00823F92" w:rsidRPr="002476F8" w:rsidRDefault="00823F92" w:rsidP="005A3BDD">
            <w:pPr>
              <w:spacing w:line="240" w:lineRule="auto"/>
              <w:jc w:val="center"/>
              <w:rPr>
                <w:rFonts w:eastAsia="Calibri"/>
                <w:b/>
              </w:rPr>
            </w:pPr>
          </w:p>
        </w:tc>
        <w:tc>
          <w:tcPr>
            <w:tcW w:w="1701" w:type="dxa"/>
            <w:gridSpan w:val="2"/>
            <w:shd w:val="clear" w:color="auto" w:fill="F2F2F2"/>
            <w:tcMar>
              <w:left w:w="28" w:type="dxa"/>
              <w:right w:w="28" w:type="dxa"/>
            </w:tcMar>
          </w:tcPr>
          <w:p w:rsidR="00823F92" w:rsidRPr="002476F8" w:rsidRDefault="00823F92" w:rsidP="005A3BDD">
            <w:pPr>
              <w:spacing w:line="240" w:lineRule="auto"/>
              <w:jc w:val="center"/>
              <w:rPr>
                <w:rFonts w:eastAsia="Calibri"/>
                <w:b/>
              </w:rPr>
            </w:pPr>
            <w:r w:rsidRPr="002476F8">
              <w:rPr>
                <w:rFonts w:eastAsia="Calibri"/>
                <w:b/>
              </w:rPr>
              <w:t>Day</w:t>
            </w:r>
          </w:p>
        </w:tc>
        <w:tc>
          <w:tcPr>
            <w:tcW w:w="2835" w:type="dxa"/>
            <w:gridSpan w:val="3"/>
            <w:shd w:val="clear" w:color="auto" w:fill="F2F2F2"/>
            <w:vAlign w:val="center"/>
          </w:tcPr>
          <w:p w:rsidR="00823F92" w:rsidRPr="002476F8" w:rsidRDefault="00823F92" w:rsidP="005A3BDD">
            <w:pPr>
              <w:spacing w:line="240" w:lineRule="auto"/>
              <w:jc w:val="center"/>
              <w:rPr>
                <w:rFonts w:eastAsia="Calibri"/>
                <w:b/>
              </w:rPr>
            </w:pPr>
            <w:r w:rsidRPr="002476F8">
              <w:rPr>
                <w:rFonts w:eastAsia="Calibri"/>
                <w:b/>
              </w:rPr>
              <w:t>Month</w:t>
            </w:r>
          </w:p>
        </w:tc>
      </w:tr>
      <w:tr w:rsidR="00823F92" w:rsidRPr="00E00942" w:rsidTr="005A3BDD">
        <w:trPr>
          <w:trHeight w:val="287"/>
          <w:jc w:val="center"/>
        </w:trPr>
        <w:tc>
          <w:tcPr>
            <w:tcW w:w="1701" w:type="dxa"/>
            <w:vMerge/>
            <w:shd w:val="clear" w:color="auto" w:fill="auto"/>
            <w:vAlign w:val="center"/>
          </w:tcPr>
          <w:p w:rsidR="00823F92" w:rsidRPr="002476F8" w:rsidRDefault="00823F92" w:rsidP="005A3BDD">
            <w:pPr>
              <w:spacing w:line="240" w:lineRule="auto"/>
              <w:rPr>
                <w:rFonts w:eastAsia="Calibri"/>
                <w:b/>
              </w:rPr>
            </w:pPr>
          </w:p>
        </w:tc>
        <w:tc>
          <w:tcPr>
            <w:tcW w:w="1418" w:type="dxa"/>
            <w:vMerge/>
          </w:tcPr>
          <w:p w:rsidR="00823F92" w:rsidRPr="002476F8" w:rsidRDefault="00823F92" w:rsidP="005A3BDD">
            <w:pPr>
              <w:spacing w:line="240" w:lineRule="auto"/>
              <w:jc w:val="center"/>
              <w:rPr>
                <w:rFonts w:eastAsia="Calibri"/>
                <w:b/>
              </w:rPr>
            </w:pPr>
          </w:p>
        </w:tc>
        <w:tc>
          <w:tcPr>
            <w:tcW w:w="850" w:type="dxa"/>
            <w:shd w:val="clear" w:color="auto" w:fill="F2F2F2"/>
            <w:tcMar>
              <w:left w:w="28" w:type="dxa"/>
              <w:right w:w="28" w:type="dxa"/>
            </w:tcMar>
            <w:vAlign w:val="center"/>
          </w:tcPr>
          <w:p w:rsidR="00823F92" w:rsidRPr="002476F8" w:rsidRDefault="00823F92" w:rsidP="005A3BDD">
            <w:pPr>
              <w:spacing w:line="240" w:lineRule="auto"/>
              <w:jc w:val="center"/>
              <w:rPr>
                <w:rFonts w:eastAsia="Calibri"/>
                <w:b/>
              </w:rPr>
            </w:pPr>
            <w:r w:rsidRPr="002476F8">
              <w:rPr>
                <w:rFonts w:eastAsia="Calibri"/>
                <w:b/>
              </w:rPr>
              <w:t>0</w:t>
            </w:r>
          </w:p>
        </w:tc>
        <w:tc>
          <w:tcPr>
            <w:tcW w:w="851" w:type="dxa"/>
            <w:shd w:val="clear" w:color="auto" w:fill="F2F2F2"/>
            <w:vAlign w:val="center"/>
          </w:tcPr>
          <w:p w:rsidR="00823F92" w:rsidRPr="002476F8" w:rsidRDefault="00823F92" w:rsidP="005A3BDD">
            <w:pPr>
              <w:spacing w:line="240" w:lineRule="auto"/>
              <w:jc w:val="center"/>
              <w:rPr>
                <w:rFonts w:eastAsia="Calibri"/>
                <w:b/>
              </w:rPr>
            </w:pPr>
            <w:r w:rsidRPr="002476F8">
              <w:rPr>
                <w:rFonts w:eastAsia="Calibri"/>
                <w:b/>
              </w:rPr>
              <w:t>14</w:t>
            </w:r>
          </w:p>
        </w:tc>
        <w:tc>
          <w:tcPr>
            <w:tcW w:w="850" w:type="dxa"/>
            <w:shd w:val="clear" w:color="auto" w:fill="F2F2F2"/>
            <w:vAlign w:val="center"/>
          </w:tcPr>
          <w:p w:rsidR="00823F92" w:rsidRPr="002476F8" w:rsidRDefault="00823F92" w:rsidP="005A3BDD">
            <w:pPr>
              <w:spacing w:line="240" w:lineRule="auto"/>
              <w:jc w:val="center"/>
              <w:rPr>
                <w:rFonts w:eastAsia="Calibri"/>
                <w:b/>
              </w:rPr>
            </w:pPr>
            <w:r w:rsidRPr="002476F8">
              <w:rPr>
                <w:rFonts w:eastAsia="Calibri"/>
                <w:b/>
              </w:rPr>
              <w:t>2</w:t>
            </w:r>
          </w:p>
        </w:tc>
        <w:tc>
          <w:tcPr>
            <w:tcW w:w="992" w:type="dxa"/>
            <w:shd w:val="clear" w:color="auto" w:fill="F2F2F2"/>
            <w:vAlign w:val="center"/>
          </w:tcPr>
          <w:p w:rsidR="00823F92" w:rsidRPr="002476F8" w:rsidRDefault="00823F92" w:rsidP="005A3BDD">
            <w:pPr>
              <w:spacing w:line="240" w:lineRule="auto"/>
              <w:jc w:val="center"/>
              <w:rPr>
                <w:rFonts w:eastAsia="Calibri"/>
                <w:b/>
              </w:rPr>
            </w:pPr>
            <w:r w:rsidRPr="002476F8">
              <w:rPr>
                <w:rFonts w:eastAsia="Calibri"/>
                <w:b/>
              </w:rPr>
              <w:t>6</w:t>
            </w:r>
          </w:p>
        </w:tc>
        <w:tc>
          <w:tcPr>
            <w:tcW w:w="993" w:type="dxa"/>
            <w:shd w:val="clear" w:color="auto" w:fill="F2F2F2"/>
            <w:vAlign w:val="center"/>
          </w:tcPr>
          <w:p w:rsidR="00823F92" w:rsidRPr="002476F8" w:rsidRDefault="00823F92" w:rsidP="005A3BDD">
            <w:pPr>
              <w:spacing w:line="240" w:lineRule="auto"/>
              <w:jc w:val="center"/>
              <w:rPr>
                <w:rFonts w:eastAsia="Calibri"/>
                <w:b/>
              </w:rPr>
            </w:pPr>
            <w:r w:rsidRPr="002476F8">
              <w:rPr>
                <w:rFonts w:eastAsia="Calibri"/>
                <w:b/>
              </w:rPr>
              <w:t>12</w:t>
            </w:r>
          </w:p>
        </w:tc>
      </w:tr>
      <w:tr w:rsidR="00823F92" w:rsidRPr="00E00942" w:rsidTr="005A3BDD">
        <w:trPr>
          <w:trHeight w:val="455"/>
          <w:jc w:val="center"/>
        </w:trPr>
        <w:tc>
          <w:tcPr>
            <w:tcW w:w="1701" w:type="dxa"/>
            <w:shd w:val="clear" w:color="auto" w:fill="auto"/>
            <w:tcMar>
              <w:right w:w="28" w:type="dxa"/>
            </w:tcMar>
            <w:vAlign w:val="center"/>
          </w:tcPr>
          <w:p w:rsidR="00823F92" w:rsidRPr="00ED537B" w:rsidRDefault="00823F92" w:rsidP="005A3BDD">
            <w:pPr>
              <w:spacing w:line="240" w:lineRule="auto"/>
              <w:rPr>
                <w:rFonts w:eastAsia="Calibri"/>
                <w:color w:val="000000"/>
              </w:rPr>
            </w:pPr>
            <w:r w:rsidRPr="00ED537B">
              <w:rPr>
                <w:rFonts w:eastAsia="Calibri"/>
                <w:color w:val="000000"/>
              </w:rPr>
              <w:t xml:space="preserve">EQ: 300 ppm </w:t>
            </w:r>
          </w:p>
        </w:tc>
        <w:tc>
          <w:tcPr>
            <w:tcW w:w="1418" w:type="dxa"/>
            <w:vAlign w:val="center"/>
          </w:tcPr>
          <w:p w:rsidR="00823F92" w:rsidRPr="00ED537B" w:rsidRDefault="00823F92" w:rsidP="005A3BDD">
            <w:pPr>
              <w:spacing w:line="240" w:lineRule="auto"/>
              <w:jc w:val="center"/>
              <w:rPr>
                <w:rFonts w:eastAsia="Calibri"/>
                <w:color w:val="000000"/>
              </w:rPr>
            </w:pPr>
            <w:r w:rsidRPr="00103AEC">
              <w:rPr>
                <w:rFonts w:eastAsia="Calibri"/>
                <w:color w:val="000000"/>
              </w:rPr>
              <w:t>285</w:t>
            </w:r>
          </w:p>
        </w:tc>
        <w:tc>
          <w:tcPr>
            <w:tcW w:w="850" w:type="dxa"/>
            <w:vMerge w:val="restart"/>
            <w:shd w:val="clear" w:color="auto" w:fill="auto"/>
            <w:vAlign w:val="center"/>
          </w:tcPr>
          <w:p w:rsidR="00823F92" w:rsidRPr="00ED537B" w:rsidRDefault="00823F92" w:rsidP="005A3BDD">
            <w:pPr>
              <w:spacing w:line="240" w:lineRule="auto"/>
              <w:jc w:val="center"/>
              <w:rPr>
                <w:rFonts w:eastAsia="Calibri"/>
                <w:color w:val="000000"/>
              </w:rPr>
            </w:pPr>
            <w:r w:rsidRPr="00ED537B">
              <w:rPr>
                <w:rFonts w:eastAsia="Calibri"/>
                <w:color w:val="000000"/>
              </w:rPr>
              <w:t>AO x 5</w:t>
            </w:r>
          </w:p>
          <w:p w:rsidR="00823F92" w:rsidRPr="00ED537B" w:rsidRDefault="00823F92" w:rsidP="005A3BDD">
            <w:pPr>
              <w:spacing w:line="240" w:lineRule="auto"/>
              <w:jc w:val="center"/>
              <w:rPr>
                <w:rFonts w:eastAsia="Calibri"/>
                <w:color w:val="000000"/>
              </w:rPr>
            </w:pPr>
            <w:r w:rsidRPr="00ED537B">
              <w:rPr>
                <w:rFonts w:eastAsia="Calibri"/>
                <w:color w:val="000000"/>
              </w:rPr>
              <w:t>PV, AV, FFA, PUFA</w:t>
            </w:r>
          </w:p>
        </w:tc>
        <w:tc>
          <w:tcPr>
            <w:tcW w:w="851" w:type="dxa"/>
            <w:vMerge w:val="restart"/>
            <w:shd w:val="clear" w:color="auto" w:fill="auto"/>
            <w:vAlign w:val="center"/>
          </w:tcPr>
          <w:p w:rsidR="00823F92" w:rsidRPr="00ED537B" w:rsidRDefault="00823F92" w:rsidP="005A3BDD">
            <w:pPr>
              <w:spacing w:line="240" w:lineRule="auto"/>
              <w:jc w:val="center"/>
              <w:rPr>
                <w:rFonts w:eastAsia="Calibri"/>
                <w:color w:val="000000"/>
              </w:rPr>
            </w:pPr>
            <w:r w:rsidRPr="00ED537B">
              <w:rPr>
                <w:rFonts w:eastAsia="Calibri"/>
                <w:color w:val="000000"/>
              </w:rPr>
              <w:t>AO, PV, AV, FFA.</w:t>
            </w:r>
          </w:p>
        </w:tc>
        <w:tc>
          <w:tcPr>
            <w:tcW w:w="850" w:type="dxa"/>
            <w:vMerge w:val="restart"/>
            <w:shd w:val="clear" w:color="auto" w:fill="auto"/>
            <w:vAlign w:val="center"/>
          </w:tcPr>
          <w:p w:rsidR="00823F92" w:rsidRPr="00ED537B" w:rsidRDefault="00823F92" w:rsidP="005A3BDD">
            <w:pPr>
              <w:spacing w:line="240" w:lineRule="auto"/>
              <w:jc w:val="center"/>
              <w:rPr>
                <w:rFonts w:eastAsia="Calibri"/>
                <w:color w:val="000000"/>
              </w:rPr>
            </w:pPr>
            <w:r w:rsidRPr="00ED537B">
              <w:rPr>
                <w:rFonts w:eastAsia="Calibri"/>
                <w:color w:val="000000"/>
              </w:rPr>
              <w:t>AO, PV, AV, FFA</w:t>
            </w:r>
          </w:p>
        </w:tc>
        <w:tc>
          <w:tcPr>
            <w:tcW w:w="992" w:type="dxa"/>
            <w:vMerge w:val="restart"/>
            <w:shd w:val="clear" w:color="auto" w:fill="auto"/>
            <w:vAlign w:val="center"/>
          </w:tcPr>
          <w:p w:rsidR="00823F92" w:rsidRPr="00ED537B" w:rsidRDefault="00823F92" w:rsidP="005A3BDD">
            <w:pPr>
              <w:spacing w:line="240" w:lineRule="auto"/>
              <w:jc w:val="center"/>
              <w:rPr>
                <w:rFonts w:eastAsia="Calibri"/>
                <w:color w:val="000000"/>
              </w:rPr>
            </w:pPr>
            <w:r w:rsidRPr="00ED537B">
              <w:rPr>
                <w:rFonts w:eastAsia="Calibri"/>
                <w:color w:val="000000"/>
              </w:rPr>
              <w:t>AO, PV, AV, FFA.</w:t>
            </w:r>
          </w:p>
          <w:p w:rsidR="00823F92" w:rsidRPr="00ED537B" w:rsidRDefault="00823F92" w:rsidP="005A3BDD">
            <w:pPr>
              <w:spacing w:line="240" w:lineRule="auto"/>
              <w:jc w:val="center"/>
              <w:rPr>
                <w:rFonts w:eastAsia="Calibri"/>
                <w:color w:val="000000"/>
              </w:rPr>
            </w:pPr>
            <w:r w:rsidRPr="00ED537B">
              <w:rPr>
                <w:rFonts w:eastAsia="Calibri"/>
                <w:color w:val="000000"/>
              </w:rPr>
              <w:t>Self heating test (50 kg bags)</w:t>
            </w:r>
          </w:p>
        </w:tc>
        <w:tc>
          <w:tcPr>
            <w:tcW w:w="993" w:type="dxa"/>
            <w:vMerge w:val="restart"/>
            <w:shd w:val="clear" w:color="auto" w:fill="auto"/>
            <w:vAlign w:val="center"/>
          </w:tcPr>
          <w:p w:rsidR="00823F92" w:rsidRPr="00ED537B" w:rsidRDefault="00823F92" w:rsidP="005A3BDD">
            <w:pPr>
              <w:spacing w:line="240" w:lineRule="auto"/>
              <w:jc w:val="center"/>
              <w:rPr>
                <w:rFonts w:eastAsia="Calibri"/>
                <w:color w:val="000000"/>
              </w:rPr>
            </w:pPr>
            <w:r w:rsidRPr="00ED537B">
              <w:rPr>
                <w:rFonts w:eastAsia="Calibri"/>
                <w:color w:val="000000"/>
              </w:rPr>
              <w:t xml:space="preserve">AO, </w:t>
            </w:r>
          </w:p>
          <w:p w:rsidR="00823F92" w:rsidRPr="00ED537B" w:rsidRDefault="00823F92" w:rsidP="005A3BDD">
            <w:pPr>
              <w:spacing w:line="240" w:lineRule="auto"/>
              <w:jc w:val="center"/>
              <w:rPr>
                <w:rFonts w:eastAsia="Calibri"/>
                <w:color w:val="000000"/>
              </w:rPr>
            </w:pPr>
            <w:r w:rsidRPr="00ED537B">
              <w:rPr>
                <w:rFonts w:eastAsia="Calibri"/>
                <w:color w:val="000000"/>
              </w:rPr>
              <w:t xml:space="preserve">PV, AV, FFA, </w:t>
            </w:r>
          </w:p>
          <w:p w:rsidR="00823F92" w:rsidRPr="00ED537B" w:rsidRDefault="00823F92" w:rsidP="005A3BDD">
            <w:pPr>
              <w:spacing w:line="240" w:lineRule="auto"/>
              <w:jc w:val="center"/>
              <w:rPr>
                <w:rFonts w:eastAsia="Calibri"/>
                <w:color w:val="000000"/>
              </w:rPr>
            </w:pPr>
            <w:r w:rsidRPr="00ED537B">
              <w:rPr>
                <w:rFonts w:eastAsia="Calibri"/>
                <w:color w:val="000000"/>
              </w:rPr>
              <w:t>PUFA</w:t>
            </w:r>
          </w:p>
          <w:p w:rsidR="00823F92" w:rsidRPr="00ED537B" w:rsidRDefault="00823F92" w:rsidP="005A3BDD">
            <w:pPr>
              <w:spacing w:line="240" w:lineRule="auto"/>
              <w:jc w:val="center"/>
              <w:rPr>
                <w:rFonts w:eastAsia="Calibri"/>
                <w:color w:val="000000"/>
              </w:rPr>
            </w:pPr>
            <w:r w:rsidRPr="00ED537B">
              <w:rPr>
                <w:rFonts w:eastAsia="Calibri"/>
                <w:color w:val="000000"/>
              </w:rPr>
              <w:t>Self-heating test (all sizes)</w:t>
            </w:r>
          </w:p>
        </w:tc>
      </w:tr>
      <w:tr w:rsidR="00823F92" w:rsidRPr="00E00942" w:rsidTr="005A3BDD">
        <w:trPr>
          <w:trHeight w:val="455"/>
          <w:jc w:val="center"/>
        </w:trPr>
        <w:tc>
          <w:tcPr>
            <w:tcW w:w="1701" w:type="dxa"/>
            <w:shd w:val="clear" w:color="auto" w:fill="auto"/>
            <w:vAlign w:val="center"/>
          </w:tcPr>
          <w:p w:rsidR="00823F92" w:rsidRPr="00ED537B" w:rsidRDefault="00823F92" w:rsidP="005A3BDD">
            <w:pPr>
              <w:spacing w:line="240" w:lineRule="auto"/>
              <w:rPr>
                <w:rFonts w:eastAsia="Calibri"/>
              </w:rPr>
            </w:pPr>
            <w:r w:rsidRPr="00ED537B">
              <w:rPr>
                <w:rFonts w:eastAsia="Calibri"/>
                <w:color w:val="000000"/>
              </w:rPr>
              <w:t xml:space="preserve">EQ: 600 ppm </w:t>
            </w:r>
          </w:p>
        </w:tc>
        <w:tc>
          <w:tcPr>
            <w:tcW w:w="1418" w:type="dxa"/>
            <w:vAlign w:val="center"/>
          </w:tcPr>
          <w:p w:rsidR="00823F92" w:rsidRPr="00E00942" w:rsidRDefault="00823F92" w:rsidP="005A3BDD">
            <w:pPr>
              <w:spacing w:line="240" w:lineRule="auto"/>
              <w:jc w:val="center"/>
              <w:rPr>
                <w:rFonts w:ascii="Calibri" w:eastAsia="Calibri" w:hAnsi="Calibri"/>
              </w:rPr>
            </w:pPr>
            <w:r>
              <w:t>570</w:t>
            </w:r>
          </w:p>
        </w:tc>
        <w:tc>
          <w:tcPr>
            <w:tcW w:w="850" w:type="dxa"/>
            <w:vMerge/>
            <w:shd w:val="clear" w:color="auto" w:fill="auto"/>
            <w:vAlign w:val="center"/>
          </w:tcPr>
          <w:p w:rsidR="00823F92" w:rsidRPr="00E00942" w:rsidRDefault="00823F92" w:rsidP="005A3BDD">
            <w:pPr>
              <w:spacing w:line="240" w:lineRule="auto"/>
              <w:rPr>
                <w:rFonts w:ascii="Calibri" w:eastAsia="Calibri" w:hAnsi="Calibri"/>
              </w:rPr>
            </w:pPr>
          </w:p>
        </w:tc>
        <w:tc>
          <w:tcPr>
            <w:tcW w:w="851" w:type="dxa"/>
            <w:vMerge/>
            <w:shd w:val="clear" w:color="auto" w:fill="auto"/>
            <w:vAlign w:val="center"/>
          </w:tcPr>
          <w:p w:rsidR="00823F92" w:rsidRPr="00E00942" w:rsidRDefault="00823F92" w:rsidP="005A3BDD">
            <w:pPr>
              <w:spacing w:line="240" w:lineRule="auto"/>
              <w:rPr>
                <w:rFonts w:ascii="Calibri" w:eastAsia="Calibri" w:hAnsi="Calibri"/>
              </w:rPr>
            </w:pPr>
          </w:p>
        </w:tc>
        <w:tc>
          <w:tcPr>
            <w:tcW w:w="850" w:type="dxa"/>
            <w:vMerge/>
            <w:shd w:val="clear" w:color="auto" w:fill="auto"/>
            <w:vAlign w:val="center"/>
          </w:tcPr>
          <w:p w:rsidR="00823F92" w:rsidRPr="00E00942" w:rsidRDefault="00823F92" w:rsidP="005A3BDD">
            <w:pPr>
              <w:spacing w:line="240" w:lineRule="auto"/>
              <w:rPr>
                <w:rFonts w:ascii="Calibri" w:eastAsia="Calibri" w:hAnsi="Calibri"/>
              </w:rPr>
            </w:pPr>
          </w:p>
        </w:tc>
        <w:tc>
          <w:tcPr>
            <w:tcW w:w="992" w:type="dxa"/>
            <w:vMerge/>
            <w:shd w:val="clear" w:color="auto" w:fill="auto"/>
            <w:vAlign w:val="center"/>
          </w:tcPr>
          <w:p w:rsidR="00823F92" w:rsidRPr="00E00942" w:rsidRDefault="00823F92" w:rsidP="005A3BDD">
            <w:pPr>
              <w:spacing w:line="240" w:lineRule="auto"/>
              <w:rPr>
                <w:rFonts w:ascii="Calibri" w:eastAsia="Calibri" w:hAnsi="Calibri"/>
              </w:rPr>
            </w:pPr>
          </w:p>
        </w:tc>
        <w:tc>
          <w:tcPr>
            <w:tcW w:w="993" w:type="dxa"/>
            <w:vMerge/>
            <w:shd w:val="clear" w:color="auto" w:fill="auto"/>
            <w:vAlign w:val="center"/>
          </w:tcPr>
          <w:p w:rsidR="00823F92" w:rsidRPr="00E00942" w:rsidRDefault="00823F92" w:rsidP="005A3BDD">
            <w:pPr>
              <w:spacing w:line="240" w:lineRule="auto"/>
              <w:jc w:val="center"/>
              <w:rPr>
                <w:rFonts w:ascii="Calibri" w:eastAsia="Calibri" w:hAnsi="Calibri"/>
              </w:rPr>
            </w:pPr>
          </w:p>
        </w:tc>
      </w:tr>
      <w:tr w:rsidR="00823F92" w:rsidRPr="00E00942" w:rsidTr="005A3BDD">
        <w:trPr>
          <w:trHeight w:val="419"/>
          <w:jc w:val="center"/>
        </w:trPr>
        <w:tc>
          <w:tcPr>
            <w:tcW w:w="1701" w:type="dxa"/>
            <w:shd w:val="clear" w:color="auto" w:fill="auto"/>
            <w:vAlign w:val="center"/>
          </w:tcPr>
          <w:p w:rsidR="00823F92" w:rsidRPr="00ED537B" w:rsidRDefault="00823F92" w:rsidP="005A3BDD">
            <w:pPr>
              <w:spacing w:line="240" w:lineRule="auto"/>
              <w:rPr>
                <w:rFonts w:eastAsia="Calibri"/>
                <w:color w:val="000000"/>
              </w:rPr>
            </w:pPr>
            <w:r w:rsidRPr="00ED537B">
              <w:rPr>
                <w:rFonts w:eastAsia="Calibri"/>
                <w:color w:val="000000"/>
              </w:rPr>
              <w:t xml:space="preserve">BHT solution: 2,000 ppm </w:t>
            </w:r>
          </w:p>
        </w:tc>
        <w:tc>
          <w:tcPr>
            <w:tcW w:w="1418" w:type="dxa"/>
            <w:vAlign w:val="center"/>
          </w:tcPr>
          <w:p w:rsidR="00823F92" w:rsidRPr="00E00942" w:rsidRDefault="00823F92" w:rsidP="005A3BDD">
            <w:pPr>
              <w:spacing w:line="240" w:lineRule="auto"/>
              <w:jc w:val="center"/>
              <w:rPr>
                <w:rFonts w:ascii="Calibri" w:eastAsia="Calibri" w:hAnsi="Calibri"/>
              </w:rPr>
            </w:pPr>
            <w:r>
              <w:t>400</w:t>
            </w:r>
          </w:p>
        </w:tc>
        <w:tc>
          <w:tcPr>
            <w:tcW w:w="850" w:type="dxa"/>
            <w:vMerge/>
            <w:shd w:val="clear" w:color="auto" w:fill="auto"/>
            <w:vAlign w:val="center"/>
          </w:tcPr>
          <w:p w:rsidR="00823F92" w:rsidRPr="00E00942" w:rsidRDefault="00823F92" w:rsidP="005A3BDD">
            <w:pPr>
              <w:spacing w:line="240" w:lineRule="auto"/>
              <w:jc w:val="center"/>
              <w:rPr>
                <w:rFonts w:ascii="Calibri" w:eastAsia="Calibri" w:hAnsi="Calibri"/>
              </w:rPr>
            </w:pPr>
          </w:p>
        </w:tc>
        <w:tc>
          <w:tcPr>
            <w:tcW w:w="851" w:type="dxa"/>
            <w:vMerge/>
            <w:shd w:val="clear" w:color="auto" w:fill="auto"/>
            <w:vAlign w:val="center"/>
          </w:tcPr>
          <w:p w:rsidR="00823F92" w:rsidRPr="00E00942" w:rsidRDefault="00823F92" w:rsidP="005A3BDD">
            <w:pPr>
              <w:spacing w:line="240" w:lineRule="auto"/>
              <w:jc w:val="center"/>
              <w:rPr>
                <w:rFonts w:ascii="Calibri" w:eastAsia="Calibri" w:hAnsi="Calibri"/>
              </w:rPr>
            </w:pPr>
          </w:p>
        </w:tc>
        <w:tc>
          <w:tcPr>
            <w:tcW w:w="850" w:type="dxa"/>
            <w:vMerge/>
            <w:shd w:val="clear" w:color="auto" w:fill="auto"/>
            <w:vAlign w:val="center"/>
          </w:tcPr>
          <w:p w:rsidR="00823F92" w:rsidRPr="00E00942" w:rsidRDefault="00823F92" w:rsidP="005A3BDD">
            <w:pPr>
              <w:spacing w:line="240" w:lineRule="auto"/>
              <w:rPr>
                <w:rFonts w:ascii="Calibri" w:eastAsia="Calibri" w:hAnsi="Calibri"/>
              </w:rPr>
            </w:pPr>
          </w:p>
        </w:tc>
        <w:tc>
          <w:tcPr>
            <w:tcW w:w="992" w:type="dxa"/>
            <w:vMerge/>
            <w:shd w:val="clear" w:color="auto" w:fill="auto"/>
            <w:vAlign w:val="center"/>
          </w:tcPr>
          <w:p w:rsidR="00823F92" w:rsidRPr="00E00942" w:rsidRDefault="00823F92" w:rsidP="005A3BDD">
            <w:pPr>
              <w:spacing w:line="240" w:lineRule="auto"/>
              <w:rPr>
                <w:rFonts w:ascii="Calibri" w:eastAsia="Calibri" w:hAnsi="Calibri"/>
              </w:rPr>
            </w:pPr>
          </w:p>
        </w:tc>
        <w:tc>
          <w:tcPr>
            <w:tcW w:w="993" w:type="dxa"/>
            <w:vMerge/>
            <w:shd w:val="clear" w:color="auto" w:fill="auto"/>
            <w:vAlign w:val="center"/>
          </w:tcPr>
          <w:p w:rsidR="00823F92" w:rsidRPr="00E00942" w:rsidRDefault="00823F92" w:rsidP="005A3BDD">
            <w:pPr>
              <w:spacing w:line="240" w:lineRule="auto"/>
              <w:jc w:val="center"/>
              <w:rPr>
                <w:rFonts w:ascii="Calibri" w:eastAsia="Calibri" w:hAnsi="Calibri"/>
              </w:rPr>
            </w:pPr>
          </w:p>
        </w:tc>
      </w:tr>
      <w:tr w:rsidR="00823F92" w:rsidRPr="00E00942" w:rsidTr="005A3BDD">
        <w:trPr>
          <w:trHeight w:val="488"/>
          <w:jc w:val="center"/>
        </w:trPr>
        <w:tc>
          <w:tcPr>
            <w:tcW w:w="1701" w:type="dxa"/>
            <w:shd w:val="clear" w:color="auto" w:fill="auto"/>
            <w:vAlign w:val="center"/>
          </w:tcPr>
          <w:p w:rsidR="00823F92" w:rsidRPr="00ED537B" w:rsidRDefault="00823F92" w:rsidP="005A3BDD">
            <w:pPr>
              <w:spacing w:line="240" w:lineRule="auto"/>
              <w:rPr>
                <w:rFonts w:eastAsia="Calibri"/>
                <w:color w:val="000000"/>
              </w:rPr>
            </w:pPr>
            <w:r w:rsidRPr="00ED537B">
              <w:rPr>
                <w:rFonts w:eastAsia="Calibri"/>
                <w:color w:val="000000"/>
              </w:rPr>
              <w:t xml:space="preserve">BHT solution: 4,000 ppm </w:t>
            </w:r>
          </w:p>
        </w:tc>
        <w:tc>
          <w:tcPr>
            <w:tcW w:w="1418" w:type="dxa"/>
            <w:vAlign w:val="center"/>
          </w:tcPr>
          <w:p w:rsidR="00823F92" w:rsidRPr="00E00942" w:rsidRDefault="00823F92" w:rsidP="005A3BDD">
            <w:pPr>
              <w:spacing w:line="240" w:lineRule="auto"/>
              <w:jc w:val="center"/>
              <w:rPr>
                <w:rFonts w:ascii="Calibri" w:eastAsia="Calibri" w:hAnsi="Calibri"/>
              </w:rPr>
            </w:pPr>
            <w:r>
              <w:t>800</w:t>
            </w:r>
          </w:p>
        </w:tc>
        <w:tc>
          <w:tcPr>
            <w:tcW w:w="850" w:type="dxa"/>
            <w:vMerge/>
            <w:shd w:val="clear" w:color="auto" w:fill="auto"/>
            <w:vAlign w:val="center"/>
          </w:tcPr>
          <w:p w:rsidR="00823F92" w:rsidRPr="00E00942" w:rsidRDefault="00823F92" w:rsidP="005A3BDD">
            <w:pPr>
              <w:spacing w:line="240" w:lineRule="auto"/>
              <w:jc w:val="center"/>
              <w:rPr>
                <w:rFonts w:ascii="Calibri" w:eastAsia="Calibri" w:hAnsi="Calibri"/>
              </w:rPr>
            </w:pPr>
          </w:p>
        </w:tc>
        <w:tc>
          <w:tcPr>
            <w:tcW w:w="851" w:type="dxa"/>
            <w:vMerge/>
            <w:shd w:val="clear" w:color="auto" w:fill="auto"/>
            <w:vAlign w:val="center"/>
          </w:tcPr>
          <w:p w:rsidR="00823F92" w:rsidRPr="00E00942" w:rsidRDefault="00823F92" w:rsidP="005A3BDD">
            <w:pPr>
              <w:spacing w:line="240" w:lineRule="auto"/>
              <w:jc w:val="center"/>
              <w:rPr>
                <w:rFonts w:ascii="Calibri" w:eastAsia="Calibri" w:hAnsi="Calibri"/>
              </w:rPr>
            </w:pPr>
          </w:p>
        </w:tc>
        <w:tc>
          <w:tcPr>
            <w:tcW w:w="850" w:type="dxa"/>
            <w:vMerge/>
            <w:shd w:val="clear" w:color="auto" w:fill="auto"/>
            <w:vAlign w:val="center"/>
          </w:tcPr>
          <w:p w:rsidR="00823F92" w:rsidRPr="00E00942" w:rsidRDefault="00823F92" w:rsidP="005A3BDD">
            <w:pPr>
              <w:spacing w:line="240" w:lineRule="auto"/>
              <w:rPr>
                <w:rFonts w:ascii="Calibri" w:eastAsia="Calibri" w:hAnsi="Calibri"/>
              </w:rPr>
            </w:pPr>
          </w:p>
        </w:tc>
        <w:tc>
          <w:tcPr>
            <w:tcW w:w="992" w:type="dxa"/>
            <w:vMerge/>
            <w:shd w:val="clear" w:color="auto" w:fill="auto"/>
            <w:vAlign w:val="center"/>
          </w:tcPr>
          <w:p w:rsidR="00823F92" w:rsidRPr="00E00942" w:rsidRDefault="00823F92" w:rsidP="005A3BDD">
            <w:pPr>
              <w:spacing w:line="240" w:lineRule="auto"/>
              <w:rPr>
                <w:rFonts w:ascii="Calibri" w:eastAsia="Calibri" w:hAnsi="Calibri"/>
              </w:rPr>
            </w:pPr>
          </w:p>
        </w:tc>
        <w:tc>
          <w:tcPr>
            <w:tcW w:w="993" w:type="dxa"/>
            <w:vMerge/>
            <w:shd w:val="clear" w:color="auto" w:fill="auto"/>
            <w:vAlign w:val="center"/>
          </w:tcPr>
          <w:p w:rsidR="00823F92" w:rsidRPr="00E00942" w:rsidRDefault="00823F92" w:rsidP="005A3BDD">
            <w:pPr>
              <w:spacing w:line="240" w:lineRule="auto"/>
              <w:rPr>
                <w:rFonts w:ascii="Calibri" w:eastAsia="Calibri" w:hAnsi="Calibri"/>
              </w:rPr>
            </w:pPr>
          </w:p>
        </w:tc>
      </w:tr>
      <w:tr w:rsidR="00823F92" w:rsidRPr="00E00942" w:rsidTr="005A3BDD">
        <w:trPr>
          <w:trHeight w:val="416"/>
          <w:jc w:val="center"/>
        </w:trPr>
        <w:tc>
          <w:tcPr>
            <w:tcW w:w="1701" w:type="dxa"/>
            <w:shd w:val="clear" w:color="auto" w:fill="auto"/>
            <w:vAlign w:val="center"/>
          </w:tcPr>
          <w:p w:rsidR="00823F92" w:rsidRDefault="00823F92" w:rsidP="005A3BDD">
            <w:pPr>
              <w:spacing w:line="240" w:lineRule="auto"/>
              <w:rPr>
                <w:rFonts w:eastAsia="Calibri"/>
                <w:color w:val="000000"/>
              </w:rPr>
            </w:pPr>
            <w:r w:rsidRPr="00ED537B">
              <w:rPr>
                <w:rFonts w:eastAsia="Calibri"/>
                <w:color w:val="000000"/>
              </w:rPr>
              <w:t>Tocopherol/</w:t>
            </w:r>
          </w:p>
          <w:p w:rsidR="00823F92" w:rsidRPr="00ED537B" w:rsidRDefault="00823F92" w:rsidP="005A3BDD">
            <w:pPr>
              <w:spacing w:line="240" w:lineRule="auto"/>
              <w:rPr>
                <w:rFonts w:eastAsia="Calibri"/>
                <w:color w:val="000000"/>
              </w:rPr>
            </w:pPr>
            <w:r w:rsidRPr="00ED537B">
              <w:rPr>
                <w:rFonts w:eastAsia="Calibri"/>
                <w:color w:val="000000"/>
              </w:rPr>
              <w:t>rosemary extract blend: 2,000 ppm</w:t>
            </w:r>
          </w:p>
        </w:tc>
        <w:tc>
          <w:tcPr>
            <w:tcW w:w="1418" w:type="dxa"/>
            <w:vAlign w:val="center"/>
          </w:tcPr>
          <w:p w:rsidR="00823F92" w:rsidRPr="00E00942" w:rsidRDefault="00823F92" w:rsidP="005A3BDD">
            <w:pPr>
              <w:spacing w:line="240" w:lineRule="auto"/>
              <w:jc w:val="center"/>
              <w:rPr>
                <w:rFonts w:ascii="Calibri" w:eastAsia="Calibri" w:hAnsi="Calibri"/>
                <w:color w:val="000000"/>
              </w:rPr>
            </w:pPr>
            <w:r>
              <w:t>460 ppm tocopherols + &lt; 20 ppm rosemary extract (containing 1ppm carnosic acid)</w:t>
            </w:r>
          </w:p>
        </w:tc>
        <w:tc>
          <w:tcPr>
            <w:tcW w:w="850" w:type="dxa"/>
            <w:vMerge/>
            <w:shd w:val="clear" w:color="auto" w:fill="auto"/>
            <w:vAlign w:val="center"/>
          </w:tcPr>
          <w:p w:rsidR="00823F92" w:rsidRPr="00E00942" w:rsidRDefault="00823F92" w:rsidP="005A3BDD">
            <w:pPr>
              <w:spacing w:line="240" w:lineRule="auto"/>
              <w:jc w:val="center"/>
              <w:rPr>
                <w:rFonts w:ascii="Calibri" w:eastAsia="Calibri" w:hAnsi="Calibri"/>
                <w:color w:val="000000"/>
              </w:rPr>
            </w:pPr>
          </w:p>
        </w:tc>
        <w:tc>
          <w:tcPr>
            <w:tcW w:w="851" w:type="dxa"/>
            <w:vMerge/>
            <w:shd w:val="clear" w:color="auto" w:fill="auto"/>
            <w:vAlign w:val="center"/>
          </w:tcPr>
          <w:p w:rsidR="00823F92" w:rsidRPr="00E00942" w:rsidRDefault="00823F92" w:rsidP="005A3BDD">
            <w:pPr>
              <w:spacing w:line="240" w:lineRule="auto"/>
              <w:jc w:val="center"/>
              <w:rPr>
                <w:rFonts w:ascii="Calibri" w:eastAsia="Calibri" w:hAnsi="Calibri"/>
                <w:color w:val="000000"/>
              </w:rPr>
            </w:pPr>
          </w:p>
        </w:tc>
        <w:tc>
          <w:tcPr>
            <w:tcW w:w="850" w:type="dxa"/>
            <w:vMerge/>
            <w:shd w:val="clear" w:color="auto" w:fill="auto"/>
            <w:vAlign w:val="center"/>
          </w:tcPr>
          <w:p w:rsidR="00823F92" w:rsidRPr="00E00942" w:rsidRDefault="00823F92" w:rsidP="005A3BDD">
            <w:pPr>
              <w:spacing w:line="240" w:lineRule="auto"/>
              <w:rPr>
                <w:rFonts w:ascii="Calibri" w:eastAsia="Calibri" w:hAnsi="Calibri"/>
                <w:color w:val="000000"/>
              </w:rPr>
            </w:pPr>
          </w:p>
        </w:tc>
        <w:tc>
          <w:tcPr>
            <w:tcW w:w="992" w:type="dxa"/>
            <w:vMerge/>
            <w:shd w:val="clear" w:color="auto" w:fill="auto"/>
            <w:vAlign w:val="center"/>
          </w:tcPr>
          <w:p w:rsidR="00823F92" w:rsidRPr="00E00942" w:rsidRDefault="00823F92" w:rsidP="005A3BDD">
            <w:pPr>
              <w:spacing w:line="240" w:lineRule="auto"/>
              <w:rPr>
                <w:rFonts w:ascii="Calibri" w:eastAsia="Calibri" w:hAnsi="Calibri"/>
              </w:rPr>
            </w:pPr>
          </w:p>
        </w:tc>
        <w:tc>
          <w:tcPr>
            <w:tcW w:w="993" w:type="dxa"/>
            <w:vMerge/>
            <w:shd w:val="clear" w:color="auto" w:fill="auto"/>
            <w:vAlign w:val="center"/>
          </w:tcPr>
          <w:p w:rsidR="00823F92" w:rsidRPr="00E00942" w:rsidRDefault="00823F92" w:rsidP="005A3BDD">
            <w:pPr>
              <w:spacing w:line="240" w:lineRule="auto"/>
              <w:rPr>
                <w:rFonts w:ascii="Calibri" w:eastAsia="Calibri" w:hAnsi="Calibri"/>
              </w:rPr>
            </w:pPr>
          </w:p>
        </w:tc>
      </w:tr>
      <w:tr w:rsidR="00823F92" w:rsidRPr="00E00942" w:rsidTr="005A3BDD">
        <w:trPr>
          <w:trHeight w:val="438"/>
          <w:jc w:val="center"/>
        </w:trPr>
        <w:tc>
          <w:tcPr>
            <w:tcW w:w="1701" w:type="dxa"/>
            <w:shd w:val="clear" w:color="auto" w:fill="auto"/>
            <w:vAlign w:val="center"/>
          </w:tcPr>
          <w:p w:rsidR="00823F92" w:rsidRDefault="00823F92" w:rsidP="005A3BDD">
            <w:pPr>
              <w:spacing w:line="240" w:lineRule="auto"/>
              <w:rPr>
                <w:rFonts w:eastAsia="Calibri"/>
                <w:color w:val="000000"/>
              </w:rPr>
            </w:pPr>
            <w:r w:rsidRPr="00ED537B">
              <w:rPr>
                <w:rFonts w:eastAsia="Calibri"/>
                <w:color w:val="000000"/>
              </w:rPr>
              <w:t>Tocopherol/</w:t>
            </w:r>
          </w:p>
          <w:p w:rsidR="00823F92" w:rsidRPr="00ED537B" w:rsidRDefault="00823F92" w:rsidP="005A3BDD">
            <w:pPr>
              <w:spacing w:line="240" w:lineRule="auto"/>
              <w:rPr>
                <w:rFonts w:eastAsia="Calibri"/>
                <w:color w:val="000000"/>
              </w:rPr>
            </w:pPr>
            <w:r w:rsidRPr="00ED537B">
              <w:rPr>
                <w:rFonts w:eastAsia="Calibri"/>
                <w:color w:val="000000"/>
              </w:rPr>
              <w:t>rosemary extract blend: 4,000 ppm</w:t>
            </w:r>
          </w:p>
        </w:tc>
        <w:tc>
          <w:tcPr>
            <w:tcW w:w="1418" w:type="dxa"/>
            <w:vAlign w:val="center"/>
          </w:tcPr>
          <w:p w:rsidR="00823F92" w:rsidRPr="00E00942" w:rsidRDefault="00823F92" w:rsidP="005A3BDD">
            <w:pPr>
              <w:spacing w:line="240" w:lineRule="auto"/>
              <w:jc w:val="center"/>
              <w:rPr>
                <w:rFonts w:ascii="Calibri" w:eastAsia="Calibri" w:hAnsi="Calibri"/>
                <w:color w:val="000000"/>
              </w:rPr>
            </w:pPr>
            <w:r>
              <w:t>920 ppm tocopherols + &lt; 40 ppm rosemary extract (containing 2 ppm carnosic acid)</w:t>
            </w:r>
          </w:p>
        </w:tc>
        <w:tc>
          <w:tcPr>
            <w:tcW w:w="850" w:type="dxa"/>
            <w:vMerge/>
            <w:shd w:val="clear" w:color="auto" w:fill="auto"/>
            <w:vAlign w:val="center"/>
          </w:tcPr>
          <w:p w:rsidR="00823F92" w:rsidRPr="00E00942" w:rsidRDefault="00823F92" w:rsidP="005A3BDD">
            <w:pPr>
              <w:spacing w:line="240" w:lineRule="auto"/>
              <w:jc w:val="center"/>
              <w:rPr>
                <w:rFonts w:ascii="Calibri" w:eastAsia="Calibri" w:hAnsi="Calibri"/>
                <w:color w:val="000000"/>
              </w:rPr>
            </w:pPr>
          </w:p>
        </w:tc>
        <w:tc>
          <w:tcPr>
            <w:tcW w:w="851" w:type="dxa"/>
            <w:vMerge/>
            <w:shd w:val="clear" w:color="auto" w:fill="auto"/>
            <w:vAlign w:val="center"/>
          </w:tcPr>
          <w:p w:rsidR="00823F92" w:rsidRPr="00E00942" w:rsidRDefault="00823F92" w:rsidP="005A3BDD">
            <w:pPr>
              <w:spacing w:line="240" w:lineRule="auto"/>
              <w:jc w:val="center"/>
              <w:rPr>
                <w:rFonts w:ascii="Calibri" w:eastAsia="Calibri" w:hAnsi="Calibri"/>
                <w:color w:val="000000"/>
              </w:rPr>
            </w:pPr>
          </w:p>
        </w:tc>
        <w:tc>
          <w:tcPr>
            <w:tcW w:w="850" w:type="dxa"/>
            <w:vMerge/>
            <w:shd w:val="clear" w:color="auto" w:fill="auto"/>
            <w:vAlign w:val="center"/>
          </w:tcPr>
          <w:p w:rsidR="00823F92" w:rsidRPr="00E00942" w:rsidRDefault="00823F92" w:rsidP="005A3BDD">
            <w:pPr>
              <w:spacing w:line="240" w:lineRule="auto"/>
              <w:rPr>
                <w:rFonts w:ascii="Calibri" w:eastAsia="Calibri" w:hAnsi="Calibri"/>
                <w:color w:val="000000"/>
              </w:rPr>
            </w:pPr>
          </w:p>
        </w:tc>
        <w:tc>
          <w:tcPr>
            <w:tcW w:w="992" w:type="dxa"/>
            <w:vMerge/>
            <w:shd w:val="clear" w:color="auto" w:fill="auto"/>
            <w:vAlign w:val="center"/>
          </w:tcPr>
          <w:p w:rsidR="00823F92" w:rsidRPr="00E00942" w:rsidRDefault="00823F92" w:rsidP="005A3BDD">
            <w:pPr>
              <w:spacing w:line="240" w:lineRule="auto"/>
              <w:rPr>
                <w:rFonts w:ascii="Calibri" w:eastAsia="Calibri" w:hAnsi="Calibri"/>
              </w:rPr>
            </w:pPr>
          </w:p>
        </w:tc>
        <w:tc>
          <w:tcPr>
            <w:tcW w:w="993" w:type="dxa"/>
            <w:vMerge/>
            <w:shd w:val="clear" w:color="auto" w:fill="auto"/>
            <w:vAlign w:val="center"/>
          </w:tcPr>
          <w:p w:rsidR="00823F92" w:rsidRPr="00E00942" w:rsidRDefault="00823F92" w:rsidP="005A3BDD">
            <w:pPr>
              <w:spacing w:line="240" w:lineRule="auto"/>
              <w:rPr>
                <w:rFonts w:ascii="Calibri" w:eastAsia="Calibri" w:hAnsi="Calibri"/>
              </w:rPr>
            </w:pPr>
          </w:p>
        </w:tc>
      </w:tr>
    </w:tbl>
    <w:p w:rsidR="00823F92" w:rsidRDefault="00823F92" w:rsidP="00823F92">
      <w:pPr>
        <w:pStyle w:val="SingleTxtG"/>
        <w:spacing w:before="120"/>
      </w:pPr>
      <w:r>
        <w:t>Where AO = antioxidant; PV = Peroxide value; AV = Anisidine value; FFA = Free Fatty Acid value; PUFA = polyunsaturated fatty acids</w:t>
      </w:r>
    </w:p>
    <w:p w:rsidR="00823F92" w:rsidRDefault="00823F92" w:rsidP="00823F92">
      <w:pPr>
        <w:pStyle w:val="SingleTxtG"/>
        <w:spacing w:before="120"/>
      </w:pPr>
      <w:r>
        <w:t xml:space="preserve">All the fishmeal treatments are stored in two sizes: 50 kg bags as well as 1,000 ton bags.  The two sizes will show whether there is a difference in the deterioration rate of fishmeal in different storage volumes.  </w:t>
      </w:r>
    </w:p>
    <w:p w:rsidR="00823F92" w:rsidRDefault="00823F92" w:rsidP="00823F92">
      <w:pPr>
        <w:pStyle w:val="SingleTxtG"/>
        <w:spacing w:before="120"/>
      </w:pPr>
      <w:r>
        <w:t xml:space="preserve">The 1 ton bags were only analysed intermittently due to cost restraints. Table 2 presents results at Day 0, after 6 and 12-months of storage. </w:t>
      </w:r>
    </w:p>
    <w:p w:rsidR="005B1970" w:rsidRDefault="005B1970" w:rsidP="005B1970">
      <w:pPr>
        <w:pStyle w:val="SingleTxtG"/>
      </w:pPr>
    </w:p>
    <w:p w:rsidR="005B1970" w:rsidRDefault="005B1970" w:rsidP="005B1970">
      <w:pPr>
        <w:pStyle w:val="SingleTxtG"/>
      </w:pPr>
    </w:p>
    <w:p w:rsidR="005B1970" w:rsidRDefault="005B1970" w:rsidP="005B1970">
      <w:pPr>
        <w:pStyle w:val="SingleTxtG"/>
      </w:pPr>
    </w:p>
    <w:p w:rsidR="005B1970" w:rsidRDefault="005B1970" w:rsidP="005B1970">
      <w:pPr>
        <w:pStyle w:val="SingleTxtG"/>
      </w:pPr>
    </w:p>
    <w:p w:rsidR="00823F92" w:rsidRPr="00823F92" w:rsidRDefault="00823F92" w:rsidP="00823F92">
      <w:pPr>
        <w:pStyle w:val="SingleTxtG"/>
        <w:jc w:val="center"/>
        <w:rPr>
          <w:b/>
        </w:rPr>
      </w:pPr>
      <w:r w:rsidRPr="00823F92">
        <w:rPr>
          <w:b/>
        </w:rPr>
        <w:lastRenderedPageBreak/>
        <w:t xml:space="preserve">Table 2: Results of the treatments at Day 0, 6 </w:t>
      </w:r>
      <w:r>
        <w:rPr>
          <w:b/>
        </w:rPr>
        <w:t>months and 12 months storage</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03"/>
        <w:gridCol w:w="992"/>
        <w:gridCol w:w="992"/>
        <w:gridCol w:w="993"/>
        <w:gridCol w:w="860"/>
        <w:gridCol w:w="1134"/>
        <w:gridCol w:w="992"/>
        <w:gridCol w:w="1090"/>
      </w:tblGrid>
      <w:tr w:rsidR="00823F92" w:rsidRPr="00C1589C" w:rsidTr="005A3BDD">
        <w:trPr>
          <w:jc w:val="center"/>
        </w:trPr>
        <w:tc>
          <w:tcPr>
            <w:tcW w:w="2395" w:type="dxa"/>
            <w:gridSpan w:val="2"/>
            <w:vMerge w:val="restart"/>
            <w:tcBorders>
              <w:left w:val="single" w:sz="12" w:space="0" w:color="auto"/>
            </w:tcBorders>
            <w:shd w:val="clear" w:color="auto" w:fill="F2F2F2"/>
            <w:vAlign w:val="center"/>
          </w:tcPr>
          <w:p w:rsidR="00823F92" w:rsidRPr="00C1589C" w:rsidRDefault="00823F92" w:rsidP="005A3BDD">
            <w:pPr>
              <w:spacing w:line="240" w:lineRule="auto"/>
              <w:rPr>
                <w:rFonts w:eastAsia="Calibri"/>
                <w:b/>
              </w:rPr>
            </w:pPr>
            <w:r w:rsidRPr="00C1589C">
              <w:rPr>
                <w:rFonts w:eastAsia="Calibri"/>
                <w:b/>
              </w:rPr>
              <w:t>Treatments</w:t>
            </w:r>
          </w:p>
        </w:tc>
        <w:tc>
          <w:tcPr>
            <w:tcW w:w="6061" w:type="dxa"/>
            <w:gridSpan w:val="6"/>
            <w:tcBorders>
              <w:bottom w:val="single" w:sz="4" w:space="0" w:color="auto"/>
              <w:right w:val="single" w:sz="12" w:space="0" w:color="auto"/>
            </w:tcBorders>
            <w:shd w:val="clear" w:color="auto" w:fill="D9D9D9" w:themeFill="background1" w:themeFillShade="D9"/>
            <w:tcMar>
              <w:left w:w="28" w:type="dxa"/>
              <w:right w:w="28" w:type="dxa"/>
            </w:tcMar>
          </w:tcPr>
          <w:p w:rsidR="00823F92" w:rsidRPr="00C1589C" w:rsidRDefault="00823F92" w:rsidP="005A3BDD">
            <w:pPr>
              <w:spacing w:line="240" w:lineRule="auto"/>
              <w:jc w:val="center"/>
              <w:rPr>
                <w:rFonts w:eastAsia="Calibri"/>
                <w:b/>
              </w:rPr>
            </w:pPr>
            <w:r w:rsidRPr="00C1589C">
              <w:rPr>
                <w:rFonts w:eastAsia="Calibri"/>
                <w:b/>
              </w:rPr>
              <w:t xml:space="preserve">Sampling intervals </w:t>
            </w:r>
          </w:p>
        </w:tc>
      </w:tr>
      <w:tr w:rsidR="00823F92" w:rsidRPr="00C1589C" w:rsidTr="005A3BDD">
        <w:trPr>
          <w:jc w:val="center"/>
        </w:trPr>
        <w:tc>
          <w:tcPr>
            <w:tcW w:w="2395" w:type="dxa"/>
            <w:gridSpan w:val="2"/>
            <w:vMerge/>
            <w:tcBorders>
              <w:left w:val="single" w:sz="12" w:space="0" w:color="auto"/>
              <w:right w:val="single" w:sz="12" w:space="0" w:color="auto"/>
            </w:tcBorders>
            <w:shd w:val="clear" w:color="auto" w:fill="auto"/>
            <w:vAlign w:val="center"/>
          </w:tcPr>
          <w:p w:rsidR="00823F92" w:rsidRPr="00C1589C" w:rsidRDefault="00823F92" w:rsidP="005A3BDD">
            <w:pPr>
              <w:spacing w:line="240" w:lineRule="auto"/>
              <w:rPr>
                <w:rFonts w:eastAsia="Calibri"/>
                <w:b/>
              </w:rPr>
            </w:pPr>
          </w:p>
        </w:tc>
        <w:tc>
          <w:tcPr>
            <w:tcW w:w="992" w:type="dxa"/>
            <w:tcBorders>
              <w:left w:val="single" w:sz="12" w:space="0" w:color="auto"/>
              <w:right w:val="single" w:sz="12" w:space="0" w:color="auto"/>
            </w:tcBorders>
            <w:shd w:val="clear" w:color="auto" w:fill="D9D9D9" w:themeFill="background1" w:themeFillShade="D9"/>
            <w:tcMar>
              <w:left w:w="28" w:type="dxa"/>
              <w:right w:w="28" w:type="dxa"/>
            </w:tcMar>
          </w:tcPr>
          <w:p w:rsidR="00823F92" w:rsidRPr="00C1589C" w:rsidRDefault="00823F92" w:rsidP="005A3BDD">
            <w:pPr>
              <w:spacing w:line="240" w:lineRule="auto"/>
              <w:jc w:val="center"/>
              <w:rPr>
                <w:rFonts w:eastAsia="Calibri"/>
                <w:b/>
              </w:rPr>
            </w:pPr>
            <w:r w:rsidRPr="00C1589C">
              <w:rPr>
                <w:rFonts w:eastAsia="Calibri"/>
                <w:b/>
              </w:rPr>
              <w:t>Day</w:t>
            </w:r>
            <w:r>
              <w:rPr>
                <w:rFonts w:eastAsia="Calibri"/>
                <w:b/>
              </w:rPr>
              <w:t xml:space="preserve"> 0</w:t>
            </w:r>
          </w:p>
        </w:tc>
        <w:tc>
          <w:tcPr>
            <w:tcW w:w="2987" w:type="dxa"/>
            <w:gridSpan w:val="3"/>
            <w:tcBorders>
              <w:left w:val="single" w:sz="12" w:space="0" w:color="auto"/>
              <w:right w:val="single" w:sz="12" w:space="0" w:color="auto"/>
            </w:tcBorders>
            <w:shd w:val="clear" w:color="auto" w:fill="D9D9D9" w:themeFill="background1" w:themeFillShade="D9"/>
            <w:vAlign w:val="center"/>
          </w:tcPr>
          <w:p w:rsidR="00823F92" w:rsidRPr="00C1589C" w:rsidRDefault="00823F92" w:rsidP="005A3BDD">
            <w:pPr>
              <w:spacing w:line="240" w:lineRule="auto"/>
              <w:jc w:val="center"/>
              <w:rPr>
                <w:rFonts w:eastAsia="Calibri"/>
                <w:b/>
              </w:rPr>
            </w:pPr>
            <w:r>
              <w:rPr>
                <w:rFonts w:eastAsia="Calibri"/>
                <w:b/>
              </w:rPr>
              <w:t>6 months</w:t>
            </w:r>
          </w:p>
        </w:tc>
        <w:tc>
          <w:tcPr>
            <w:tcW w:w="2082" w:type="dxa"/>
            <w:gridSpan w:val="2"/>
            <w:tcBorders>
              <w:left w:val="single" w:sz="12" w:space="0" w:color="auto"/>
              <w:right w:val="single" w:sz="12" w:space="0" w:color="auto"/>
            </w:tcBorders>
            <w:shd w:val="clear" w:color="auto" w:fill="D9D9D9" w:themeFill="background1" w:themeFillShade="D9"/>
          </w:tcPr>
          <w:p w:rsidR="00823F92" w:rsidRDefault="00823F92" w:rsidP="005A3BDD">
            <w:pPr>
              <w:spacing w:line="240" w:lineRule="auto"/>
              <w:jc w:val="center"/>
              <w:rPr>
                <w:rFonts w:eastAsia="Calibri"/>
                <w:b/>
              </w:rPr>
            </w:pPr>
            <w:r>
              <w:rPr>
                <w:rFonts w:eastAsia="Calibri"/>
                <w:b/>
              </w:rPr>
              <w:t>12 months</w:t>
            </w:r>
          </w:p>
        </w:tc>
      </w:tr>
      <w:tr w:rsidR="00823F92" w:rsidRPr="00C1589C" w:rsidTr="005A3BDD">
        <w:trPr>
          <w:jc w:val="center"/>
        </w:trPr>
        <w:tc>
          <w:tcPr>
            <w:tcW w:w="2395" w:type="dxa"/>
            <w:gridSpan w:val="2"/>
            <w:vMerge/>
            <w:tcBorders>
              <w:left w:val="single" w:sz="12" w:space="0" w:color="auto"/>
              <w:right w:val="single" w:sz="12" w:space="0" w:color="auto"/>
            </w:tcBorders>
            <w:shd w:val="clear" w:color="auto" w:fill="auto"/>
            <w:vAlign w:val="center"/>
          </w:tcPr>
          <w:p w:rsidR="00823F92" w:rsidRPr="00C1589C" w:rsidRDefault="00823F92" w:rsidP="005A3BDD">
            <w:pPr>
              <w:spacing w:line="240" w:lineRule="auto"/>
              <w:rPr>
                <w:rFonts w:eastAsia="Calibri"/>
                <w:b/>
              </w:rPr>
            </w:pPr>
          </w:p>
        </w:tc>
        <w:tc>
          <w:tcPr>
            <w:tcW w:w="992" w:type="dxa"/>
            <w:tcBorders>
              <w:left w:val="single" w:sz="12" w:space="0" w:color="auto"/>
              <w:right w:val="single" w:sz="12" w:space="0" w:color="auto"/>
            </w:tcBorders>
            <w:shd w:val="clear" w:color="auto" w:fill="F2F2F2"/>
            <w:tcMar>
              <w:left w:w="28" w:type="dxa"/>
              <w:right w:w="28" w:type="dxa"/>
            </w:tcMar>
            <w:vAlign w:val="center"/>
          </w:tcPr>
          <w:p w:rsidR="00823F92" w:rsidRDefault="00823F92" w:rsidP="005A3BDD">
            <w:pPr>
              <w:spacing w:line="240" w:lineRule="auto"/>
              <w:jc w:val="center"/>
              <w:rPr>
                <w:rFonts w:eastAsia="Calibri"/>
                <w:b/>
              </w:rPr>
            </w:pPr>
            <w:r w:rsidRPr="00315F75">
              <w:rPr>
                <w:rFonts w:eastAsia="Calibri"/>
                <w:b/>
              </w:rPr>
              <w:t xml:space="preserve">Antioxidant level </w:t>
            </w:r>
          </w:p>
          <w:p w:rsidR="00823F92" w:rsidRPr="00C1589C" w:rsidRDefault="00823F92" w:rsidP="005A3BDD">
            <w:pPr>
              <w:spacing w:line="240" w:lineRule="auto"/>
              <w:jc w:val="center"/>
              <w:rPr>
                <w:rFonts w:eastAsia="Calibri"/>
                <w:b/>
              </w:rPr>
            </w:pPr>
            <w:r>
              <w:rPr>
                <w:rFonts w:eastAsia="Calibri"/>
                <w:b/>
              </w:rPr>
              <w:t>(</w:t>
            </w:r>
            <w:r w:rsidRPr="00315F75">
              <w:rPr>
                <w:rFonts w:eastAsia="Calibri"/>
              </w:rPr>
              <w:t>ppm</w:t>
            </w:r>
            <w:r>
              <w:rPr>
                <w:rFonts w:eastAsia="Calibri"/>
              </w:rPr>
              <w:t>)</w:t>
            </w:r>
          </w:p>
        </w:tc>
        <w:tc>
          <w:tcPr>
            <w:tcW w:w="993" w:type="dxa"/>
            <w:tcBorders>
              <w:left w:val="single" w:sz="12" w:space="0" w:color="auto"/>
            </w:tcBorders>
            <w:shd w:val="clear" w:color="auto" w:fill="F2F2F2"/>
            <w:tcMar>
              <w:left w:w="28" w:type="dxa"/>
              <w:right w:w="28" w:type="dxa"/>
            </w:tcMar>
            <w:vAlign w:val="center"/>
          </w:tcPr>
          <w:p w:rsidR="00823F92" w:rsidRDefault="00823F92" w:rsidP="005A3BDD">
            <w:pPr>
              <w:spacing w:line="240" w:lineRule="auto"/>
              <w:jc w:val="center"/>
              <w:rPr>
                <w:rFonts w:eastAsia="Calibri"/>
                <w:b/>
              </w:rPr>
            </w:pPr>
            <w:r w:rsidRPr="00315F75">
              <w:rPr>
                <w:rFonts w:eastAsia="Calibri"/>
                <w:b/>
              </w:rPr>
              <w:t xml:space="preserve">Antioxidant level </w:t>
            </w:r>
          </w:p>
          <w:p w:rsidR="00823F92" w:rsidRPr="00C1589C" w:rsidRDefault="00823F92" w:rsidP="005A3BDD">
            <w:pPr>
              <w:spacing w:line="240" w:lineRule="auto"/>
              <w:jc w:val="center"/>
              <w:rPr>
                <w:rFonts w:eastAsia="Calibri"/>
                <w:b/>
              </w:rPr>
            </w:pPr>
            <w:r>
              <w:rPr>
                <w:rFonts w:eastAsia="Calibri"/>
                <w:b/>
              </w:rPr>
              <w:t>(</w:t>
            </w:r>
            <w:r w:rsidRPr="00315F75">
              <w:rPr>
                <w:rFonts w:eastAsia="Calibri"/>
              </w:rPr>
              <w:t>ppm</w:t>
            </w:r>
            <w:r>
              <w:rPr>
                <w:rFonts w:eastAsia="Calibri"/>
              </w:rPr>
              <w:t>)</w:t>
            </w:r>
          </w:p>
        </w:tc>
        <w:tc>
          <w:tcPr>
            <w:tcW w:w="860" w:type="dxa"/>
            <w:shd w:val="clear" w:color="auto" w:fill="F2F2F2"/>
            <w:vAlign w:val="center"/>
          </w:tcPr>
          <w:p w:rsidR="00823F92" w:rsidRPr="001E29FD" w:rsidRDefault="00823F92" w:rsidP="005A3BDD">
            <w:pPr>
              <w:spacing w:line="240" w:lineRule="auto"/>
              <w:jc w:val="center"/>
              <w:rPr>
                <w:rFonts w:eastAsia="Calibri"/>
                <w:b/>
              </w:rPr>
            </w:pPr>
            <w:r w:rsidRPr="001E29FD">
              <w:rPr>
                <w:rFonts w:eastAsia="Calibri"/>
                <w:b/>
              </w:rPr>
              <w:t>Self heating test</w:t>
            </w:r>
          </w:p>
        </w:tc>
        <w:tc>
          <w:tcPr>
            <w:tcW w:w="1134" w:type="dxa"/>
            <w:tcBorders>
              <w:right w:val="single" w:sz="12" w:space="0" w:color="auto"/>
            </w:tcBorders>
            <w:shd w:val="clear" w:color="auto" w:fill="F2F2F2"/>
            <w:vAlign w:val="center"/>
          </w:tcPr>
          <w:p w:rsidR="00823F92" w:rsidRPr="001E29FD" w:rsidRDefault="00823F92" w:rsidP="005A3BDD">
            <w:pPr>
              <w:spacing w:line="240" w:lineRule="auto"/>
              <w:jc w:val="center"/>
              <w:rPr>
                <w:rFonts w:eastAsia="Calibri"/>
                <w:b/>
              </w:rPr>
            </w:pPr>
            <w:r w:rsidRPr="001E29FD">
              <w:rPr>
                <w:rFonts w:eastAsia="Calibri"/>
                <w:b/>
              </w:rPr>
              <w:t xml:space="preserve">Oxygen Bomb </w:t>
            </w:r>
            <w:r>
              <w:rPr>
                <w:rFonts w:eastAsia="Calibri"/>
                <w:b/>
              </w:rPr>
              <w:t xml:space="preserve">induction period </w:t>
            </w:r>
            <w:r w:rsidRPr="00AE651B">
              <w:rPr>
                <w:rFonts w:eastAsia="Calibri"/>
              </w:rPr>
              <w:t>(hrs)</w:t>
            </w:r>
          </w:p>
        </w:tc>
        <w:tc>
          <w:tcPr>
            <w:tcW w:w="992" w:type="dxa"/>
            <w:tcBorders>
              <w:left w:val="single" w:sz="12" w:space="0" w:color="auto"/>
            </w:tcBorders>
            <w:shd w:val="clear" w:color="auto" w:fill="F2F2F2"/>
            <w:vAlign w:val="center"/>
          </w:tcPr>
          <w:p w:rsidR="00823F92" w:rsidRPr="0028329F" w:rsidRDefault="00823F92" w:rsidP="005A3BDD">
            <w:pPr>
              <w:spacing w:line="240" w:lineRule="auto"/>
              <w:jc w:val="center"/>
              <w:rPr>
                <w:rFonts w:eastAsia="Calibri"/>
                <w:b/>
              </w:rPr>
            </w:pPr>
            <w:r w:rsidRPr="0028329F">
              <w:rPr>
                <w:rFonts w:eastAsia="Calibri"/>
                <w:b/>
              </w:rPr>
              <w:t xml:space="preserve">Antioxidant level </w:t>
            </w:r>
          </w:p>
          <w:p w:rsidR="00823F92" w:rsidRPr="001E29FD" w:rsidRDefault="00823F92" w:rsidP="005A3BDD">
            <w:pPr>
              <w:spacing w:line="240" w:lineRule="auto"/>
              <w:jc w:val="center"/>
              <w:rPr>
                <w:rFonts w:eastAsia="Calibri"/>
                <w:b/>
              </w:rPr>
            </w:pPr>
            <w:r w:rsidRPr="0028329F">
              <w:rPr>
                <w:rFonts w:eastAsia="Calibri"/>
                <w:b/>
              </w:rPr>
              <w:t>(ppm)</w:t>
            </w:r>
          </w:p>
        </w:tc>
        <w:tc>
          <w:tcPr>
            <w:tcW w:w="1090" w:type="dxa"/>
            <w:tcBorders>
              <w:right w:val="single" w:sz="12" w:space="0" w:color="auto"/>
            </w:tcBorders>
            <w:shd w:val="clear" w:color="auto" w:fill="F2F2F2"/>
            <w:vAlign w:val="center"/>
          </w:tcPr>
          <w:p w:rsidR="00823F92" w:rsidRPr="0028329F" w:rsidRDefault="00823F92" w:rsidP="005A3BDD">
            <w:pPr>
              <w:spacing w:line="240" w:lineRule="auto"/>
              <w:jc w:val="center"/>
              <w:rPr>
                <w:rFonts w:eastAsia="Calibri"/>
                <w:b/>
              </w:rPr>
            </w:pPr>
            <w:r w:rsidRPr="008D61D5">
              <w:rPr>
                <w:rFonts w:eastAsia="Calibri"/>
                <w:b/>
              </w:rPr>
              <w:t>Self heating test</w:t>
            </w:r>
          </w:p>
        </w:tc>
      </w:tr>
      <w:tr w:rsidR="00823F92" w:rsidRPr="00C1589C" w:rsidTr="005A3BDD">
        <w:trPr>
          <w:jc w:val="center"/>
        </w:trPr>
        <w:tc>
          <w:tcPr>
            <w:tcW w:w="1403" w:type="dxa"/>
            <w:vMerge w:val="restart"/>
            <w:tcBorders>
              <w:left w:val="single" w:sz="12" w:space="0" w:color="auto"/>
            </w:tcBorders>
            <w:shd w:val="clear" w:color="auto" w:fill="auto"/>
            <w:tcMar>
              <w:right w:w="28" w:type="dxa"/>
            </w:tcMar>
            <w:vAlign w:val="center"/>
          </w:tcPr>
          <w:p w:rsidR="00823F92" w:rsidRPr="00315F75" w:rsidRDefault="00823F92" w:rsidP="005A3BDD">
            <w:pPr>
              <w:spacing w:line="240" w:lineRule="auto"/>
              <w:rPr>
                <w:rFonts w:eastAsia="Calibri"/>
                <w:color w:val="000000"/>
              </w:rPr>
            </w:pPr>
            <w:r w:rsidRPr="00C1589C">
              <w:rPr>
                <w:rFonts w:eastAsia="Calibri"/>
                <w:color w:val="000000"/>
              </w:rPr>
              <w:t xml:space="preserve">EQ: </w:t>
            </w:r>
            <w:r>
              <w:rPr>
                <w:rFonts w:eastAsia="Calibri"/>
                <w:color w:val="000000"/>
              </w:rPr>
              <w:t>3</w:t>
            </w:r>
            <w:r w:rsidRPr="00C1589C">
              <w:rPr>
                <w:rFonts w:eastAsia="Calibri"/>
                <w:color w:val="000000"/>
              </w:rPr>
              <w:t xml:space="preserve">00 ppm </w:t>
            </w:r>
          </w:p>
        </w:tc>
        <w:tc>
          <w:tcPr>
            <w:tcW w:w="992" w:type="dxa"/>
            <w:tcBorders>
              <w:right w:val="single" w:sz="12" w:space="0" w:color="auto"/>
            </w:tcBorders>
            <w:shd w:val="clear" w:color="auto" w:fill="auto"/>
            <w:tcMar>
              <w:left w:w="57" w:type="dxa"/>
              <w:right w:w="57" w:type="dxa"/>
            </w:tcMar>
            <w:vAlign w:val="center"/>
          </w:tcPr>
          <w:p w:rsidR="00823F92" w:rsidRPr="00C1589C" w:rsidRDefault="00823F92" w:rsidP="005A3BDD">
            <w:pPr>
              <w:spacing w:line="240" w:lineRule="auto"/>
              <w:rPr>
                <w:rFonts w:eastAsia="Calibri"/>
                <w:color w:val="000000"/>
              </w:rPr>
            </w:pPr>
            <w:r w:rsidRPr="00315F75">
              <w:rPr>
                <w:rFonts w:eastAsia="Calibri"/>
                <w:color w:val="000000"/>
              </w:rPr>
              <w:t>50 kg bag</w:t>
            </w:r>
          </w:p>
        </w:tc>
        <w:tc>
          <w:tcPr>
            <w:tcW w:w="992" w:type="dxa"/>
            <w:tcBorders>
              <w:left w:val="single" w:sz="12" w:space="0" w:color="auto"/>
              <w:right w:val="single" w:sz="12" w:space="0" w:color="auto"/>
            </w:tcBorders>
            <w:shd w:val="clear" w:color="auto" w:fill="auto"/>
            <w:vAlign w:val="center"/>
          </w:tcPr>
          <w:p w:rsidR="00823F92" w:rsidRPr="00C1589C" w:rsidRDefault="00823F92" w:rsidP="005A3BDD">
            <w:pPr>
              <w:spacing w:line="240" w:lineRule="auto"/>
              <w:jc w:val="center"/>
              <w:rPr>
                <w:rFonts w:eastAsia="Calibri"/>
                <w:color w:val="000000"/>
              </w:rPr>
            </w:pPr>
            <w:r>
              <w:rPr>
                <w:rFonts w:eastAsia="Calibri"/>
                <w:color w:val="000000"/>
              </w:rPr>
              <w:t>318</w:t>
            </w:r>
          </w:p>
        </w:tc>
        <w:tc>
          <w:tcPr>
            <w:tcW w:w="993" w:type="dxa"/>
            <w:tcBorders>
              <w:left w:val="single" w:sz="12" w:space="0" w:color="auto"/>
            </w:tcBorders>
            <w:shd w:val="clear" w:color="auto" w:fill="auto"/>
            <w:vAlign w:val="center"/>
          </w:tcPr>
          <w:p w:rsidR="00823F92" w:rsidRPr="00C1589C" w:rsidRDefault="00823F92" w:rsidP="005A3BDD">
            <w:pPr>
              <w:spacing w:line="240" w:lineRule="auto"/>
              <w:jc w:val="center"/>
              <w:rPr>
                <w:rFonts w:eastAsia="Calibri"/>
                <w:color w:val="000000"/>
              </w:rPr>
            </w:pPr>
            <w:r>
              <w:rPr>
                <w:rFonts w:eastAsia="Calibri"/>
                <w:color w:val="000000"/>
              </w:rPr>
              <w:t>259</w:t>
            </w:r>
          </w:p>
        </w:tc>
        <w:tc>
          <w:tcPr>
            <w:tcW w:w="860" w:type="dxa"/>
            <w:shd w:val="clear" w:color="auto" w:fill="auto"/>
            <w:vAlign w:val="center"/>
          </w:tcPr>
          <w:p w:rsidR="00823F92" w:rsidRPr="00C1589C" w:rsidRDefault="00823F92" w:rsidP="005A3BDD">
            <w:pPr>
              <w:spacing w:line="240" w:lineRule="auto"/>
              <w:jc w:val="center"/>
              <w:rPr>
                <w:rFonts w:eastAsia="Calibri"/>
                <w:color w:val="000000"/>
              </w:rPr>
            </w:pPr>
            <w:r>
              <w:rPr>
                <w:rFonts w:eastAsia="Calibri"/>
                <w:color w:val="000000"/>
              </w:rPr>
              <w:t>Neg (pass)</w:t>
            </w:r>
          </w:p>
        </w:tc>
        <w:tc>
          <w:tcPr>
            <w:tcW w:w="1134" w:type="dxa"/>
            <w:tcBorders>
              <w:right w:val="single" w:sz="12" w:space="0" w:color="auto"/>
            </w:tcBorders>
            <w:shd w:val="clear" w:color="auto" w:fill="auto"/>
            <w:vAlign w:val="center"/>
          </w:tcPr>
          <w:p w:rsidR="00823F92" w:rsidRPr="00C1589C" w:rsidRDefault="00823F92" w:rsidP="005A3BDD">
            <w:pPr>
              <w:spacing w:line="240" w:lineRule="auto"/>
              <w:jc w:val="center"/>
              <w:rPr>
                <w:rFonts w:eastAsia="Calibri"/>
                <w:color w:val="000000"/>
              </w:rPr>
            </w:pPr>
            <w:r>
              <w:rPr>
                <w:rFonts w:eastAsia="Calibri"/>
                <w:color w:val="000000"/>
              </w:rPr>
              <w:t>9.5</w:t>
            </w:r>
          </w:p>
        </w:tc>
        <w:tc>
          <w:tcPr>
            <w:tcW w:w="992" w:type="dxa"/>
            <w:tcBorders>
              <w:left w:val="single" w:sz="12" w:space="0" w:color="auto"/>
            </w:tcBorders>
            <w:vAlign w:val="center"/>
          </w:tcPr>
          <w:p w:rsidR="00823F92" w:rsidRDefault="00823F92" w:rsidP="005A3BDD">
            <w:pPr>
              <w:spacing w:line="240" w:lineRule="auto"/>
              <w:jc w:val="center"/>
              <w:rPr>
                <w:rFonts w:eastAsia="Calibri"/>
                <w:color w:val="000000"/>
              </w:rPr>
            </w:pPr>
            <w:r>
              <w:rPr>
                <w:rFonts w:eastAsia="Calibri"/>
                <w:color w:val="000000"/>
              </w:rPr>
              <w:t>151</w:t>
            </w:r>
          </w:p>
        </w:tc>
        <w:tc>
          <w:tcPr>
            <w:tcW w:w="1090" w:type="dxa"/>
            <w:tcBorders>
              <w:right w:val="single" w:sz="12" w:space="0" w:color="auto"/>
            </w:tcBorders>
            <w:vAlign w:val="center"/>
          </w:tcPr>
          <w:p w:rsidR="00823F92" w:rsidRPr="00B524B6" w:rsidRDefault="00823F92" w:rsidP="005A3BDD">
            <w:pPr>
              <w:spacing w:line="240" w:lineRule="auto"/>
              <w:jc w:val="center"/>
              <w:rPr>
                <w:rFonts w:eastAsia="Calibri"/>
                <w:color w:val="000000"/>
                <w:sz w:val="18"/>
                <w:szCs w:val="18"/>
              </w:rPr>
            </w:pPr>
            <w:r w:rsidRPr="00B524B6">
              <w:rPr>
                <w:rFonts w:eastAsia="Calibri"/>
                <w:color w:val="000000"/>
                <w:sz w:val="18"/>
                <w:szCs w:val="18"/>
              </w:rPr>
              <w:t>Currently not available</w:t>
            </w:r>
          </w:p>
        </w:tc>
      </w:tr>
      <w:tr w:rsidR="00823F92" w:rsidRPr="00C1589C" w:rsidTr="005A3BDD">
        <w:trPr>
          <w:jc w:val="center"/>
        </w:trPr>
        <w:tc>
          <w:tcPr>
            <w:tcW w:w="1403" w:type="dxa"/>
            <w:vMerge/>
            <w:tcBorders>
              <w:left w:val="single" w:sz="12" w:space="0" w:color="auto"/>
            </w:tcBorders>
            <w:shd w:val="clear" w:color="auto" w:fill="auto"/>
            <w:tcMar>
              <w:right w:w="28" w:type="dxa"/>
            </w:tcMar>
            <w:vAlign w:val="center"/>
          </w:tcPr>
          <w:p w:rsidR="00823F92" w:rsidRPr="00C1589C" w:rsidRDefault="00823F92" w:rsidP="005A3BDD">
            <w:pPr>
              <w:spacing w:line="240" w:lineRule="auto"/>
              <w:rPr>
                <w:rFonts w:eastAsia="Calibri"/>
                <w:color w:val="000000"/>
              </w:rPr>
            </w:pPr>
          </w:p>
        </w:tc>
        <w:tc>
          <w:tcPr>
            <w:tcW w:w="992" w:type="dxa"/>
            <w:tcBorders>
              <w:right w:val="single" w:sz="12" w:space="0" w:color="auto"/>
            </w:tcBorders>
            <w:shd w:val="clear" w:color="auto" w:fill="auto"/>
            <w:tcMar>
              <w:left w:w="57" w:type="dxa"/>
              <w:right w:w="57" w:type="dxa"/>
            </w:tcMar>
            <w:vAlign w:val="center"/>
          </w:tcPr>
          <w:p w:rsidR="00823F92" w:rsidRPr="00315F75" w:rsidRDefault="00823F92" w:rsidP="005A3BDD">
            <w:pPr>
              <w:spacing w:line="240" w:lineRule="auto"/>
              <w:rPr>
                <w:rFonts w:eastAsia="Calibri"/>
                <w:color w:val="000000"/>
              </w:rPr>
            </w:pPr>
            <w:r w:rsidRPr="00315F75">
              <w:rPr>
                <w:rFonts w:eastAsia="Calibri"/>
                <w:color w:val="000000"/>
              </w:rPr>
              <w:t>1 ton bag</w:t>
            </w:r>
          </w:p>
        </w:tc>
        <w:tc>
          <w:tcPr>
            <w:tcW w:w="992" w:type="dxa"/>
            <w:tcBorders>
              <w:left w:val="single" w:sz="12" w:space="0" w:color="auto"/>
              <w:right w:val="single" w:sz="12" w:space="0" w:color="auto"/>
            </w:tcBorders>
            <w:shd w:val="clear" w:color="auto" w:fill="auto"/>
            <w:vAlign w:val="center"/>
          </w:tcPr>
          <w:p w:rsidR="00823F92" w:rsidRPr="00315F75" w:rsidRDefault="00823F92" w:rsidP="005A3BDD">
            <w:pPr>
              <w:spacing w:line="240" w:lineRule="auto"/>
              <w:jc w:val="center"/>
              <w:rPr>
                <w:rFonts w:eastAsia="Calibri"/>
                <w:color w:val="000000"/>
              </w:rPr>
            </w:pPr>
            <w:r>
              <w:rPr>
                <w:rFonts w:eastAsia="Calibri"/>
                <w:color w:val="000000"/>
              </w:rPr>
              <w:t>297</w:t>
            </w:r>
          </w:p>
        </w:tc>
        <w:tc>
          <w:tcPr>
            <w:tcW w:w="993" w:type="dxa"/>
            <w:tcBorders>
              <w:left w:val="single" w:sz="12" w:space="0" w:color="auto"/>
            </w:tcBorders>
            <w:shd w:val="clear" w:color="auto" w:fill="auto"/>
            <w:vAlign w:val="center"/>
          </w:tcPr>
          <w:p w:rsidR="00823F92" w:rsidRPr="00315F75" w:rsidRDefault="00823F92" w:rsidP="005A3BDD">
            <w:pPr>
              <w:spacing w:line="240" w:lineRule="auto"/>
              <w:jc w:val="center"/>
              <w:rPr>
                <w:rFonts w:eastAsia="Calibri"/>
                <w:color w:val="000000"/>
              </w:rPr>
            </w:pPr>
          </w:p>
        </w:tc>
        <w:tc>
          <w:tcPr>
            <w:tcW w:w="860" w:type="dxa"/>
            <w:shd w:val="clear" w:color="auto" w:fill="auto"/>
            <w:vAlign w:val="center"/>
          </w:tcPr>
          <w:p w:rsidR="00823F92" w:rsidRPr="00315F75" w:rsidRDefault="00823F92" w:rsidP="005A3BDD">
            <w:pPr>
              <w:spacing w:line="240" w:lineRule="auto"/>
              <w:jc w:val="center"/>
              <w:rPr>
                <w:rFonts w:eastAsia="Calibri"/>
                <w:color w:val="000000"/>
              </w:rPr>
            </w:pPr>
          </w:p>
        </w:tc>
        <w:tc>
          <w:tcPr>
            <w:tcW w:w="1134" w:type="dxa"/>
            <w:tcBorders>
              <w:right w:val="single" w:sz="12" w:space="0" w:color="auto"/>
            </w:tcBorders>
            <w:shd w:val="clear" w:color="auto" w:fill="auto"/>
            <w:vAlign w:val="center"/>
          </w:tcPr>
          <w:p w:rsidR="00823F92" w:rsidRPr="00315F75" w:rsidRDefault="00823F92" w:rsidP="005A3BDD">
            <w:pPr>
              <w:spacing w:line="240" w:lineRule="auto"/>
              <w:jc w:val="center"/>
              <w:rPr>
                <w:rFonts w:eastAsia="Calibri"/>
                <w:color w:val="000000"/>
              </w:rPr>
            </w:pPr>
            <w:r>
              <w:rPr>
                <w:rFonts w:eastAsia="Calibri"/>
                <w:color w:val="000000"/>
              </w:rPr>
              <w:t>9.5</w:t>
            </w:r>
          </w:p>
        </w:tc>
        <w:tc>
          <w:tcPr>
            <w:tcW w:w="992" w:type="dxa"/>
            <w:tcBorders>
              <w:left w:val="single" w:sz="12" w:space="0" w:color="auto"/>
            </w:tcBorders>
            <w:vAlign w:val="center"/>
          </w:tcPr>
          <w:p w:rsidR="00823F92" w:rsidRDefault="00823F92" w:rsidP="005A3BDD">
            <w:pPr>
              <w:spacing w:line="240" w:lineRule="auto"/>
              <w:jc w:val="center"/>
              <w:rPr>
                <w:rFonts w:eastAsia="Calibri"/>
                <w:color w:val="000000"/>
              </w:rPr>
            </w:pPr>
            <w:r>
              <w:rPr>
                <w:rFonts w:eastAsia="Calibri"/>
                <w:color w:val="000000"/>
              </w:rPr>
              <w:t>213</w:t>
            </w:r>
          </w:p>
        </w:tc>
        <w:tc>
          <w:tcPr>
            <w:tcW w:w="1090" w:type="dxa"/>
            <w:tcBorders>
              <w:right w:val="single" w:sz="12" w:space="0" w:color="auto"/>
            </w:tcBorders>
            <w:vAlign w:val="center"/>
          </w:tcPr>
          <w:p w:rsidR="00823F92" w:rsidRPr="00B524B6" w:rsidRDefault="00823F92" w:rsidP="005A3BDD">
            <w:pPr>
              <w:spacing w:line="240" w:lineRule="auto"/>
              <w:jc w:val="center"/>
              <w:rPr>
                <w:rFonts w:eastAsia="Calibri"/>
                <w:color w:val="000000"/>
                <w:sz w:val="18"/>
                <w:szCs w:val="18"/>
              </w:rPr>
            </w:pPr>
            <w:r w:rsidRPr="00B524B6">
              <w:rPr>
                <w:rFonts w:eastAsia="Calibri"/>
                <w:color w:val="000000"/>
                <w:sz w:val="18"/>
                <w:szCs w:val="18"/>
              </w:rPr>
              <w:t>Currently not available</w:t>
            </w:r>
          </w:p>
        </w:tc>
      </w:tr>
      <w:tr w:rsidR="00823F92" w:rsidRPr="00C1589C" w:rsidTr="005A3BDD">
        <w:trPr>
          <w:jc w:val="center"/>
        </w:trPr>
        <w:tc>
          <w:tcPr>
            <w:tcW w:w="1403" w:type="dxa"/>
            <w:vMerge w:val="restart"/>
            <w:tcBorders>
              <w:left w:val="single" w:sz="12" w:space="0" w:color="auto"/>
            </w:tcBorders>
            <w:shd w:val="clear" w:color="auto" w:fill="auto"/>
            <w:vAlign w:val="center"/>
          </w:tcPr>
          <w:p w:rsidR="00823F92" w:rsidRPr="00C1589C" w:rsidRDefault="00823F92" w:rsidP="005A3BDD">
            <w:pPr>
              <w:spacing w:line="240" w:lineRule="auto"/>
              <w:rPr>
                <w:rFonts w:eastAsia="Calibri"/>
              </w:rPr>
            </w:pPr>
            <w:r w:rsidRPr="00C1589C">
              <w:rPr>
                <w:rFonts w:eastAsia="Calibri"/>
                <w:color w:val="000000"/>
              </w:rPr>
              <w:t xml:space="preserve">EQ: </w:t>
            </w:r>
            <w:r w:rsidRPr="008D61D5">
              <w:rPr>
                <w:rFonts w:eastAsia="Calibri"/>
              </w:rPr>
              <w:t xml:space="preserve">30-50 ppm </w:t>
            </w:r>
          </w:p>
        </w:tc>
        <w:tc>
          <w:tcPr>
            <w:tcW w:w="992" w:type="dxa"/>
            <w:tcBorders>
              <w:right w:val="single" w:sz="12" w:space="0" w:color="auto"/>
            </w:tcBorders>
            <w:shd w:val="clear" w:color="auto" w:fill="auto"/>
            <w:tcMar>
              <w:left w:w="57" w:type="dxa"/>
              <w:right w:w="57" w:type="dxa"/>
            </w:tcMar>
            <w:vAlign w:val="center"/>
          </w:tcPr>
          <w:p w:rsidR="00823F92" w:rsidRPr="00C1589C" w:rsidRDefault="00823F92" w:rsidP="005A3BDD">
            <w:pPr>
              <w:spacing w:line="240" w:lineRule="auto"/>
              <w:rPr>
                <w:rFonts w:eastAsia="Calibri"/>
                <w:color w:val="000000"/>
              </w:rPr>
            </w:pPr>
            <w:r w:rsidRPr="00315F75">
              <w:rPr>
                <w:rFonts w:eastAsia="Calibri"/>
                <w:color w:val="000000"/>
              </w:rPr>
              <w:t>50 kg bag</w:t>
            </w:r>
          </w:p>
        </w:tc>
        <w:tc>
          <w:tcPr>
            <w:tcW w:w="992" w:type="dxa"/>
            <w:tcBorders>
              <w:left w:val="single" w:sz="12" w:space="0" w:color="auto"/>
              <w:right w:val="single" w:sz="12" w:space="0" w:color="auto"/>
            </w:tcBorders>
            <w:shd w:val="clear" w:color="auto" w:fill="auto"/>
            <w:vAlign w:val="center"/>
          </w:tcPr>
          <w:p w:rsidR="00823F92" w:rsidRPr="00620103" w:rsidRDefault="00823F92" w:rsidP="005A3BDD">
            <w:pPr>
              <w:spacing w:line="240" w:lineRule="auto"/>
              <w:jc w:val="center"/>
              <w:rPr>
                <w:rFonts w:eastAsia="Calibri"/>
                <w:color w:val="000000"/>
              </w:rPr>
            </w:pPr>
            <w:r w:rsidRPr="00620103">
              <w:rPr>
                <w:rFonts w:eastAsia="Calibri"/>
                <w:color w:val="000000"/>
              </w:rPr>
              <w:t>28</w:t>
            </w:r>
          </w:p>
        </w:tc>
        <w:tc>
          <w:tcPr>
            <w:tcW w:w="993" w:type="dxa"/>
            <w:tcBorders>
              <w:left w:val="single" w:sz="12" w:space="0" w:color="auto"/>
            </w:tcBorders>
            <w:shd w:val="clear" w:color="auto" w:fill="auto"/>
            <w:vAlign w:val="center"/>
          </w:tcPr>
          <w:p w:rsidR="00823F92" w:rsidRPr="00620103" w:rsidRDefault="00823F92" w:rsidP="005A3BDD">
            <w:pPr>
              <w:spacing w:line="240" w:lineRule="auto"/>
              <w:jc w:val="center"/>
              <w:rPr>
                <w:rFonts w:eastAsia="Calibri"/>
                <w:color w:val="000000"/>
              </w:rPr>
            </w:pPr>
            <w:r w:rsidRPr="00620103">
              <w:rPr>
                <w:rFonts w:eastAsia="Calibri"/>
                <w:color w:val="000000"/>
              </w:rPr>
              <w:t>&lt;15</w:t>
            </w:r>
          </w:p>
        </w:tc>
        <w:tc>
          <w:tcPr>
            <w:tcW w:w="860" w:type="dxa"/>
            <w:shd w:val="clear" w:color="auto" w:fill="auto"/>
            <w:vAlign w:val="center"/>
          </w:tcPr>
          <w:p w:rsidR="00823F92" w:rsidRPr="00620103" w:rsidRDefault="00823F92" w:rsidP="005A3BDD">
            <w:pPr>
              <w:spacing w:line="240" w:lineRule="auto"/>
              <w:jc w:val="center"/>
              <w:rPr>
                <w:rFonts w:eastAsia="Calibri"/>
                <w:color w:val="000000"/>
              </w:rPr>
            </w:pPr>
          </w:p>
        </w:tc>
        <w:tc>
          <w:tcPr>
            <w:tcW w:w="1134" w:type="dxa"/>
            <w:tcBorders>
              <w:right w:val="single" w:sz="12" w:space="0" w:color="auto"/>
            </w:tcBorders>
            <w:shd w:val="clear" w:color="auto" w:fill="auto"/>
            <w:vAlign w:val="center"/>
          </w:tcPr>
          <w:p w:rsidR="00823F92" w:rsidRPr="00620103" w:rsidRDefault="00823F92" w:rsidP="005A3BDD">
            <w:pPr>
              <w:spacing w:line="240" w:lineRule="auto"/>
              <w:jc w:val="center"/>
              <w:rPr>
                <w:rFonts w:eastAsia="Calibri"/>
                <w:color w:val="000000"/>
              </w:rPr>
            </w:pPr>
            <w:r w:rsidRPr="00620103">
              <w:rPr>
                <w:rFonts w:eastAsia="Calibri"/>
                <w:color w:val="000000"/>
              </w:rPr>
              <w:t>1.2</w:t>
            </w:r>
          </w:p>
        </w:tc>
        <w:tc>
          <w:tcPr>
            <w:tcW w:w="992" w:type="dxa"/>
            <w:tcBorders>
              <w:left w:val="single" w:sz="12" w:space="0" w:color="auto"/>
            </w:tcBorders>
            <w:vAlign w:val="center"/>
          </w:tcPr>
          <w:p w:rsidR="00823F92" w:rsidRPr="00620103" w:rsidRDefault="00823F92" w:rsidP="005A3BDD">
            <w:pPr>
              <w:spacing w:line="240" w:lineRule="auto"/>
              <w:jc w:val="center"/>
              <w:rPr>
                <w:rFonts w:eastAsia="Calibri"/>
                <w:color w:val="000000"/>
              </w:rPr>
            </w:pPr>
            <w:r>
              <w:rPr>
                <w:rFonts w:eastAsia="Calibri"/>
                <w:color w:val="000000"/>
              </w:rPr>
              <w:t>&lt;15</w:t>
            </w:r>
          </w:p>
        </w:tc>
        <w:tc>
          <w:tcPr>
            <w:tcW w:w="1090" w:type="dxa"/>
            <w:tcBorders>
              <w:right w:val="single" w:sz="12" w:space="0" w:color="auto"/>
            </w:tcBorders>
            <w:vAlign w:val="center"/>
          </w:tcPr>
          <w:p w:rsidR="00823F92" w:rsidRPr="00B524B6" w:rsidRDefault="00823F92" w:rsidP="005A3BDD">
            <w:pPr>
              <w:spacing w:line="240" w:lineRule="auto"/>
              <w:jc w:val="center"/>
              <w:rPr>
                <w:rFonts w:eastAsia="Calibri"/>
                <w:color w:val="000000"/>
                <w:sz w:val="18"/>
                <w:szCs w:val="18"/>
              </w:rPr>
            </w:pPr>
            <w:r w:rsidRPr="00B524B6">
              <w:rPr>
                <w:rFonts w:eastAsia="Calibri"/>
                <w:color w:val="000000"/>
                <w:sz w:val="18"/>
                <w:szCs w:val="18"/>
              </w:rPr>
              <w:t>Currently not available</w:t>
            </w:r>
          </w:p>
        </w:tc>
      </w:tr>
      <w:tr w:rsidR="00823F92" w:rsidRPr="00C1589C" w:rsidTr="005A3BDD">
        <w:trPr>
          <w:jc w:val="center"/>
        </w:trPr>
        <w:tc>
          <w:tcPr>
            <w:tcW w:w="1403" w:type="dxa"/>
            <w:vMerge/>
            <w:tcBorders>
              <w:left w:val="single" w:sz="12" w:space="0" w:color="auto"/>
            </w:tcBorders>
            <w:shd w:val="clear" w:color="auto" w:fill="auto"/>
            <w:vAlign w:val="center"/>
          </w:tcPr>
          <w:p w:rsidR="00823F92" w:rsidRPr="00C1589C" w:rsidRDefault="00823F92" w:rsidP="005A3BDD">
            <w:pPr>
              <w:spacing w:line="240" w:lineRule="auto"/>
              <w:rPr>
                <w:rFonts w:eastAsia="Calibri"/>
                <w:color w:val="000000"/>
              </w:rPr>
            </w:pPr>
          </w:p>
        </w:tc>
        <w:tc>
          <w:tcPr>
            <w:tcW w:w="992" w:type="dxa"/>
            <w:tcBorders>
              <w:right w:val="single" w:sz="12" w:space="0" w:color="auto"/>
            </w:tcBorders>
            <w:shd w:val="clear" w:color="auto" w:fill="auto"/>
            <w:tcMar>
              <w:left w:w="57" w:type="dxa"/>
              <w:right w:w="57" w:type="dxa"/>
            </w:tcMar>
            <w:vAlign w:val="center"/>
          </w:tcPr>
          <w:p w:rsidR="00823F92" w:rsidRPr="00315F75" w:rsidRDefault="00823F92" w:rsidP="005A3BDD">
            <w:pPr>
              <w:spacing w:line="240" w:lineRule="auto"/>
              <w:rPr>
                <w:rFonts w:eastAsia="Calibri"/>
                <w:color w:val="000000"/>
              </w:rPr>
            </w:pPr>
            <w:r w:rsidRPr="00315F75">
              <w:rPr>
                <w:rFonts w:eastAsia="Calibri"/>
                <w:color w:val="000000"/>
              </w:rPr>
              <w:t>1 ton bag</w:t>
            </w:r>
          </w:p>
        </w:tc>
        <w:tc>
          <w:tcPr>
            <w:tcW w:w="992" w:type="dxa"/>
            <w:tcBorders>
              <w:left w:val="single" w:sz="12" w:space="0" w:color="auto"/>
              <w:right w:val="single" w:sz="12" w:space="0" w:color="auto"/>
            </w:tcBorders>
            <w:shd w:val="clear" w:color="auto" w:fill="auto"/>
            <w:vAlign w:val="center"/>
          </w:tcPr>
          <w:p w:rsidR="00823F92" w:rsidRPr="00620103" w:rsidRDefault="00823F92" w:rsidP="005A3BDD">
            <w:pPr>
              <w:spacing w:line="240" w:lineRule="auto"/>
              <w:jc w:val="center"/>
              <w:rPr>
                <w:rFonts w:eastAsia="Calibri"/>
                <w:color w:val="000000"/>
              </w:rPr>
            </w:pPr>
            <w:r w:rsidRPr="00620103">
              <w:rPr>
                <w:rFonts w:eastAsia="Calibri"/>
                <w:color w:val="000000"/>
              </w:rPr>
              <w:t>48</w:t>
            </w:r>
          </w:p>
        </w:tc>
        <w:tc>
          <w:tcPr>
            <w:tcW w:w="993" w:type="dxa"/>
            <w:tcBorders>
              <w:left w:val="single" w:sz="12" w:space="0" w:color="auto"/>
            </w:tcBorders>
            <w:shd w:val="clear" w:color="auto" w:fill="auto"/>
            <w:vAlign w:val="center"/>
          </w:tcPr>
          <w:p w:rsidR="00823F92" w:rsidRPr="00620103" w:rsidRDefault="00823F92" w:rsidP="005A3BDD">
            <w:pPr>
              <w:spacing w:line="240" w:lineRule="auto"/>
              <w:jc w:val="center"/>
              <w:rPr>
                <w:rFonts w:eastAsia="Calibri"/>
                <w:color w:val="000000"/>
              </w:rPr>
            </w:pPr>
          </w:p>
        </w:tc>
        <w:tc>
          <w:tcPr>
            <w:tcW w:w="860" w:type="dxa"/>
            <w:shd w:val="clear" w:color="auto" w:fill="auto"/>
            <w:vAlign w:val="center"/>
          </w:tcPr>
          <w:p w:rsidR="00823F92" w:rsidRPr="00620103" w:rsidRDefault="00823F92" w:rsidP="005A3BDD">
            <w:pPr>
              <w:spacing w:line="240" w:lineRule="auto"/>
              <w:jc w:val="center"/>
              <w:rPr>
                <w:rFonts w:eastAsia="Calibri"/>
                <w:color w:val="000000"/>
              </w:rPr>
            </w:pPr>
          </w:p>
        </w:tc>
        <w:tc>
          <w:tcPr>
            <w:tcW w:w="1134" w:type="dxa"/>
            <w:tcBorders>
              <w:right w:val="single" w:sz="12" w:space="0" w:color="auto"/>
            </w:tcBorders>
            <w:shd w:val="clear" w:color="auto" w:fill="auto"/>
            <w:vAlign w:val="center"/>
          </w:tcPr>
          <w:p w:rsidR="00823F92" w:rsidRPr="00620103" w:rsidRDefault="00823F92" w:rsidP="005A3BDD">
            <w:pPr>
              <w:spacing w:line="240" w:lineRule="auto"/>
              <w:jc w:val="center"/>
              <w:rPr>
                <w:rFonts w:eastAsia="Calibri"/>
                <w:color w:val="000000"/>
              </w:rPr>
            </w:pPr>
            <w:r w:rsidRPr="00620103">
              <w:rPr>
                <w:rFonts w:eastAsia="Calibri"/>
                <w:color w:val="000000"/>
              </w:rPr>
              <w:t>2.7</w:t>
            </w:r>
          </w:p>
        </w:tc>
        <w:tc>
          <w:tcPr>
            <w:tcW w:w="992" w:type="dxa"/>
            <w:tcBorders>
              <w:left w:val="single" w:sz="12" w:space="0" w:color="auto"/>
            </w:tcBorders>
            <w:vAlign w:val="center"/>
          </w:tcPr>
          <w:p w:rsidR="00823F92" w:rsidRPr="00620103" w:rsidRDefault="00823F92" w:rsidP="005A3BDD">
            <w:pPr>
              <w:spacing w:line="240" w:lineRule="auto"/>
              <w:jc w:val="center"/>
              <w:rPr>
                <w:rFonts w:eastAsia="Calibri"/>
                <w:color w:val="000000"/>
              </w:rPr>
            </w:pPr>
            <w:r>
              <w:rPr>
                <w:rFonts w:eastAsia="Calibri"/>
                <w:color w:val="000000"/>
              </w:rPr>
              <w:t>36</w:t>
            </w:r>
          </w:p>
        </w:tc>
        <w:tc>
          <w:tcPr>
            <w:tcW w:w="1090" w:type="dxa"/>
            <w:tcBorders>
              <w:right w:val="single" w:sz="12" w:space="0" w:color="auto"/>
            </w:tcBorders>
            <w:vAlign w:val="center"/>
          </w:tcPr>
          <w:p w:rsidR="00823F92" w:rsidRPr="00B524B6" w:rsidRDefault="00823F92" w:rsidP="005A3BDD">
            <w:pPr>
              <w:spacing w:line="240" w:lineRule="auto"/>
              <w:jc w:val="center"/>
              <w:rPr>
                <w:rFonts w:eastAsia="Calibri"/>
                <w:color w:val="000000"/>
                <w:sz w:val="18"/>
                <w:szCs w:val="18"/>
              </w:rPr>
            </w:pPr>
            <w:r w:rsidRPr="00B524B6">
              <w:rPr>
                <w:rFonts w:eastAsia="Calibri"/>
                <w:color w:val="000000"/>
                <w:sz w:val="18"/>
                <w:szCs w:val="18"/>
              </w:rPr>
              <w:t>Currently not available</w:t>
            </w:r>
          </w:p>
        </w:tc>
      </w:tr>
      <w:tr w:rsidR="00823F92" w:rsidRPr="00C1589C" w:rsidTr="005A3BDD">
        <w:trPr>
          <w:jc w:val="center"/>
        </w:trPr>
        <w:tc>
          <w:tcPr>
            <w:tcW w:w="1403" w:type="dxa"/>
            <w:vMerge w:val="restart"/>
            <w:tcBorders>
              <w:left w:val="single" w:sz="12" w:space="0" w:color="auto"/>
            </w:tcBorders>
            <w:shd w:val="clear" w:color="auto" w:fill="auto"/>
            <w:vAlign w:val="center"/>
          </w:tcPr>
          <w:p w:rsidR="00823F92" w:rsidRPr="00C1589C" w:rsidRDefault="00823F92" w:rsidP="005A3BDD">
            <w:pPr>
              <w:spacing w:line="240" w:lineRule="auto"/>
              <w:rPr>
                <w:rFonts w:eastAsia="Calibri"/>
                <w:color w:val="000000"/>
              </w:rPr>
            </w:pPr>
            <w:r w:rsidRPr="00C1589C">
              <w:rPr>
                <w:rFonts w:eastAsia="Calibri"/>
                <w:color w:val="000000"/>
              </w:rPr>
              <w:t xml:space="preserve">BHT solution: 2,000 ppm </w:t>
            </w:r>
          </w:p>
        </w:tc>
        <w:tc>
          <w:tcPr>
            <w:tcW w:w="992" w:type="dxa"/>
            <w:tcBorders>
              <w:right w:val="single" w:sz="12" w:space="0" w:color="auto"/>
            </w:tcBorders>
            <w:shd w:val="clear" w:color="auto" w:fill="auto"/>
            <w:tcMar>
              <w:left w:w="57" w:type="dxa"/>
              <w:right w:w="57" w:type="dxa"/>
            </w:tcMar>
            <w:vAlign w:val="center"/>
          </w:tcPr>
          <w:p w:rsidR="00823F92" w:rsidRPr="00C1589C" w:rsidRDefault="00823F92" w:rsidP="005A3BDD">
            <w:pPr>
              <w:spacing w:line="240" w:lineRule="auto"/>
              <w:rPr>
                <w:rFonts w:eastAsia="Calibri"/>
                <w:color w:val="000000"/>
              </w:rPr>
            </w:pPr>
            <w:r w:rsidRPr="00315F75">
              <w:rPr>
                <w:rFonts w:eastAsia="Calibri"/>
                <w:color w:val="000000"/>
              </w:rPr>
              <w:t>50 kg bag</w:t>
            </w:r>
          </w:p>
        </w:tc>
        <w:tc>
          <w:tcPr>
            <w:tcW w:w="992" w:type="dxa"/>
            <w:tcBorders>
              <w:left w:val="single" w:sz="12" w:space="0" w:color="auto"/>
              <w:right w:val="single" w:sz="12" w:space="0" w:color="auto"/>
            </w:tcBorders>
            <w:shd w:val="clear" w:color="auto" w:fill="auto"/>
            <w:vAlign w:val="center"/>
          </w:tcPr>
          <w:p w:rsidR="00823F92" w:rsidRPr="00620103" w:rsidRDefault="00823F92" w:rsidP="005A3BDD">
            <w:pPr>
              <w:spacing w:line="240" w:lineRule="auto"/>
              <w:jc w:val="center"/>
              <w:rPr>
                <w:rFonts w:eastAsia="Calibri"/>
                <w:color w:val="000000"/>
              </w:rPr>
            </w:pPr>
            <w:r w:rsidRPr="00620103">
              <w:rPr>
                <w:rFonts w:eastAsia="Calibri"/>
                <w:color w:val="000000"/>
              </w:rPr>
              <w:t>438</w:t>
            </w:r>
          </w:p>
        </w:tc>
        <w:tc>
          <w:tcPr>
            <w:tcW w:w="993" w:type="dxa"/>
            <w:tcBorders>
              <w:left w:val="single" w:sz="12" w:space="0" w:color="auto"/>
            </w:tcBorders>
            <w:shd w:val="clear" w:color="auto" w:fill="auto"/>
            <w:vAlign w:val="center"/>
          </w:tcPr>
          <w:p w:rsidR="00823F92" w:rsidRPr="00620103" w:rsidRDefault="00823F92" w:rsidP="005A3BDD">
            <w:pPr>
              <w:spacing w:line="240" w:lineRule="auto"/>
              <w:jc w:val="center"/>
              <w:rPr>
                <w:rFonts w:eastAsia="Calibri"/>
                <w:color w:val="000000"/>
              </w:rPr>
            </w:pPr>
            <w:r w:rsidRPr="00620103">
              <w:rPr>
                <w:rFonts w:eastAsia="Calibri"/>
                <w:color w:val="000000"/>
              </w:rPr>
              <w:t>368</w:t>
            </w:r>
          </w:p>
        </w:tc>
        <w:tc>
          <w:tcPr>
            <w:tcW w:w="860" w:type="dxa"/>
            <w:shd w:val="clear" w:color="auto" w:fill="auto"/>
            <w:vAlign w:val="center"/>
          </w:tcPr>
          <w:p w:rsidR="00823F92" w:rsidRPr="00620103" w:rsidRDefault="00823F92" w:rsidP="005A3BDD">
            <w:pPr>
              <w:spacing w:line="240" w:lineRule="auto"/>
              <w:jc w:val="center"/>
              <w:rPr>
                <w:rFonts w:eastAsia="Calibri"/>
                <w:color w:val="000000"/>
              </w:rPr>
            </w:pPr>
            <w:r>
              <w:rPr>
                <w:rFonts w:eastAsia="Calibri"/>
                <w:color w:val="000000"/>
              </w:rPr>
              <w:t>Neg (pass)</w:t>
            </w:r>
          </w:p>
        </w:tc>
        <w:tc>
          <w:tcPr>
            <w:tcW w:w="1134" w:type="dxa"/>
            <w:tcBorders>
              <w:right w:val="single" w:sz="12" w:space="0" w:color="auto"/>
            </w:tcBorders>
            <w:shd w:val="clear" w:color="auto" w:fill="auto"/>
            <w:vAlign w:val="center"/>
          </w:tcPr>
          <w:p w:rsidR="00823F92" w:rsidRPr="00620103" w:rsidRDefault="00823F92" w:rsidP="005A3BDD">
            <w:pPr>
              <w:spacing w:line="240" w:lineRule="auto"/>
              <w:jc w:val="center"/>
              <w:rPr>
                <w:rFonts w:eastAsia="Calibri"/>
                <w:color w:val="000000"/>
              </w:rPr>
            </w:pPr>
            <w:r w:rsidRPr="00620103">
              <w:rPr>
                <w:rFonts w:eastAsia="Calibri"/>
                <w:color w:val="000000"/>
              </w:rPr>
              <w:t>2.4</w:t>
            </w:r>
          </w:p>
        </w:tc>
        <w:tc>
          <w:tcPr>
            <w:tcW w:w="992" w:type="dxa"/>
            <w:tcBorders>
              <w:left w:val="single" w:sz="12" w:space="0" w:color="auto"/>
            </w:tcBorders>
            <w:vAlign w:val="center"/>
          </w:tcPr>
          <w:p w:rsidR="00823F92" w:rsidRPr="00620103" w:rsidRDefault="00823F92" w:rsidP="005A3BDD">
            <w:pPr>
              <w:spacing w:line="240" w:lineRule="auto"/>
              <w:jc w:val="center"/>
              <w:rPr>
                <w:rFonts w:eastAsia="Calibri"/>
                <w:color w:val="000000"/>
              </w:rPr>
            </w:pPr>
            <w:r>
              <w:rPr>
                <w:rFonts w:eastAsia="Calibri"/>
                <w:color w:val="000000"/>
              </w:rPr>
              <w:t>290</w:t>
            </w:r>
          </w:p>
        </w:tc>
        <w:tc>
          <w:tcPr>
            <w:tcW w:w="1090" w:type="dxa"/>
            <w:tcBorders>
              <w:right w:val="single" w:sz="12" w:space="0" w:color="auto"/>
            </w:tcBorders>
            <w:vAlign w:val="center"/>
          </w:tcPr>
          <w:p w:rsidR="00823F92" w:rsidRPr="00B524B6" w:rsidRDefault="00823F92" w:rsidP="005A3BDD">
            <w:pPr>
              <w:spacing w:line="240" w:lineRule="auto"/>
              <w:jc w:val="center"/>
              <w:rPr>
                <w:rFonts w:eastAsia="Calibri"/>
                <w:color w:val="000000"/>
                <w:sz w:val="18"/>
                <w:szCs w:val="18"/>
              </w:rPr>
            </w:pPr>
            <w:r w:rsidRPr="00B524B6">
              <w:rPr>
                <w:rFonts w:eastAsia="Calibri"/>
                <w:color w:val="000000"/>
                <w:sz w:val="18"/>
                <w:szCs w:val="18"/>
              </w:rPr>
              <w:t>Currently not available</w:t>
            </w:r>
          </w:p>
        </w:tc>
      </w:tr>
      <w:tr w:rsidR="00823F92" w:rsidRPr="00C1589C" w:rsidTr="005A3BDD">
        <w:trPr>
          <w:jc w:val="center"/>
        </w:trPr>
        <w:tc>
          <w:tcPr>
            <w:tcW w:w="1403" w:type="dxa"/>
            <w:vMerge/>
            <w:tcBorders>
              <w:left w:val="single" w:sz="12" w:space="0" w:color="auto"/>
            </w:tcBorders>
            <w:shd w:val="clear" w:color="auto" w:fill="auto"/>
            <w:vAlign w:val="center"/>
          </w:tcPr>
          <w:p w:rsidR="00823F92" w:rsidRPr="00C1589C" w:rsidRDefault="00823F92" w:rsidP="005A3BDD">
            <w:pPr>
              <w:spacing w:line="240" w:lineRule="auto"/>
              <w:rPr>
                <w:rFonts w:eastAsia="Calibri"/>
                <w:color w:val="000000"/>
              </w:rPr>
            </w:pPr>
          </w:p>
        </w:tc>
        <w:tc>
          <w:tcPr>
            <w:tcW w:w="992" w:type="dxa"/>
            <w:tcBorders>
              <w:right w:val="single" w:sz="12" w:space="0" w:color="auto"/>
            </w:tcBorders>
            <w:shd w:val="clear" w:color="auto" w:fill="auto"/>
            <w:tcMar>
              <w:left w:w="57" w:type="dxa"/>
              <w:right w:w="57" w:type="dxa"/>
            </w:tcMar>
            <w:vAlign w:val="center"/>
          </w:tcPr>
          <w:p w:rsidR="00823F92" w:rsidRPr="00315F75" w:rsidRDefault="00823F92" w:rsidP="005A3BDD">
            <w:pPr>
              <w:spacing w:line="240" w:lineRule="auto"/>
              <w:rPr>
                <w:rFonts w:eastAsia="Calibri"/>
                <w:color w:val="000000"/>
              </w:rPr>
            </w:pPr>
            <w:r w:rsidRPr="00315F75">
              <w:rPr>
                <w:rFonts w:eastAsia="Calibri"/>
                <w:color w:val="000000"/>
              </w:rPr>
              <w:t>1 ton bag</w:t>
            </w:r>
          </w:p>
        </w:tc>
        <w:tc>
          <w:tcPr>
            <w:tcW w:w="992" w:type="dxa"/>
            <w:tcBorders>
              <w:left w:val="single" w:sz="12" w:space="0" w:color="auto"/>
              <w:right w:val="single" w:sz="12" w:space="0" w:color="auto"/>
            </w:tcBorders>
            <w:shd w:val="clear" w:color="auto" w:fill="auto"/>
            <w:vAlign w:val="center"/>
          </w:tcPr>
          <w:p w:rsidR="00823F92" w:rsidRPr="00620103" w:rsidRDefault="00823F92" w:rsidP="005A3BDD">
            <w:pPr>
              <w:spacing w:line="240" w:lineRule="auto"/>
              <w:jc w:val="center"/>
              <w:rPr>
                <w:rFonts w:eastAsia="Calibri"/>
                <w:color w:val="000000"/>
              </w:rPr>
            </w:pPr>
            <w:r w:rsidRPr="00620103">
              <w:rPr>
                <w:rFonts w:eastAsia="Calibri"/>
                <w:color w:val="000000"/>
              </w:rPr>
              <w:t>438</w:t>
            </w:r>
          </w:p>
        </w:tc>
        <w:tc>
          <w:tcPr>
            <w:tcW w:w="993" w:type="dxa"/>
            <w:tcBorders>
              <w:left w:val="single" w:sz="12" w:space="0" w:color="auto"/>
            </w:tcBorders>
            <w:shd w:val="clear" w:color="auto" w:fill="auto"/>
            <w:vAlign w:val="center"/>
          </w:tcPr>
          <w:p w:rsidR="00823F92" w:rsidRPr="00620103" w:rsidRDefault="00823F92" w:rsidP="005A3BDD">
            <w:pPr>
              <w:spacing w:line="240" w:lineRule="auto"/>
              <w:jc w:val="center"/>
              <w:rPr>
                <w:rFonts w:eastAsia="Calibri"/>
                <w:color w:val="000000"/>
              </w:rPr>
            </w:pPr>
          </w:p>
        </w:tc>
        <w:tc>
          <w:tcPr>
            <w:tcW w:w="860" w:type="dxa"/>
            <w:shd w:val="clear" w:color="auto" w:fill="auto"/>
            <w:vAlign w:val="center"/>
          </w:tcPr>
          <w:p w:rsidR="00823F92" w:rsidRPr="00620103" w:rsidRDefault="00823F92" w:rsidP="005A3BDD">
            <w:pPr>
              <w:spacing w:line="240" w:lineRule="auto"/>
              <w:jc w:val="center"/>
              <w:rPr>
                <w:rFonts w:eastAsia="Calibri"/>
                <w:color w:val="000000"/>
              </w:rPr>
            </w:pPr>
          </w:p>
        </w:tc>
        <w:tc>
          <w:tcPr>
            <w:tcW w:w="1134" w:type="dxa"/>
            <w:tcBorders>
              <w:right w:val="single" w:sz="12" w:space="0" w:color="auto"/>
            </w:tcBorders>
            <w:shd w:val="clear" w:color="auto" w:fill="auto"/>
            <w:vAlign w:val="center"/>
          </w:tcPr>
          <w:p w:rsidR="00823F92" w:rsidRPr="00620103" w:rsidRDefault="00823F92" w:rsidP="005A3BDD">
            <w:pPr>
              <w:spacing w:line="240" w:lineRule="auto"/>
              <w:jc w:val="center"/>
              <w:rPr>
                <w:rFonts w:eastAsia="Calibri"/>
                <w:color w:val="000000"/>
              </w:rPr>
            </w:pPr>
            <w:r w:rsidRPr="00620103">
              <w:rPr>
                <w:rFonts w:eastAsia="Calibri"/>
                <w:color w:val="000000"/>
              </w:rPr>
              <w:t>2.6</w:t>
            </w:r>
          </w:p>
        </w:tc>
        <w:tc>
          <w:tcPr>
            <w:tcW w:w="992" w:type="dxa"/>
            <w:tcBorders>
              <w:left w:val="single" w:sz="12" w:space="0" w:color="auto"/>
            </w:tcBorders>
            <w:vAlign w:val="center"/>
          </w:tcPr>
          <w:p w:rsidR="00823F92" w:rsidRPr="00620103" w:rsidRDefault="00823F92" w:rsidP="005A3BDD">
            <w:pPr>
              <w:spacing w:line="240" w:lineRule="auto"/>
              <w:jc w:val="center"/>
              <w:rPr>
                <w:rFonts w:eastAsia="Calibri"/>
                <w:color w:val="000000"/>
              </w:rPr>
            </w:pPr>
            <w:r>
              <w:rPr>
                <w:rFonts w:eastAsia="Calibri"/>
                <w:color w:val="000000"/>
              </w:rPr>
              <w:t>342</w:t>
            </w:r>
          </w:p>
        </w:tc>
        <w:tc>
          <w:tcPr>
            <w:tcW w:w="1090" w:type="dxa"/>
            <w:tcBorders>
              <w:right w:val="single" w:sz="12" w:space="0" w:color="auto"/>
            </w:tcBorders>
            <w:vAlign w:val="center"/>
          </w:tcPr>
          <w:p w:rsidR="00823F92" w:rsidRPr="00B524B6" w:rsidRDefault="00823F92" w:rsidP="005A3BDD">
            <w:pPr>
              <w:spacing w:line="240" w:lineRule="auto"/>
              <w:jc w:val="center"/>
              <w:rPr>
                <w:rFonts w:eastAsia="Calibri"/>
                <w:color w:val="000000"/>
                <w:sz w:val="18"/>
                <w:szCs w:val="18"/>
              </w:rPr>
            </w:pPr>
            <w:r w:rsidRPr="00B524B6">
              <w:rPr>
                <w:rFonts w:eastAsia="Calibri"/>
                <w:color w:val="000000"/>
                <w:sz w:val="18"/>
                <w:szCs w:val="18"/>
              </w:rPr>
              <w:t>Currently not available</w:t>
            </w:r>
          </w:p>
        </w:tc>
      </w:tr>
      <w:tr w:rsidR="00823F92" w:rsidRPr="00C1589C" w:rsidTr="005A3BDD">
        <w:trPr>
          <w:jc w:val="center"/>
        </w:trPr>
        <w:tc>
          <w:tcPr>
            <w:tcW w:w="1403" w:type="dxa"/>
            <w:vMerge w:val="restart"/>
            <w:tcBorders>
              <w:left w:val="single" w:sz="12" w:space="0" w:color="auto"/>
            </w:tcBorders>
            <w:shd w:val="clear" w:color="auto" w:fill="auto"/>
            <w:vAlign w:val="center"/>
          </w:tcPr>
          <w:p w:rsidR="00823F92" w:rsidRPr="00C1589C" w:rsidRDefault="00823F92" w:rsidP="005A3BDD">
            <w:pPr>
              <w:spacing w:line="240" w:lineRule="auto"/>
              <w:rPr>
                <w:rFonts w:eastAsia="Calibri"/>
                <w:color w:val="000000"/>
              </w:rPr>
            </w:pPr>
            <w:r w:rsidRPr="00C1589C">
              <w:rPr>
                <w:rFonts w:eastAsia="Calibri"/>
                <w:color w:val="000000"/>
              </w:rPr>
              <w:t xml:space="preserve">BHT solution: 4,000 ppm </w:t>
            </w:r>
          </w:p>
        </w:tc>
        <w:tc>
          <w:tcPr>
            <w:tcW w:w="992" w:type="dxa"/>
            <w:tcBorders>
              <w:right w:val="single" w:sz="12" w:space="0" w:color="auto"/>
            </w:tcBorders>
            <w:shd w:val="clear" w:color="auto" w:fill="auto"/>
            <w:tcMar>
              <w:left w:w="57" w:type="dxa"/>
              <w:right w:w="57" w:type="dxa"/>
            </w:tcMar>
            <w:vAlign w:val="center"/>
          </w:tcPr>
          <w:p w:rsidR="00823F92" w:rsidRPr="00C1589C" w:rsidRDefault="00823F92" w:rsidP="005A3BDD">
            <w:pPr>
              <w:spacing w:line="240" w:lineRule="auto"/>
              <w:rPr>
                <w:rFonts w:eastAsia="Calibri"/>
                <w:color w:val="000000"/>
              </w:rPr>
            </w:pPr>
            <w:r w:rsidRPr="00315F75">
              <w:rPr>
                <w:rFonts w:eastAsia="Calibri"/>
                <w:color w:val="000000"/>
              </w:rPr>
              <w:t>50 kg bag</w:t>
            </w:r>
          </w:p>
        </w:tc>
        <w:tc>
          <w:tcPr>
            <w:tcW w:w="992" w:type="dxa"/>
            <w:tcBorders>
              <w:left w:val="single" w:sz="12" w:space="0" w:color="auto"/>
              <w:right w:val="single" w:sz="12" w:space="0" w:color="auto"/>
            </w:tcBorders>
            <w:shd w:val="clear" w:color="auto" w:fill="auto"/>
            <w:vAlign w:val="center"/>
          </w:tcPr>
          <w:p w:rsidR="00823F92" w:rsidRPr="00620103" w:rsidRDefault="00823F92" w:rsidP="005A3BDD">
            <w:pPr>
              <w:spacing w:line="240" w:lineRule="auto"/>
              <w:jc w:val="center"/>
              <w:rPr>
                <w:rFonts w:eastAsia="Calibri"/>
                <w:color w:val="000000"/>
              </w:rPr>
            </w:pPr>
            <w:r w:rsidRPr="00620103">
              <w:rPr>
                <w:rFonts w:eastAsia="Calibri"/>
                <w:color w:val="000000"/>
              </w:rPr>
              <w:t>858</w:t>
            </w:r>
          </w:p>
        </w:tc>
        <w:tc>
          <w:tcPr>
            <w:tcW w:w="993" w:type="dxa"/>
            <w:tcBorders>
              <w:left w:val="single" w:sz="12" w:space="0" w:color="auto"/>
            </w:tcBorders>
            <w:shd w:val="clear" w:color="auto" w:fill="auto"/>
            <w:vAlign w:val="center"/>
          </w:tcPr>
          <w:p w:rsidR="00823F92" w:rsidRPr="008F7958" w:rsidRDefault="00823F92" w:rsidP="005A3BDD">
            <w:pPr>
              <w:spacing w:line="240" w:lineRule="auto"/>
              <w:jc w:val="center"/>
              <w:rPr>
                <w:rFonts w:eastAsia="Calibri"/>
                <w:color w:val="000000"/>
              </w:rPr>
            </w:pPr>
            <w:r w:rsidRPr="008F7958">
              <w:rPr>
                <w:rFonts w:eastAsia="Calibri"/>
                <w:color w:val="000000"/>
              </w:rPr>
              <w:t>751</w:t>
            </w:r>
          </w:p>
        </w:tc>
        <w:tc>
          <w:tcPr>
            <w:tcW w:w="860" w:type="dxa"/>
            <w:shd w:val="clear" w:color="auto" w:fill="auto"/>
            <w:vAlign w:val="center"/>
          </w:tcPr>
          <w:p w:rsidR="00823F92" w:rsidRPr="00620103" w:rsidRDefault="00823F92" w:rsidP="005A3BDD">
            <w:pPr>
              <w:spacing w:line="240" w:lineRule="auto"/>
              <w:jc w:val="center"/>
              <w:rPr>
                <w:rFonts w:eastAsia="Calibri"/>
                <w:color w:val="000000"/>
              </w:rPr>
            </w:pPr>
          </w:p>
        </w:tc>
        <w:tc>
          <w:tcPr>
            <w:tcW w:w="1134" w:type="dxa"/>
            <w:tcBorders>
              <w:right w:val="single" w:sz="12" w:space="0" w:color="auto"/>
            </w:tcBorders>
            <w:shd w:val="clear" w:color="auto" w:fill="auto"/>
            <w:vAlign w:val="center"/>
          </w:tcPr>
          <w:p w:rsidR="00823F92" w:rsidRPr="00620103" w:rsidRDefault="00823F92" w:rsidP="005A3BDD">
            <w:pPr>
              <w:spacing w:line="240" w:lineRule="auto"/>
              <w:jc w:val="center"/>
              <w:rPr>
                <w:rFonts w:eastAsia="Calibri"/>
                <w:color w:val="000000"/>
              </w:rPr>
            </w:pPr>
            <w:r w:rsidRPr="00620103">
              <w:rPr>
                <w:rFonts w:eastAsia="Calibri"/>
                <w:color w:val="000000"/>
              </w:rPr>
              <w:t>2.8</w:t>
            </w:r>
          </w:p>
        </w:tc>
        <w:tc>
          <w:tcPr>
            <w:tcW w:w="992" w:type="dxa"/>
            <w:tcBorders>
              <w:left w:val="single" w:sz="12" w:space="0" w:color="auto"/>
            </w:tcBorders>
            <w:vAlign w:val="center"/>
          </w:tcPr>
          <w:p w:rsidR="00823F92" w:rsidRPr="00620103" w:rsidRDefault="00823F92" w:rsidP="005A3BDD">
            <w:pPr>
              <w:spacing w:line="240" w:lineRule="auto"/>
              <w:jc w:val="center"/>
              <w:rPr>
                <w:rFonts w:eastAsia="Calibri"/>
                <w:color w:val="000000"/>
              </w:rPr>
            </w:pPr>
            <w:r>
              <w:rPr>
                <w:rFonts w:eastAsia="Calibri"/>
                <w:color w:val="000000"/>
              </w:rPr>
              <w:t>659</w:t>
            </w:r>
          </w:p>
        </w:tc>
        <w:tc>
          <w:tcPr>
            <w:tcW w:w="1090" w:type="dxa"/>
            <w:tcBorders>
              <w:right w:val="single" w:sz="12" w:space="0" w:color="auto"/>
            </w:tcBorders>
            <w:vAlign w:val="center"/>
          </w:tcPr>
          <w:p w:rsidR="00823F92" w:rsidRPr="00B524B6" w:rsidRDefault="00823F92" w:rsidP="005A3BDD">
            <w:pPr>
              <w:spacing w:line="240" w:lineRule="auto"/>
              <w:jc w:val="center"/>
              <w:rPr>
                <w:rFonts w:eastAsia="Calibri"/>
                <w:color w:val="000000"/>
                <w:sz w:val="18"/>
                <w:szCs w:val="18"/>
              </w:rPr>
            </w:pPr>
            <w:r w:rsidRPr="00B524B6">
              <w:rPr>
                <w:rFonts w:eastAsia="Calibri"/>
                <w:color w:val="000000"/>
                <w:sz w:val="18"/>
                <w:szCs w:val="18"/>
              </w:rPr>
              <w:t>Currently not available</w:t>
            </w:r>
          </w:p>
        </w:tc>
      </w:tr>
      <w:tr w:rsidR="00823F92" w:rsidRPr="00C1589C" w:rsidTr="005A3BDD">
        <w:trPr>
          <w:jc w:val="center"/>
        </w:trPr>
        <w:tc>
          <w:tcPr>
            <w:tcW w:w="1403" w:type="dxa"/>
            <w:vMerge/>
            <w:tcBorders>
              <w:left w:val="single" w:sz="12" w:space="0" w:color="auto"/>
            </w:tcBorders>
            <w:shd w:val="clear" w:color="auto" w:fill="auto"/>
            <w:vAlign w:val="center"/>
          </w:tcPr>
          <w:p w:rsidR="00823F92" w:rsidRPr="00C1589C" w:rsidRDefault="00823F92" w:rsidP="005A3BDD">
            <w:pPr>
              <w:spacing w:line="240" w:lineRule="auto"/>
              <w:rPr>
                <w:rFonts w:eastAsia="Calibri"/>
                <w:color w:val="000000"/>
              </w:rPr>
            </w:pPr>
          </w:p>
        </w:tc>
        <w:tc>
          <w:tcPr>
            <w:tcW w:w="992" w:type="dxa"/>
            <w:tcBorders>
              <w:right w:val="single" w:sz="12" w:space="0" w:color="auto"/>
            </w:tcBorders>
            <w:shd w:val="clear" w:color="auto" w:fill="auto"/>
            <w:tcMar>
              <w:left w:w="57" w:type="dxa"/>
              <w:right w:w="57" w:type="dxa"/>
            </w:tcMar>
            <w:vAlign w:val="center"/>
          </w:tcPr>
          <w:p w:rsidR="00823F92" w:rsidRPr="00315F75" w:rsidRDefault="00823F92" w:rsidP="005A3BDD">
            <w:pPr>
              <w:spacing w:line="240" w:lineRule="auto"/>
              <w:rPr>
                <w:rFonts w:eastAsia="Calibri"/>
                <w:color w:val="000000"/>
              </w:rPr>
            </w:pPr>
            <w:r w:rsidRPr="00315F75">
              <w:rPr>
                <w:rFonts w:eastAsia="Calibri"/>
                <w:color w:val="000000"/>
              </w:rPr>
              <w:t>1 ton bag</w:t>
            </w:r>
          </w:p>
        </w:tc>
        <w:tc>
          <w:tcPr>
            <w:tcW w:w="992" w:type="dxa"/>
            <w:tcBorders>
              <w:left w:val="single" w:sz="12" w:space="0" w:color="auto"/>
              <w:right w:val="single" w:sz="12" w:space="0" w:color="auto"/>
            </w:tcBorders>
            <w:shd w:val="clear" w:color="auto" w:fill="auto"/>
            <w:vAlign w:val="center"/>
          </w:tcPr>
          <w:p w:rsidR="00823F92" w:rsidRPr="00620103" w:rsidRDefault="00823F92" w:rsidP="005A3BDD">
            <w:pPr>
              <w:spacing w:line="240" w:lineRule="auto"/>
              <w:jc w:val="center"/>
              <w:rPr>
                <w:rFonts w:eastAsia="Calibri"/>
                <w:color w:val="000000"/>
              </w:rPr>
            </w:pPr>
            <w:r w:rsidRPr="00620103">
              <w:rPr>
                <w:rFonts w:eastAsia="Calibri"/>
                <w:color w:val="000000"/>
              </w:rPr>
              <w:t>866</w:t>
            </w:r>
          </w:p>
        </w:tc>
        <w:tc>
          <w:tcPr>
            <w:tcW w:w="993" w:type="dxa"/>
            <w:tcBorders>
              <w:left w:val="single" w:sz="12" w:space="0" w:color="auto"/>
            </w:tcBorders>
            <w:shd w:val="clear" w:color="auto" w:fill="auto"/>
            <w:vAlign w:val="center"/>
          </w:tcPr>
          <w:p w:rsidR="00823F92" w:rsidRPr="00620103" w:rsidRDefault="00823F92" w:rsidP="005A3BDD">
            <w:pPr>
              <w:spacing w:line="240" w:lineRule="auto"/>
              <w:jc w:val="center"/>
              <w:rPr>
                <w:rFonts w:eastAsia="Calibri"/>
                <w:color w:val="000000"/>
              </w:rPr>
            </w:pPr>
          </w:p>
        </w:tc>
        <w:tc>
          <w:tcPr>
            <w:tcW w:w="860" w:type="dxa"/>
            <w:shd w:val="clear" w:color="auto" w:fill="auto"/>
            <w:vAlign w:val="center"/>
          </w:tcPr>
          <w:p w:rsidR="00823F92" w:rsidRPr="00620103" w:rsidRDefault="00823F92" w:rsidP="005A3BDD">
            <w:pPr>
              <w:spacing w:line="240" w:lineRule="auto"/>
              <w:jc w:val="center"/>
              <w:rPr>
                <w:rFonts w:eastAsia="Calibri"/>
                <w:color w:val="000000"/>
              </w:rPr>
            </w:pPr>
          </w:p>
        </w:tc>
        <w:tc>
          <w:tcPr>
            <w:tcW w:w="1134" w:type="dxa"/>
            <w:tcBorders>
              <w:right w:val="single" w:sz="12" w:space="0" w:color="auto"/>
            </w:tcBorders>
            <w:shd w:val="clear" w:color="auto" w:fill="auto"/>
            <w:vAlign w:val="center"/>
          </w:tcPr>
          <w:p w:rsidR="00823F92" w:rsidRPr="00620103" w:rsidRDefault="00823F92" w:rsidP="005A3BDD">
            <w:pPr>
              <w:spacing w:line="240" w:lineRule="auto"/>
              <w:jc w:val="center"/>
              <w:rPr>
                <w:rFonts w:eastAsia="Calibri"/>
                <w:color w:val="000000"/>
              </w:rPr>
            </w:pPr>
            <w:r w:rsidRPr="00620103">
              <w:rPr>
                <w:rFonts w:eastAsia="Calibri"/>
                <w:color w:val="000000"/>
              </w:rPr>
              <w:t>2.9</w:t>
            </w:r>
          </w:p>
        </w:tc>
        <w:tc>
          <w:tcPr>
            <w:tcW w:w="992" w:type="dxa"/>
            <w:tcBorders>
              <w:left w:val="single" w:sz="12" w:space="0" w:color="auto"/>
            </w:tcBorders>
            <w:vAlign w:val="center"/>
          </w:tcPr>
          <w:p w:rsidR="00823F92" w:rsidRPr="00620103" w:rsidRDefault="00823F92" w:rsidP="005A3BDD">
            <w:pPr>
              <w:spacing w:line="240" w:lineRule="auto"/>
              <w:jc w:val="center"/>
              <w:rPr>
                <w:rFonts w:eastAsia="Calibri"/>
                <w:color w:val="000000"/>
              </w:rPr>
            </w:pPr>
            <w:r>
              <w:rPr>
                <w:rFonts w:eastAsia="Calibri"/>
                <w:color w:val="000000"/>
              </w:rPr>
              <w:t>775</w:t>
            </w:r>
          </w:p>
        </w:tc>
        <w:tc>
          <w:tcPr>
            <w:tcW w:w="1090" w:type="dxa"/>
            <w:tcBorders>
              <w:right w:val="single" w:sz="12" w:space="0" w:color="auto"/>
            </w:tcBorders>
            <w:vAlign w:val="center"/>
          </w:tcPr>
          <w:p w:rsidR="00823F92" w:rsidRPr="00B524B6" w:rsidRDefault="00823F92" w:rsidP="005A3BDD">
            <w:pPr>
              <w:spacing w:line="240" w:lineRule="auto"/>
              <w:jc w:val="center"/>
              <w:rPr>
                <w:rFonts w:eastAsia="Calibri"/>
                <w:color w:val="000000"/>
                <w:sz w:val="18"/>
                <w:szCs w:val="18"/>
              </w:rPr>
            </w:pPr>
            <w:r w:rsidRPr="00B524B6">
              <w:rPr>
                <w:rFonts w:eastAsia="Calibri"/>
                <w:color w:val="000000"/>
                <w:sz w:val="18"/>
                <w:szCs w:val="18"/>
              </w:rPr>
              <w:t>Currently not available</w:t>
            </w:r>
          </w:p>
        </w:tc>
      </w:tr>
      <w:tr w:rsidR="00823F92" w:rsidRPr="00C1589C" w:rsidTr="005A3BDD">
        <w:trPr>
          <w:jc w:val="center"/>
        </w:trPr>
        <w:tc>
          <w:tcPr>
            <w:tcW w:w="1403" w:type="dxa"/>
            <w:vMerge w:val="restart"/>
            <w:tcBorders>
              <w:left w:val="single" w:sz="12" w:space="0" w:color="auto"/>
            </w:tcBorders>
            <w:shd w:val="clear" w:color="auto" w:fill="auto"/>
            <w:vAlign w:val="center"/>
          </w:tcPr>
          <w:p w:rsidR="00823F92" w:rsidRDefault="00823F92" w:rsidP="005A3BDD">
            <w:pPr>
              <w:spacing w:line="240" w:lineRule="auto"/>
              <w:rPr>
                <w:rFonts w:eastAsia="Calibri"/>
                <w:color w:val="000000"/>
              </w:rPr>
            </w:pPr>
            <w:r w:rsidRPr="00C1589C">
              <w:rPr>
                <w:rFonts w:eastAsia="Calibri"/>
                <w:color w:val="000000"/>
              </w:rPr>
              <w:t>Tocopherol/</w:t>
            </w:r>
          </w:p>
          <w:p w:rsidR="00823F92" w:rsidRPr="00C1589C" w:rsidRDefault="00823F92" w:rsidP="005A3BDD">
            <w:pPr>
              <w:spacing w:line="240" w:lineRule="auto"/>
              <w:rPr>
                <w:rFonts w:eastAsia="Calibri"/>
                <w:color w:val="000000"/>
              </w:rPr>
            </w:pPr>
            <w:r w:rsidRPr="00C1589C">
              <w:rPr>
                <w:rFonts w:eastAsia="Calibri"/>
                <w:color w:val="000000"/>
              </w:rPr>
              <w:t>rosemary extract blend: 2,000 ppm</w:t>
            </w:r>
          </w:p>
        </w:tc>
        <w:tc>
          <w:tcPr>
            <w:tcW w:w="992" w:type="dxa"/>
            <w:tcBorders>
              <w:right w:val="single" w:sz="12" w:space="0" w:color="auto"/>
            </w:tcBorders>
            <w:shd w:val="clear" w:color="auto" w:fill="auto"/>
            <w:tcMar>
              <w:left w:w="57" w:type="dxa"/>
              <w:right w:w="57" w:type="dxa"/>
            </w:tcMar>
            <w:vAlign w:val="center"/>
          </w:tcPr>
          <w:p w:rsidR="00823F92" w:rsidRPr="00C1589C" w:rsidRDefault="00823F92" w:rsidP="005A3BDD">
            <w:pPr>
              <w:spacing w:line="240" w:lineRule="auto"/>
              <w:rPr>
                <w:rFonts w:eastAsia="Calibri"/>
                <w:color w:val="000000"/>
              </w:rPr>
            </w:pPr>
            <w:r w:rsidRPr="00315F75">
              <w:rPr>
                <w:rFonts w:eastAsia="Calibri"/>
                <w:color w:val="000000"/>
              </w:rPr>
              <w:t>50 kg bag</w:t>
            </w:r>
          </w:p>
        </w:tc>
        <w:tc>
          <w:tcPr>
            <w:tcW w:w="992" w:type="dxa"/>
            <w:tcBorders>
              <w:left w:val="single" w:sz="12" w:space="0" w:color="auto"/>
              <w:right w:val="single" w:sz="12" w:space="0" w:color="auto"/>
            </w:tcBorders>
            <w:shd w:val="clear" w:color="auto" w:fill="auto"/>
            <w:vAlign w:val="center"/>
          </w:tcPr>
          <w:p w:rsidR="00823F92" w:rsidRPr="00620103" w:rsidRDefault="00823F92" w:rsidP="005A3BDD">
            <w:pPr>
              <w:spacing w:line="240" w:lineRule="auto"/>
              <w:jc w:val="center"/>
              <w:rPr>
                <w:rFonts w:eastAsia="Calibri"/>
                <w:color w:val="000000"/>
              </w:rPr>
            </w:pPr>
            <w:r w:rsidRPr="00620103">
              <w:rPr>
                <w:rFonts w:eastAsia="Calibri"/>
                <w:color w:val="000000"/>
              </w:rPr>
              <w:t>385</w:t>
            </w:r>
          </w:p>
        </w:tc>
        <w:tc>
          <w:tcPr>
            <w:tcW w:w="993" w:type="dxa"/>
            <w:tcBorders>
              <w:left w:val="single" w:sz="12" w:space="0" w:color="auto"/>
            </w:tcBorders>
            <w:shd w:val="clear" w:color="auto" w:fill="auto"/>
            <w:vAlign w:val="center"/>
          </w:tcPr>
          <w:p w:rsidR="00823F92" w:rsidRPr="00620103" w:rsidRDefault="00823F92" w:rsidP="005A3BDD">
            <w:pPr>
              <w:spacing w:line="240" w:lineRule="auto"/>
              <w:jc w:val="center"/>
              <w:rPr>
                <w:rFonts w:eastAsia="Calibri"/>
                <w:color w:val="000000"/>
              </w:rPr>
            </w:pPr>
            <w:r w:rsidRPr="00620103">
              <w:rPr>
                <w:rFonts w:eastAsia="Calibri"/>
                <w:color w:val="000000"/>
              </w:rPr>
              <w:t>243</w:t>
            </w:r>
          </w:p>
        </w:tc>
        <w:tc>
          <w:tcPr>
            <w:tcW w:w="860" w:type="dxa"/>
            <w:shd w:val="clear" w:color="auto" w:fill="auto"/>
            <w:vAlign w:val="center"/>
          </w:tcPr>
          <w:p w:rsidR="00823F92" w:rsidRPr="00620103" w:rsidRDefault="00823F92" w:rsidP="005A3BDD">
            <w:pPr>
              <w:spacing w:line="240" w:lineRule="auto"/>
              <w:jc w:val="center"/>
              <w:rPr>
                <w:rFonts w:eastAsia="Calibri"/>
                <w:color w:val="000000"/>
              </w:rPr>
            </w:pPr>
            <w:r>
              <w:rPr>
                <w:rFonts w:eastAsia="Calibri"/>
                <w:color w:val="000000"/>
              </w:rPr>
              <w:t>Neg (pass)</w:t>
            </w:r>
          </w:p>
        </w:tc>
        <w:tc>
          <w:tcPr>
            <w:tcW w:w="1134" w:type="dxa"/>
            <w:tcBorders>
              <w:right w:val="single" w:sz="12" w:space="0" w:color="auto"/>
            </w:tcBorders>
            <w:shd w:val="clear" w:color="auto" w:fill="auto"/>
            <w:vAlign w:val="center"/>
          </w:tcPr>
          <w:p w:rsidR="00823F92" w:rsidRPr="00620103" w:rsidRDefault="00823F92" w:rsidP="005A3BDD">
            <w:pPr>
              <w:spacing w:line="240" w:lineRule="auto"/>
              <w:jc w:val="center"/>
              <w:rPr>
                <w:rFonts w:eastAsia="Calibri"/>
                <w:color w:val="000000"/>
              </w:rPr>
            </w:pPr>
            <w:r w:rsidRPr="00620103">
              <w:rPr>
                <w:rFonts w:eastAsia="Calibri"/>
                <w:color w:val="000000"/>
              </w:rPr>
              <w:t>2.5</w:t>
            </w:r>
          </w:p>
        </w:tc>
        <w:tc>
          <w:tcPr>
            <w:tcW w:w="992" w:type="dxa"/>
            <w:tcBorders>
              <w:left w:val="single" w:sz="12" w:space="0" w:color="auto"/>
            </w:tcBorders>
            <w:vAlign w:val="center"/>
          </w:tcPr>
          <w:p w:rsidR="00823F92" w:rsidRPr="00620103" w:rsidRDefault="00823F92" w:rsidP="005A3BDD">
            <w:pPr>
              <w:spacing w:line="240" w:lineRule="auto"/>
              <w:jc w:val="center"/>
              <w:rPr>
                <w:rFonts w:eastAsia="Calibri"/>
                <w:color w:val="000000"/>
              </w:rPr>
            </w:pPr>
            <w:r>
              <w:rPr>
                <w:rFonts w:eastAsia="Calibri"/>
                <w:color w:val="000000"/>
              </w:rPr>
              <w:t>209</w:t>
            </w:r>
          </w:p>
        </w:tc>
        <w:tc>
          <w:tcPr>
            <w:tcW w:w="1090" w:type="dxa"/>
            <w:tcBorders>
              <w:right w:val="single" w:sz="12" w:space="0" w:color="auto"/>
            </w:tcBorders>
            <w:vAlign w:val="center"/>
          </w:tcPr>
          <w:p w:rsidR="00823F92" w:rsidRPr="00B524B6" w:rsidRDefault="00823F92" w:rsidP="005A3BDD">
            <w:pPr>
              <w:spacing w:line="240" w:lineRule="auto"/>
              <w:jc w:val="center"/>
              <w:rPr>
                <w:rFonts w:eastAsia="Calibri"/>
                <w:color w:val="000000"/>
                <w:sz w:val="18"/>
                <w:szCs w:val="18"/>
              </w:rPr>
            </w:pPr>
            <w:r w:rsidRPr="00B524B6">
              <w:rPr>
                <w:rFonts w:eastAsia="Calibri"/>
                <w:color w:val="000000"/>
                <w:sz w:val="18"/>
                <w:szCs w:val="18"/>
              </w:rPr>
              <w:t>Currently not available</w:t>
            </w:r>
          </w:p>
        </w:tc>
      </w:tr>
      <w:tr w:rsidR="00823F92" w:rsidRPr="00C1589C" w:rsidTr="005A3BDD">
        <w:trPr>
          <w:jc w:val="center"/>
        </w:trPr>
        <w:tc>
          <w:tcPr>
            <w:tcW w:w="1403" w:type="dxa"/>
            <w:vMerge/>
            <w:tcBorders>
              <w:left w:val="single" w:sz="12" w:space="0" w:color="auto"/>
            </w:tcBorders>
            <w:shd w:val="clear" w:color="auto" w:fill="auto"/>
            <w:vAlign w:val="center"/>
          </w:tcPr>
          <w:p w:rsidR="00823F92" w:rsidRPr="00C1589C" w:rsidRDefault="00823F92" w:rsidP="005A3BDD">
            <w:pPr>
              <w:spacing w:line="240" w:lineRule="auto"/>
              <w:rPr>
                <w:rFonts w:eastAsia="Calibri"/>
                <w:color w:val="000000"/>
              </w:rPr>
            </w:pPr>
          </w:p>
        </w:tc>
        <w:tc>
          <w:tcPr>
            <w:tcW w:w="992" w:type="dxa"/>
            <w:tcBorders>
              <w:right w:val="single" w:sz="12" w:space="0" w:color="auto"/>
            </w:tcBorders>
            <w:shd w:val="clear" w:color="auto" w:fill="auto"/>
            <w:tcMar>
              <w:left w:w="57" w:type="dxa"/>
              <w:right w:w="57" w:type="dxa"/>
            </w:tcMar>
            <w:vAlign w:val="center"/>
          </w:tcPr>
          <w:p w:rsidR="00823F92" w:rsidRPr="00315F75" w:rsidRDefault="00823F92" w:rsidP="005A3BDD">
            <w:pPr>
              <w:spacing w:line="240" w:lineRule="auto"/>
              <w:rPr>
                <w:rFonts w:eastAsia="Calibri"/>
                <w:color w:val="000000"/>
              </w:rPr>
            </w:pPr>
            <w:r w:rsidRPr="00315F75">
              <w:rPr>
                <w:rFonts w:eastAsia="Calibri"/>
                <w:color w:val="000000"/>
              </w:rPr>
              <w:t>1 ton bag</w:t>
            </w:r>
          </w:p>
        </w:tc>
        <w:tc>
          <w:tcPr>
            <w:tcW w:w="992" w:type="dxa"/>
            <w:tcBorders>
              <w:left w:val="single" w:sz="12" w:space="0" w:color="auto"/>
              <w:right w:val="single" w:sz="12" w:space="0" w:color="auto"/>
            </w:tcBorders>
            <w:shd w:val="clear" w:color="auto" w:fill="auto"/>
            <w:vAlign w:val="center"/>
          </w:tcPr>
          <w:p w:rsidR="00823F92" w:rsidRPr="00620103" w:rsidRDefault="00823F92" w:rsidP="005A3BDD">
            <w:pPr>
              <w:spacing w:line="240" w:lineRule="auto"/>
              <w:jc w:val="center"/>
              <w:rPr>
                <w:rFonts w:eastAsia="Calibri"/>
                <w:color w:val="000000"/>
              </w:rPr>
            </w:pPr>
            <w:r w:rsidRPr="00620103">
              <w:rPr>
                <w:rFonts w:eastAsia="Calibri"/>
                <w:color w:val="000000"/>
              </w:rPr>
              <w:t>400</w:t>
            </w:r>
          </w:p>
        </w:tc>
        <w:tc>
          <w:tcPr>
            <w:tcW w:w="993" w:type="dxa"/>
            <w:tcBorders>
              <w:left w:val="single" w:sz="12" w:space="0" w:color="auto"/>
            </w:tcBorders>
            <w:shd w:val="clear" w:color="auto" w:fill="auto"/>
            <w:vAlign w:val="center"/>
          </w:tcPr>
          <w:p w:rsidR="00823F92" w:rsidRPr="00620103" w:rsidRDefault="00823F92" w:rsidP="005A3BDD">
            <w:pPr>
              <w:spacing w:line="240" w:lineRule="auto"/>
              <w:jc w:val="center"/>
              <w:rPr>
                <w:rFonts w:eastAsia="Calibri"/>
                <w:color w:val="000000"/>
              </w:rPr>
            </w:pPr>
          </w:p>
        </w:tc>
        <w:tc>
          <w:tcPr>
            <w:tcW w:w="860" w:type="dxa"/>
            <w:shd w:val="clear" w:color="auto" w:fill="auto"/>
            <w:vAlign w:val="center"/>
          </w:tcPr>
          <w:p w:rsidR="00823F92" w:rsidRPr="00620103" w:rsidRDefault="00823F92" w:rsidP="005A3BDD">
            <w:pPr>
              <w:spacing w:line="240" w:lineRule="auto"/>
              <w:jc w:val="center"/>
              <w:rPr>
                <w:rFonts w:eastAsia="Calibri"/>
                <w:color w:val="000000"/>
              </w:rPr>
            </w:pPr>
          </w:p>
        </w:tc>
        <w:tc>
          <w:tcPr>
            <w:tcW w:w="1134" w:type="dxa"/>
            <w:tcBorders>
              <w:right w:val="single" w:sz="12" w:space="0" w:color="auto"/>
            </w:tcBorders>
            <w:shd w:val="clear" w:color="auto" w:fill="auto"/>
            <w:vAlign w:val="center"/>
          </w:tcPr>
          <w:p w:rsidR="00823F92" w:rsidRPr="00620103" w:rsidRDefault="00823F92" w:rsidP="005A3BDD">
            <w:pPr>
              <w:spacing w:line="240" w:lineRule="auto"/>
              <w:jc w:val="center"/>
              <w:rPr>
                <w:rFonts w:eastAsia="Calibri"/>
                <w:color w:val="000000"/>
              </w:rPr>
            </w:pPr>
            <w:r w:rsidRPr="00620103">
              <w:rPr>
                <w:rFonts w:eastAsia="Calibri"/>
                <w:color w:val="000000"/>
              </w:rPr>
              <w:t>3.8</w:t>
            </w:r>
          </w:p>
        </w:tc>
        <w:tc>
          <w:tcPr>
            <w:tcW w:w="992" w:type="dxa"/>
            <w:tcBorders>
              <w:left w:val="single" w:sz="12" w:space="0" w:color="auto"/>
            </w:tcBorders>
            <w:vAlign w:val="center"/>
          </w:tcPr>
          <w:p w:rsidR="00823F92" w:rsidRPr="00620103" w:rsidRDefault="00823F92" w:rsidP="005A3BDD">
            <w:pPr>
              <w:spacing w:line="240" w:lineRule="auto"/>
              <w:jc w:val="center"/>
              <w:rPr>
                <w:rFonts w:eastAsia="Calibri"/>
                <w:color w:val="000000"/>
              </w:rPr>
            </w:pPr>
            <w:r>
              <w:rPr>
                <w:rFonts w:eastAsia="Calibri"/>
                <w:color w:val="000000"/>
              </w:rPr>
              <w:t>280</w:t>
            </w:r>
          </w:p>
        </w:tc>
        <w:tc>
          <w:tcPr>
            <w:tcW w:w="1090" w:type="dxa"/>
            <w:tcBorders>
              <w:right w:val="single" w:sz="12" w:space="0" w:color="auto"/>
            </w:tcBorders>
            <w:vAlign w:val="center"/>
          </w:tcPr>
          <w:p w:rsidR="00823F92" w:rsidRPr="00B524B6" w:rsidRDefault="00823F92" w:rsidP="005A3BDD">
            <w:pPr>
              <w:spacing w:line="240" w:lineRule="auto"/>
              <w:jc w:val="center"/>
              <w:rPr>
                <w:rFonts w:eastAsia="Calibri"/>
                <w:color w:val="000000"/>
                <w:sz w:val="18"/>
                <w:szCs w:val="18"/>
              </w:rPr>
            </w:pPr>
            <w:r w:rsidRPr="00B524B6">
              <w:rPr>
                <w:rFonts w:eastAsia="Calibri"/>
                <w:color w:val="000000"/>
                <w:sz w:val="18"/>
                <w:szCs w:val="18"/>
              </w:rPr>
              <w:t>Currently not available</w:t>
            </w:r>
          </w:p>
        </w:tc>
      </w:tr>
      <w:tr w:rsidR="00823F92" w:rsidRPr="00C1589C" w:rsidTr="005A3BDD">
        <w:trPr>
          <w:jc w:val="center"/>
        </w:trPr>
        <w:tc>
          <w:tcPr>
            <w:tcW w:w="1403" w:type="dxa"/>
            <w:vMerge w:val="restart"/>
            <w:tcBorders>
              <w:left w:val="single" w:sz="12" w:space="0" w:color="auto"/>
            </w:tcBorders>
            <w:shd w:val="clear" w:color="auto" w:fill="auto"/>
            <w:vAlign w:val="center"/>
          </w:tcPr>
          <w:p w:rsidR="00823F92" w:rsidRDefault="00823F92" w:rsidP="005A3BDD">
            <w:pPr>
              <w:spacing w:line="240" w:lineRule="auto"/>
              <w:rPr>
                <w:rFonts w:eastAsia="Calibri"/>
                <w:color w:val="000000"/>
              </w:rPr>
            </w:pPr>
            <w:r w:rsidRPr="00C1589C">
              <w:rPr>
                <w:rFonts w:eastAsia="Calibri"/>
                <w:color w:val="000000"/>
              </w:rPr>
              <w:t>Tocopherol/</w:t>
            </w:r>
          </w:p>
          <w:p w:rsidR="00823F92" w:rsidRPr="00C1589C" w:rsidRDefault="00823F92" w:rsidP="005A3BDD">
            <w:pPr>
              <w:spacing w:line="240" w:lineRule="auto"/>
              <w:rPr>
                <w:rFonts w:eastAsia="Calibri"/>
                <w:color w:val="000000"/>
              </w:rPr>
            </w:pPr>
            <w:r w:rsidRPr="00C1589C">
              <w:rPr>
                <w:rFonts w:eastAsia="Calibri"/>
                <w:color w:val="000000"/>
              </w:rPr>
              <w:t>rosemary extract blend: 4,000 ppm</w:t>
            </w:r>
          </w:p>
        </w:tc>
        <w:tc>
          <w:tcPr>
            <w:tcW w:w="992" w:type="dxa"/>
            <w:tcBorders>
              <w:right w:val="single" w:sz="12" w:space="0" w:color="auto"/>
            </w:tcBorders>
            <w:shd w:val="clear" w:color="auto" w:fill="auto"/>
            <w:tcMar>
              <w:left w:w="57" w:type="dxa"/>
              <w:right w:w="57" w:type="dxa"/>
            </w:tcMar>
            <w:vAlign w:val="center"/>
          </w:tcPr>
          <w:p w:rsidR="00823F92" w:rsidRPr="00C1589C" w:rsidRDefault="00823F92" w:rsidP="005A3BDD">
            <w:pPr>
              <w:spacing w:line="240" w:lineRule="auto"/>
              <w:rPr>
                <w:rFonts w:eastAsia="Calibri"/>
                <w:color w:val="000000"/>
              </w:rPr>
            </w:pPr>
            <w:r w:rsidRPr="00315F75">
              <w:rPr>
                <w:rFonts w:eastAsia="Calibri"/>
                <w:color w:val="000000"/>
              </w:rPr>
              <w:t>50 kg bag</w:t>
            </w:r>
          </w:p>
        </w:tc>
        <w:tc>
          <w:tcPr>
            <w:tcW w:w="992" w:type="dxa"/>
            <w:tcBorders>
              <w:left w:val="single" w:sz="12" w:space="0" w:color="auto"/>
              <w:right w:val="single" w:sz="12" w:space="0" w:color="auto"/>
            </w:tcBorders>
            <w:shd w:val="clear" w:color="auto" w:fill="auto"/>
            <w:vAlign w:val="center"/>
          </w:tcPr>
          <w:p w:rsidR="00823F92" w:rsidRPr="00620103" w:rsidRDefault="00823F92" w:rsidP="005A3BDD">
            <w:pPr>
              <w:spacing w:line="240" w:lineRule="auto"/>
              <w:jc w:val="center"/>
              <w:rPr>
                <w:rFonts w:eastAsia="Calibri"/>
                <w:color w:val="000000"/>
              </w:rPr>
            </w:pPr>
            <w:r w:rsidRPr="00620103">
              <w:rPr>
                <w:rFonts w:eastAsia="Calibri"/>
                <w:color w:val="000000"/>
              </w:rPr>
              <w:t>628</w:t>
            </w:r>
          </w:p>
        </w:tc>
        <w:tc>
          <w:tcPr>
            <w:tcW w:w="993" w:type="dxa"/>
            <w:tcBorders>
              <w:left w:val="single" w:sz="12" w:space="0" w:color="auto"/>
            </w:tcBorders>
            <w:shd w:val="clear" w:color="auto" w:fill="auto"/>
            <w:vAlign w:val="center"/>
          </w:tcPr>
          <w:p w:rsidR="00823F92" w:rsidRPr="00620103" w:rsidRDefault="00823F92" w:rsidP="005A3BDD">
            <w:pPr>
              <w:spacing w:line="240" w:lineRule="auto"/>
              <w:jc w:val="center"/>
              <w:rPr>
                <w:rFonts w:eastAsia="Calibri"/>
                <w:color w:val="000000"/>
              </w:rPr>
            </w:pPr>
            <w:r w:rsidRPr="00620103">
              <w:rPr>
                <w:rFonts w:eastAsia="Calibri"/>
                <w:color w:val="000000"/>
              </w:rPr>
              <w:t>488</w:t>
            </w:r>
          </w:p>
        </w:tc>
        <w:tc>
          <w:tcPr>
            <w:tcW w:w="860" w:type="dxa"/>
            <w:shd w:val="clear" w:color="auto" w:fill="auto"/>
            <w:vAlign w:val="center"/>
          </w:tcPr>
          <w:p w:rsidR="00823F92" w:rsidRPr="00620103" w:rsidRDefault="00823F92" w:rsidP="005A3BDD">
            <w:pPr>
              <w:spacing w:line="240" w:lineRule="auto"/>
              <w:jc w:val="center"/>
              <w:rPr>
                <w:rFonts w:eastAsia="Calibri"/>
                <w:color w:val="000000"/>
              </w:rPr>
            </w:pPr>
          </w:p>
        </w:tc>
        <w:tc>
          <w:tcPr>
            <w:tcW w:w="1134" w:type="dxa"/>
            <w:tcBorders>
              <w:right w:val="single" w:sz="12" w:space="0" w:color="auto"/>
            </w:tcBorders>
            <w:shd w:val="clear" w:color="auto" w:fill="auto"/>
            <w:vAlign w:val="center"/>
          </w:tcPr>
          <w:p w:rsidR="00823F92" w:rsidRPr="00620103" w:rsidRDefault="00823F92" w:rsidP="005A3BDD">
            <w:pPr>
              <w:spacing w:line="240" w:lineRule="auto"/>
              <w:jc w:val="center"/>
              <w:rPr>
                <w:rFonts w:eastAsia="Calibri"/>
                <w:color w:val="000000"/>
              </w:rPr>
            </w:pPr>
            <w:r w:rsidRPr="00620103">
              <w:rPr>
                <w:rFonts w:eastAsia="Calibri"/>
                <w:color w:val="000000"/>
              </w:rPr>
              <w:t>3.4</w:t>
            </w:r>
          </w:p>
        </w:tc>
        <w:tc>
          <w:tcPr>
            <w:tcW w:w="992" w:type="dxa"/>
            <w:tcBorders>
              <w:left w:val="single" w:sz="12" w:space="0" w:color="auto"/>
            </w:tcBorders>
            <w:vAlign w:val="center"/>
          </w:tcPr>
          <w:p w:rsidR="00823F92" w:rsidRPr="00620103" w:rsidRDefault="00823F92" w:rsidP="005A3BDD">
            <w:pPr>
              <w:spacing w:line="240" w:lineRule="auto"/>
              <w:jc w:val="center"/>
              <w:rPr>
                <w:rFonts w:eastAsia="Calibri"/>
                <w:color w:val="000000"/>
              </w:rPr>
            </w:pPr>
            <w:r>
              <w:rPr>
                <w:rFonts w:eastAsia="Calibri"/>
                <w:color w:val="000000"/>
              </w:rPr>
              <w:t>277</w:t>
            </w:r>
          </w:p>
        </w:tc>
        <w:tc>
          <w:tcPr>
            <w:tcW w:w="1090" w:type="dxa"/>
            <w:tcBorders>
              <w:right w:val="single" w:sz="12" w:space="0" w:color="auto"/>
            </w:tcBorders>
            <w:vAlign w:val="center"/>
          </w:tcPr>
          <w:p w:rsidR="00823F92" w:rsidRPr="00B524B6" w:rsidRDefault="00823F92" w:rsidP="005A3BDD">
            <w:pPr>
              <w:spacing w:line="240" w:lineRule="auto"/>
              <w:jc w:val="center"/>
              <w:rPr>
                <w:rFonts w:eastAsia="Calibri"/>
                <w:color w:val="000000"/>
                <w:sz w:val="18"/>
                <w:szCs w:val="18"/>
              </w:rPr>
            </w:pPr>
            <w:r w:rsidRPr="00B524B6">
              <w:rPr>
                <w:rFonts w:eastAsia="Calibri"/>
                <w:color w:val="000000"/>
                <w:sz w:val="18"/>
                <w:szCs w:val="18"/>
              </w:rPr>
              <w:t>Currently not available</w:t>
            </w:r>
          </w:p>
        </w:tc>
      </w:tr>
      <w:tr w:rsidR="00823F92" w:rsidRPr="00C1589C" w:rsidTr="005A3BDD">
        <w:trPr>
          <w:trHeight w:val="511"/>
          <w:jc w:val="center"/>
        </w:trPr>
        <w:tc>
          <w:tcPr>
            <w:tcW w:w="1403" w:type="dxa"/>
            <w:vMerge/>
            <w:tcBorders>
              <w:left w:val="single" w:sz="12" w:space="0" w:color="auto"/>
            </w:tcBorders>
            <w:shd w:val="clear" w:color="auto" w:fill="auto"/>
            <w:vAlign w:val="center"/>
          </w:tcPr>
          <w:p w:rsidR="00823F92" w:rsidRPr="00C1589C" w:rsidRDefault="00823F92" w:rsidP="005A3BDD">
            <w:pPr>
              <w:spacing w:line="240" w:lineRule="auto"/>
              <w:rPr>
                <w:rFonts w:eastAsia="Calibri"/>
                <w:color w:val="000000"/>
              </w:rPr>
            </w:pPr>
          </w:p>
        </w:tc>
        <w:tc>
          <w:tcPr>
            <w:tcW w:w="992" w:type="dxa"/>
            <w:tcBorders>
              <w:right w:val="single" w:sz="12" w:space="0" w:color="auto"/>
            </w:tcBorders>
            <w:shd w:val="clear" w:color="auto" w:fill="auto"/>
            <w:tcMar>
              <w:left w:w="57" w:type="dxa"/>
              <w:right w:w="57" w:type="dxa"/>
            </w:tcMar>
            <w:vAlign w:val="center"/>
          </w:tcPr>
          <w:p w:rsidR="00823F92" w:rsidRPr="00315F75" w:rsidRDefault="00823F92" w:rsidP="005A3BDD">
            <w:pPr>
              <w:spacing w:line="240" w:lineRule="auto"/>
              <w:rPr>
                <w:rFonts w:eastAsia="Calibri"/>
                <w:color w:val="000000"/>
              </w:rPr>
            </w:pPr>
            <w:r w:rsidRPr="00315F75">
              <w:rPr>
                <w:rFonts w:eastAsia="Calibri"/>
                <w:color w:val="000000"/>
              </w:rPr>
              <w:t>1 ton bag</w:t>
            </w:r>
          </w:p>
        </w:tc>
        <w:tc>
          <w:tcPr>
            <w:tcW w:w="992" w:type="dxa"/>
            <w:tcBorders>
              <w:left w:val="single" w:sz="12" w:space="0" w:color="auto"/>
              <w:right w:val="single" w:sz="12" w:space="0" w:color="auto"/>
            </w:tcBorders>
            <w:shd w:val="clear" w:color="auto" w:fill="auto"/>
            <w:vAlign w:val="center"/>
          </w:tcPr>
          <w:p w:rsidR="00823F92" w:rsidRPr="00620103" w:rsidRDefault="00823F92" w:rsidP="005A3BDD">
            <w:pPr>
              <w:spacing w:line="240" w:lineRule="auto"/>
              <w:jc w:val="center"/>
              <w:rPr>
                <w:rFonts w:eastAsia="Calibri"/>
                <w:color w:val="000000"/>
              </w:rPr>
            </w:pPr>
            <w:r w:rsidRPr="00620103">
              <w:rPr>
                <w:rFonts w:eastAsia="Calibri"/>
                <w:color w:val="000000"/>
              </w:rPr>
              <w:t>752</w:t>
            </w:r>
          </w:p>
        </w:tc>
        <w:tc>
          <w:tcPr>
            <w:tcW w:w="993" w:type="dxa"/>
            <w:tcBorders>
              <w:left w:val="single" w:sz="12" w:space="0" w:color="auto"/>
            </w:tcBorders>
            <w:shd w:val="clear" w:color="auto" w:fill="auto"/>
            <w:vAlign w:val="center"/>
          </w:tcPr>
          <w:p w:rsidR="00823F92" w:rsidRPr="00620103" w:rsidRDefault="00823F92" w:rsidP="005A3BDD">
            <w:pPr>
              <w:spacing w:line="240" w:lineRule="auto"/>
              <w:jc w:val="center"/>
              <w:rPr>
                <w:rFonts w:eastAsia="Calibri"/>
                <w:color w:val="000000"/>
              </w:rPr>
            </w:pPr>
          </w:p>
        </w:tc>
        <w:tc>
          <w:tcPr>
            <w:tcW w:w="860" w:type="dxa"/>
            <w:shd w:val="clear" w:color="auto" w:fill="auto"/>
            <w:vAlign w:val="center"/>
          </w:tcPr>
          <w:p w:rsidR="00823F92" w:rsidRPr="00620103" w:rsidRDefault="00823F92" w:rsidP="005A3BDD">
            <w:pPr>
              <w:spacing w:line="240" w:lineRule="auto"/>
              <w:jc w:val="center"/>
              <w:rPr>
                <w:rFonts w:eastAsia="Calibri"/>
                <w:color w:val="000000"/>
              </w:rPr>
            </w:pPr>
          </w:p>
        </w:tc>
        <w:tc>
          <w:tcPr>
            <w:tcW w:w="1134" w:type="dxa"/>
            <w:tcBorders>
              <w:right w:val="single" w:sz="12" w:space="0" w:color="auto"/>
            </w:tcBorders>
            <w:shd w:val="clear" w:color="auto" w:fill="auto"/>
            <w:vAlign w:val="center"/>
          </w:tcPr>
          <w:p w:rsidR="00823F92" w:rsidRPr="00620103" w:rsidRDefault="00823F92" w:rsidP="005A3BDD">
            <w:pPr>
              <w:spacing w:line="240" w:lineRule="auto"/>
              <w:jc w:val="center"/>
              <w:rPr>
                <w:rFonts w:eastAsia="Calibri"/>
                <w:color w:val="000000"/>
              </w:rPr>
            </w:pPr>
            <w:r w:rsidRPr="00620103">
              <w:rPr>
                <w:rFonts w:eastAsia="Calibri"/>
                <w:color w:val="000000"/>
              </w:rPr>
              <w:t>3.5</w:t>
            </w:r>
          </w:p>
        </w:tc>
        <w:tc>
          <w:tcPr>
            <w:tcW w:w="992" w:type="dxa"/>
            <w:tcBorders>
              <w:left w:val="single" w:sz="12" w:space="0" w:color="auto"/>
            </w:tcBorders>
            <w:vAlign w:val="center"/>
          </w:tcPr>
          <w:p w:rsidR="00823F92" w:rsidRPr="00620103" w:rsidRDefault="00823F92" w:rsidP="005A3BDD">
            <w:pPr>
              <w:spacing w:line="240" w:lineRule="auto"/>
              <w:jc w:val="center"/>
              <w:rPr>
                <w:rFonts w:eastAsia="Calibri"/>
                <w:color w:val="000000"/>
              </w:rPr>
            </w:pPr>
            <w:r>
              <w:rPr>
                <w:rFonts w:eastAsia="Calibri"/>
                <w:color w:val="000000"/>
              </w:rPr>
              <w:t>598</w:t>
            </w:r>
          </w:p>
        </w:tc>
        <w:tc>
          <w:tcPr>
            <w:tcW w:w="1090" w:type="dxa"/>
            <w:tcBorders>
              <w:right w:val="single" w:sz="12" w:space="0" w:color="auto"/>
            </w:tcBorders>
            <w:vAlign w:val="center"/>
          </w:tcPr>
          <w:p w:rsidR="00823F92" w:rsidRPr="00B524B6" w:rsidRDefault="00823F92" w:rsidP="005A3BDD">
            <w:pPr>
              <w:spacing w:line="240" w:lineRule="auto"/>
              <w:jc w:val="center"/>
              <w:rPr>
                <w:rFonts w:eastAsia="Calibri"/>
                <w:color w:val="000000"/>
                <w:sz w:val="18"/>
                <w:szCs w:val="18"/>
              </w:rPr>
            </w:pPr>
            <w:r w:rsidRPr="00B524B6">
              <w:rPr>
                <w:rFonts w:eastAsia="Calibri"/>
                <w:color w:val="000000"/>
                <w:sz w:val="18"/>
                <w:szCs w:val="18"/>
              </w:rPr>
              <w:t>Currently not available</w:t>
            </w:r>
          </w:p>
        </w:tc>
      </w:tr>
    </w:tbl>
    <w:p w:rsidR="00823F92" w:rsidRDefault="00FE7AEE" w:rsidP="00823F92">
      <w:pPr>
        <w:pStyle w:val="SingleTxtG"/>
        <w:spacing w:before="120"/>
      </w:pPr>
      <w:r>
        <w:t>10</w:t>
      </w:r>
      <w:r w:rsidR="00823F92">
        <w:t>.</w:t>
      </w:r>
      <w:r w:rsidR="00823F92">
        <w:tab/>
        <w:t>U</w:t>
      </w:r>
      <w:r w:rsidR="00823F92" w:rsidRPr="00000341">
        <w:t xml:space="preserve">nfortunately, </w:t>
      </w:r>
      <w:r w:rsidR="00823F92">
        <w:t xml:space="preserve">there was </w:t>
      </w:r>
      <w:r w:rsidR="00823F92" w:rsidRPr="00000341">
        <w:t>a problem with the dosing of the 600</w:t>
      </w:r>
      <w:r w:rsidR="00823F92">
        <w:t xml:space="preserve"> </w:t>
      </w:r>
      <w:r w:rsidR="00823F92" w:rsidRPr="00000341">
        <w:t>ppm ethoxyquin treatment and the fishmeal was dosed with ≤ 50 ppm ethoxyquin</w:t>
      </w:r>
      <w:r w:rsidR="00823F92">
        <w:t>, but this material remained in the trial as a comparison</w:t>
      </w:r>
      <w:r w:rsidR="00823F92" w:rsidRPr="00000341">
        <w:t xml:space="preserve">.  </w:t>
      </w:r>
    </w:p>
    <w:p w:rsidR="00823F92" w:rsidRDefault="00FE7AEE" w:rsidP="00823F92">
      <w:pPr>
        <w:pStyle w:val="SingleTxtG"/>
      </w:pPr>
      <w:r>
        <w:t>11</w:t>
      </w:r>
      <w:r w:rsidR="00823F92">
        <w:t>.</w:t>
      </w:r>
      <w:r w:rsidR="00823F92">
        <w:tab/>
        <w:t xml:space="preserve">The results show that the antioxidant levels after 12 months of storage have decreased to levels that are still sufficient to provide continued protection to the fishmeal.  It appears that the antioxidant levels in the 1 ton bags decreased at a slower rate indicating less consumption of the antioxidant and therefore potentially a slower rate of oxidation. The percentage remaining antioxidants for each treatment along with the corresponding percentage reduction is shown in Table 3. The antioxidant levels in the 50 kg bags decreased in order from fastest to slowest by &lt; 54.4% (ethoxyquin 30 ppm), 55.8% (Natural blend 4,000 ppm), 52.4% (ethoxyquin 300 ppm), 45.7% (Natural blend 2,000 ppm), 33.8% (BHT 2,000 ppm) and the slowest decrease of 23.2% (BHT 4,000ppm). </w:t>
      </w:r>
      <w:r w:rsidR="00823F92">
        <w:lastRenderedPageBreak/>
        <w:t xml:space="preserve">Similarly, the antioxidants in the 1 ton bags decreased by 29.9% (Natural blend 2,000 ppm), 28.3% (ethoxyquin 300 ppm), 24.2% (50 ppm ethoxyquin), 21.9% (BHT 2,000 ppm), 20.4% (Natural blend 4,000ppm) and 10.6% (BHT 4,000ppm). The highest decrease in antioxidant of roughly 55% still leaves sufficient antioxidant remaining to protect fishmeal for another period of up to 6 months or more. </w:t>
      </w:r>
    </w:p>
    <w:p w:rsidR="00823F92" w:rsidRPr="00823F92" w:rsidRDefault="00823F92" w:rsidP="00823F92">
      <w:pPr>
        <w:pStyle w:val="SingleTxtG"/>
        <w:jc w:val="center"/>
        <w:rPr>
          <w:b/>
        </w:rPr>
      </w:pPr>
      <w:r w:rsidRPr="00823F92">
        <w:rPr>
          <w:b/>
        </w:rPr>
        <w:t>Table 3: Percentage residual antioxidant and reduction after 6 and 12 month’s storage</w:t>
      </w:r>
    </w:p>
    <w:tbl>
      <w:tblPr>
        <w:tblStyle w:val="TableGrid"/>
        <w:tblW w:w="0" w:type="auto"/>
        <w:jc w:val="center"/>
        <w:tblLook w:val="04A0" w:firstRow="1" w:lastRow="0" w:firstColumn="1" w:lastColumn="0" w:noHBand="0" w:noVBand="1"/>
      </w:tblPr>
      <w:tblGrid>
        <w:gridCol w:w="2373"/>
        <w:gridCol w:w="1024"/>
        <w:gridCol w:w="1195"/>
        <w:gridCol w:w="1195"/>
        <w:gridCol w:w="1195"/>
        <w:gridCol w:w="1195"/>
      </w:tblGrid>
      <w:tr w:rsidR="00823F92" w:rsidRPr="00B126A0" w:rsidTr="00823F92">
        <w:trPr>
          <w:jc w:val="center"/>
        </w:trPr>
        <w:tc>
          <w:tcPr>
            <w:tcW w:w="2373" w:type="dxa"/>
            <w:vMerge w:val="restart"/>
            <w:shd w:val="clear" w:color="auto" w:fill="F2F2F2" w:themeFill="background1" w:themeFillShade="F2"/>
            <w:vAlign w:val="center"/>
          </w:tcPr>
          <w:p w:rsidR="00823F92" w:rsidRPr="00B126A0" w:rsidRDefault="00823F92" w:rsidP="005A3BDD">
            <w:pPr>
              <w:ind w:right="1134"/>
              <w:jc w:val="both"/>
              <w:rPr>
                <w:b/>
              </w:rPr>
            </w:pPr>
            <w:r w:rsidRPr="00B126A0">
              <w:rPr>
                <w:b/>
              </w:rPr>
              <w:t>Antioxidant treatment</w:t>
            </w:r>
          </w:p>
        </w:tc>
        <w:tc>
          <w:tcPr>
            <w:tcW w:w="1024" w:type="dxa"/>
            <w:vMerge w:val="restart"/>
            <w:shd w:val="clear" w:color="auto" w:fill="F2F2F2" w:themeFill="background1" w:themeFillShade="F2"/>
            <w:vAlign w:val="center"/>
          </w:tcPr>
          <w:p w:rsidR="00823F92" w:rsidRDefault="00823F92" w:rsidP="005A3BDD">
            <w:pPr>
              <w:ind w:right="-102"/>
              <w:jc w:val="center"/>
              <w:rPr>
                <w:b/>
              </w:rPr>
            </w:pPr>
            <w:r>
              <w:rPr>
                <w:b/>
              </w:rPr>
              <w:t>Storage bag size</w:t>
            </w:r>
          </w:p>
        </w:tc>
        <w:tc>
          <w:tcPr>
            <w:tcW w:w="2390" w:type="dxa"/>
            <w:gridSpan w:val="2"/>
            <w:shd w:val="clear" w:color="auto" w:fill="F2F2F2" w:themeFill="background1" w:themeFillShade="F2"/>
            <w:vAlign w:val="center"/>
          </w:tcPr>
          <w:p w:rsidR="00823F92" w:rsidRPr="00B126A0" w:rsidRDefault="00823F92" w:rsidP="005A3BDD">
            <w:pPr>
              <w:ind w:right="-102"/>
              <w:jc w:val="center"/>
              <w:rPr>
                <w:b/>
              </w:rPr>
            </w:pPr>
            <w:r>
              <w:rPr>
                <w:b/>
              </w:rPr>
              <w:t>6 months</w:t>
            </w:r>
          </w:p>
        </w:tc>
        <w:tc>
          <w:tcPr>
            <w:tcW w:w="2390" w:type="dxa"/>
            <w:gridSpan w:val="2"/>
            <w:shd w:val="clear" w:color="auto" w:fill="F2F2F2" w:themeFill="background1" w:themeFillShade="F2"/>
            <w:vAlign w:val="center"/>
          </w:tcPr>
          <w:p w:rsidR="00823F92" w:rsidRPr="00B126A0" w:rsidRDefault="00823F92" w:rsidP="005A3BDD">
            <w:pPr>
              <w:ind w:right="-102"/>
              <w:jc w:val="center"/>
              <w:rPr>
                <w:b/>
              </w:rPr>
            </w:pPr>
            <w:r>
              <w:rPr>
                <w:b/>
              </w:rPr>
              <w:t>12 months</w:t>
            </w:r>
          </w:p>
        </w:tc>
      </w:tr>
      <w:tr w:rsidR="00823F92" w:rsidRPr="00B126A0" w:rsidTr="00823F92">
        <w:trPr>
          <w:jc w:val="center"/>
        </w:trPr>
        <w:tc>
          <w:tcPr>
            <w:tcW w:w="2373" w:type="dxa"/>
            <w:vMerge/>
            <w:shd w:val="clear" w:color="auto" w:fill="F2F2F2" w:themeFill="background1" w:themeFillShade="F2"/>
            <w:vAlign w:val="center"/>
          </w:tcPr>
          <w:p w:rsidR="00823F92" w:rsidRPr="00B126A0" w:rsidRDefault="00823F92" w:rsidP="005A3BDD">
            <w:pPr>
              <w:ind w:right="1134"/>
              <w:jc w:val="both"/>
              <w:rPr>
                <w:b/>
              </w:rPr>
            </w:pPr>
          </w:p>
        </w:tc>
        <w:tc>
          <w:tcPr>
            <w:tcW w:w="1024" w:type="dxa"/>
            <w:vMerge/>
            <w:tcBorders>
              <w:bottom w:val="single" w:sz="4" w:space="0" w:color="auto"/>
            </w:tcBorders>
            <w:shd w:val="clear" w:color="auto" w:fill="F2F2F2" w:themeFill="background1" w:themeFillShade="F2"/>
            <w:vAlign w:val="center"/>
          </w:tcPr>
          <w:p w:rsidR="00823F92" w:rsidRPr="00B126A0" w:rsidRDefault="00823F92" w:rsidP="005A3BDD">
            <w:pPr>
              <w:ind w:right="-102"/>
              <w:jc w:val="center"/>
              <w:rPr>
                <w:b/>
              </w:rPr>
            </w:pPr>
          </w:p>
        </w:tc>
        <w:tc>
          <w:tcPr>
            <w:tcW w:w="1195" w:type="dxa"/>
            <w:tcBorders>
              <w:bottom w:val="single" w:sz="4" w:space="0" w:color="auto"/>
            </w:tcBorders>
            <w:shd w:val="clear" w:color="auto" w:fill="F2F2F2" w:themeFill="background1" w:themeFillShade="F2"/>
            <w:vAlign w:val="center"/>
          </w:tcPr>
          <w:p w:rsidR="00823F92" w:rsidRPr="00B126A0" w:rsidRDefault="00823F92" w:rsidP="005A3BDD">
            <w:pPr>
              <w:ind w:right="-102"/>
              <w:jc w:val="center"/>
              <w:rPr>
                <w:b/>
              </w:rPr>
            </w:pPr>
            <w:r w:rsidRPr="00B126A0">
              <w:rPr>
                <w:b/>
              </w:rPr>
              <w:t>Residual antioxidant content (%)</w:t>
            </w:r>
          </w:p>
        </w:tc>
        <w:tc>
          <w:tcPr>
            <w:tcW w:w="1195" w:type="dxa"/>
            <w:tcBorders>
              <w:bottom w:val="single" w:sz="4" w:space="0" w:color="auto"/>
            </w:tcBorders>
            <w:shd w:val="clear" w:color="auto" w:fill="F2F2F2" w:themeFill="background1" w:themeFillShade="F2"/>
            <w:vAlign w:val="center"/>
          </w:tcPr>
          <w:p w:rsidR="00823F92" w:rsidRPr="00B126A0" w:rsidRDefault="00823F92" w:rsidP="005A3BDD">
            <w:pPr>
              <w:ind w:right="-102"/>
              <w:jc w:val="center"/>
              <w:rPr>
                <w:b/>
              </w:rPr>
            </w:pPr>
            <w:r w:rsidRPr="00B126A0">
              <w:rPr>
                <w:b/>
              </w:rPr>
              <w:t>Decrease in antioxidant content (%)</w:t>
            </w:r>
          </w:p>
        </w:tc>
        <w:tc>
          <w:tcPr>
            <w:tcW w:w="1195" w:type="dxa"/>
            <w:tcBorders>
              <w:bottom w:val="single" w:sz="4" w:space="0" w:color="auto"/>
            </w:tcBorders>
            <w:shd w:val="clear" w:color="auto" w:fill="F2F2F2" w:themeFill="background1" w:themeFillShade="F2"/>
            <w:vAlign w:val="center"/>
          </w:tcPr>
          <w:p w:rsidR="00823F92" w:rsidRPr="00B126A0" w:rsidRDefault="00823F92" w:rsidP="005A3BDD">
            <w:pPr>
              <w:ind w:right="-102"/>
              <w:jc w:val="center"/>
              <w:rPr>
                <w:b/>
              </w:rPr>
            </w:pPr>
            <w:r w:rsidRPr="00B126A0">
              <w:rPr>
                <w:b/>
              </w:rPr>
              <w:t>Residual antioxidant content (%)</w:t>
            </w:r>
          </w:p>
        </w:tc>
        <w:tc>
          <w:tcPr>
            <w:tcW w:w="1195" w:type="dxa"/>
            <w:tcBorders>
              <w:bottom w:val="single" w:sz="4" w:space="0" w:color="auto"/>
            </w:tcBorders>
            <w:shd w:val="clear" w:color="auto" w:fill="F2F2F2" w:themeFill="background1" w:themeFillShade="F2"/>
          </w:tcPr>
          <w:p w:rsidR="00823F92" w:rsidRPr="00B126A0" w:rsidRDefault="00823F92" w:rsidP="005A3BDD">
            <w:pPr>
              <w:ind w:right="-102"/>
              <w:jc w:val="center"/>
              <w:rPr>
                <w:b/>
              </w:rPr>
            </w:pPr>
            <w:r w:rsidRPr="00B126A0">
              <w:rPr>
                <w:b/>
              </w:rPr>
              <w:t>Decrease in antioxidant content (%)</w:t>
            </w:r>
          </w:p>
        </w:tc>
      </w:tr>
      <w:tr w:rsidR="00823F92" w:rsidTr="00823F92">
        <w:trPr>
          <w:jc w:val="center"/>
        </w:trPr>
        <w:tc>
          <w:tcPr>
            <w:tcW w:w="2373" w:type="dxa"/>
            <w:vMerge w:val="restart"/>
            <w:vAlign w:val="center"/>
          </w:tcPr>
          <w:p w:rsidR="00823F92" w:rsidRDefault="00823F92" w:rsidP="005A3BDD">
            <w:pPr>
              <w:ind w:right="-104"/>
              <w:jc w:val="both"/>
            </w:pPr>
            <w:r>
              <w:t xml:space="preserve">Ethoxyquin: 300 ppm </w:t>
            </w:r>
          </w:p>
        </w:tc>
        <w:tc>
          <w:tcPr>
            <w:tcW w:w="1024" w:type="dxa"/>
            <w:tcBorders>
              <w:bottom w:val="single" w:sz="4" w:space="0" w:color="auto"/>
            </w:tcBorders>
            <w:shd w:val="clear" w:color="auto" w:fill="FDE9D9" w:themeFill="accent6" w:themeFillTint="33"/>
          </w:tcPr>
          <w:p w:rsidR="00823F92" w:rsidRDefault="00823F92" w:rsidP="005A3BDD">
            <w:pPr>
              <w:ind w:right="-102"/>
              <w:jc w:val="center"/>
            </w:pPr>
            <w:r>
              <w:t xml:space="preserve">50 kg </w:t>
            </w:r>
          </w:p>
        </w:tc>
        <w:tc>
          <w:tcPr>
            <w:tcW w:w="1195" w:type="dxa"/>
            <w:tcBorders>
              <w:bottom w:val="single" w:sz="4" w:space="0" w:color="auto"/>
            </w:tcBorders>
            <w:shd w:val="clear" w:color="auto" w:fill="FDE9D9" w:themeFill="accent6" w:themeFillTint="33"/>
          </w:tcPr>
          <w:p w:rsidR="00823F92" w:rsidRDefault="00823F92" w:rsidP="005A3BDD">
            <w:pPr>
              <w:ind w:right="-102"/>
              <w:jc w:val="center"/>
            </w:pPr>
            <w:r>
              <w:t>81.4</w:t>
            </w:r>
          </w:p>
        </w:tc>
        <w:tc>
          <w:tcPr>
            <w:tcW w:w="1195" w:type="dxa"/>
            <w:tcBorders>
              <w:bottom w:val="single" w:sz="4" w:space="0" w:color="auto"/>
            </w:tcBorders>
            <w:shd w:val="clear" w:color="auto" w:fill="FDE9D9" w:themeFill="accent6" w:themeFillTint="33"/>
          </w:tcPr>
          <w:p w:rsidR="00823F92" w:rsidRDefault="00823F92" w:rsidP="005A3BDD">
            <w:pPr>
              <w:ind w:right="-102"/>
              <w:jc w:val="center"/>
            </w:pPr>
            <w:r>
              <w:t>18.6</w:t>
            </w:r>
          </w:p>
        </w:tc>
        <w:tc>
          <w:tcPr>
            <w:tcW w:w="1195" w:type="dxa"/>
            <w:tcBorders>
              <w:bottom w:val="single" w:sz="4" w:space="0" w:color="auto"/>
            </w:tcBorders>
            <w:shd w:val="clear" w:color="auto" w:fill="FDE9D9" w:themeFill="accent6" w:themeFillTint="33"/>
          </w:tcPr>
          <w:p w:rsidR="00823F92" w:rsidRDefault="00823F92" w:rsidP="005A3BDD">
            <w:pPr>
              <w:ind w:right="-102"/>
              <w:jc w:val="center"/>
            </w:pPr>
            <w:r>
              <w:t>47.6</w:t>
            </w:r>
          </w:p>
        </w:tc>
        <w:tc>
          <w:tcPr>
            <w:tcW w:w="1195" w:type="dxa"/>
            <w:tcBorders>
              <w:bottom w:val="single" w:sz="4" w:space="0" w:color="auto"/>
            </w:tcBorders>
            <w:shd w:val="clear" w:color="auto" w:fill="FDE9D9" w:themeFill="accent6" w:themeFillTint="33"/>
          </w:tcPr>
          <w:p w:rsidR="00823F92" w:rsidRDefault="00823F92" w:rsidP="005A3BDD">
            <w:pPr>
              <w:ind w:right="-102"/>
              <w:jc w:val="center"/>
            </w:pPr>
            <w:r>
              <w:t>52.4</w:t>
            </w:r>
          </w:p>
        </w:tc>
      </w:tr>
      <w:tr w:rsidR="00823F92" w:rsidTr="00823F92">
        <w:trPr>
          <w:jc w:val="center"/>
        </w:trPr>
        <w:tc>
          <w:tcPr>
            <w:tcW w:w="2373" w:type="dxa"/>
            <w:vMerge/>
            <w:vAlign w:val="center"/>
          </w:tcPr>
          <w:p w:rsidR="00823F92" w:rsidRDefault="00823F92" w:rsidP="005A3BDD">
            <w:pPr>
              <w:ind w:right="-104"/>
              <w:jc w:val="both"/>
            </w:pPr>
          </w:p>
        </w:tc>
        <w:tc>
          <w:tcPr>
            <w:tcW w:w="1024" w:type="dxa"/>
            <w:tcBorders>
              <w:bottom w:val="single" w:sz="4" w:space="0" w:color="auto"/>
            </w:tcBorders>
            <w:shd w:val="clear" w:color="auto" w:fill="E5DFEC" w:themeFill="accent4" w:themeFillTint="33"/>
          </w:tcPr>
          <w:p w:rsidR="00823F92" w:rsidRDefault="00823F92" w:rsidP="005A3BDD">
            <w:pPr>
              <w:ind w:right="-102"/>
              <w:jc w:val="center"/>
            </w:pPr>
            <w:r>
              <w:t xml:space="preserve">1 ton </w:t>
            </w:r>
          </w:p>
        </w:tc>
        <w:tc>
          <w:tcPr>
            <w:tcW w:w="1195" w:type="dxa"/>
            <w:tcBorders>
              <w:bottom w:val="single" w:sz="4" w:space="0" w:color="auto"/>
            </w:tcBorders>
            <w:shd w:val="clear" w:color="auto" w:fill="E5DFEC" w:themeFill="accent4" w:themeFillTint="33"/>
          </w:tcPr>
          <w:p w:rsidR="00823F92" w:rsidRDefault="00823F92" w:rsidP="005A3BDD">
            <w:pPr>
              <w:ind w:right="-102"/>
              <w:jc w:val="center"/>
            </w:pPr>
          </w:p>
        </w:tc>
        <w:tc>
          <w:tcPr>
            <w:tcW w:w="1195" w:type="dxa"/>
            <w:tcBorders>
              <w:bottom w:val="single" w:sz="4" w:space="0" w:color="auto"/>
            </w:tcBorders>
            <w:shd w:val="clear" w:color="auto" w:fill="E5DFEC" w:themeFill="accent4" w:themeFillTint="33"/>
          </w:tcPr>
          <w:p w:rsidR="00823F92" w:rsidRDefault="00823F92" w:rsidP="005A3BDD">
            <w:pPr>
              <w:ind w:right="-102"/>
              <w:jc w:val="center"/>
            </w:pPr>
          </w:p>
        </w:tc>
        <w:tc>
          <w:tcPr>
            <w:tcW w:w="1195" w:type="dxa"/>
            <w:tcBorders>
              <w:bottom w:val="single" w:sz="4" w:space="0" w:color="auto"/>
            </w:tcBorders>
            <w:shd w:val="clear" w:color="auto" w:fill="E5DFEC" w:themeFill="accent4" w:themeFillTint="33"/>
          </w:tcPr>
          <w:p w:rsidR="00823F92" w:rsidRDefault="00823F92" w:rsidP="005A3BDD">
            <w:pPr>
              <w:ind w:right="-102"/>
              <w:jc w:val="center"/>
            </w:pPr>
            <w:r>
              <w:t>71.7</w:t>
            </w:r>
          </w:p>
        </w:tc>
        <w:tc>
          <w:tcPr>
            <w:tcW w:w="1195" w:type="dxa"/>
            <w:tcBorders>
              <w:bottom w:val="single" w:sz="4" w:space="0" w:color="auto"/>
            </w:tcBorders>
            <w:shd w:val="clear" w:color="auto" w:fill="E5DFEC" w:themeFill="accent4" w:themeFillTint="33"/>
          </w:tcPr>
          <w:p w:rsidR="00823F92" w:rsidRDefault="00823F92" w:rsidP="005A3BDD">
            <w:pPr>
              <w:ind w:right="-102"/>
              <w:jc w:val="center"/>
            </w:pPr>
            <w:r>
              <w:t>28.3</w:t>
            </w:r>
          </w:p>
        </w:tc>
      </w:tr>
      <w:tr w:rsidR="00823F92" w:rsidTr="00823F92">
        <w:trPr>
          <w:jc w:val="center"/>
        </w:trPr>
        <w:tc>
          <w:tcPr>
            <w:tcW w:w="2373" w:type="dxa"/>
            <w:vMerge w:val="restart"/>
            <w:vAlign w:val="center"/>
          </w:tcPr>
          <w:p w:rsidR="00823F92" w:rsidRDefault="00823F92" w:rsidP="005A3BDD">
            <w:pPr>
              <w:ind w:right="-104"/>
              <w:jc w:val="both"/>
            </w:pPr>
            <w:r>
              <w:t xml:space="preserve">Ethoxyquin: </w:t>
            </w:r>
            <w:r w:rsidRPr="008D61D5">
              <w:t xml:space="preserve">30-50 ppm </w:t>
            </w:r>
          </w:p>
        </w:tc>
        <w:tc>
          <w:tcPr>
            <w:tcW w:w="1024" w:type="dxa"/>
            <w:tcBorders>
              <w:bottom w:val="single" w:sz="4" w:space="0" w:color="auto"/>
            </w:tcBorders>
            <w:shd w:val="clear" w:color="auto" w:fill="FDE9D9" w:themeFill="accent6" w:themeFillTint="33"/>
          </w:tcPr>
          <w:p w:rsidR="00823F92" w:rsidRDefault="00823F92" w:rsidP="005A3BDD">
            <w:pPr>
              <w:ind w:right="-102"/>
              <w:jc w:val="center"/>
            </w:pPr>
            <w:r>
              <w:t>50kg</w:t>
            </w:r>
          </w:p>
        </w:tc>
        <w:tc>
          <w:tcPr>
            <w:tcW w:w="1195" w:type="dxa"/>
            <w:tcBorders>
              <w:bottom w:val="single" w:sz="4" w:space="0" w:color="auto"/>
            </w:tcBorders>
            <w:shd w:val="clear" w:color="auto" w:fill="FDE9D9" w:themeFill="accent6" w:themeFillTint="33"/>
          </w:tcPr>
          <w:p w:rsidR="00823F92" w:rsidRDefault="00823F92" w:rsidP="005A3BDD">
            <w:pPr>
              <w:ind w:right="-102"/>
              <w:jc w:val="center"/>
            </w:pPr>
            <w:r>
              <w:t>&lt; 53.6</w:t>
            </w:r>
          </w:p>
        </w:tc>
        <w:tc>
          <w:tcPr>
            <w:tcW w:w="1195" w:type="dxa"/>
            <w:tcBorders>
              <w:bottom w:val="single" w:sz="4" w:space="0" w:color="auto"/>
            </w:tcBorders>
            <w:shd w:val="clear" w:color="auto" w:fill="FDE9D9" w:themeFill="accent6" w:themeFillTint="33"/>
          </w:tcPr>
          <w:p w:rsidR="00823F92" w:rsidRDefault="00823F92" w:rsidP="005A3BDD">
            <w:pPr>
              <w:ind w:right="-102"/>
              <w:jc w:val="center"/>
            </w:pPr>
            <w:r>
              <w:t>&lt; 46.4</w:t>
            </w:r>
          </w:p>
        </w:tc>
        <w:tc>
          <w:tcPr>
            <w:tcW w:w="1195" w:type="dxa"/>
            <w:tcBorders>
              <w:bottom w:val="single" w:sz="4" w:space="0" w:color="auto"/>
            </w:tcBorders>
            <w:shd w:val="clear" w:color="auto" w:fill="FDE9D9" w:themeFill="accent6" w:themeFillTint="33"/>
          </w:tcPr>
          <w:p w:rsidR="00823F92" w:rsidRDefault="00823F92" w:rsidP="005A3BDD">
            <w:pPr>
              <w:ind w:right="-102"/>
              <w:jc w:val="center"/>
            </w:pPr>
            <w:r>
              <w:t>&lt; 45.6</w:t>
            </w:r>
          </w:p>
        </w:tc>
        <w:tc>
          <w:tcPr>
            <w:tcW w:w="1195" w:type="dxa"/>
            <w:tcBorders>
              <w:bottom w:val="single" w:sz="4" w:space="0" w:color="auto"/>
            </w:tcBorders>
            <w:shd w:val="clear" w:color="auto" w:fill="FDE9D9" w:themeFill="accent6" w:themeFillTint="33"/>
          </w:tcPr>
          <w:p w:rsidR="00823F92" w:rsidRDefault="00823F92" w:rsidP="005A3BDD">
            <w:pPr>
              <w:ind w:right="-102"/>
              <w:jc w:val="center"/>
            </w:pPr>
            <w:r>
              <w:t>&lt; 54.4</w:t>
            </w:r>
          </w:p>
        </w:tc>
      </w:tr>
      <w:tr w:rsidR="00823F92" w:rsidTr="00823F92">
        <w:trPr>
          <w:jc w:val="center"/>
        </w:trPr>
        <w:tc>
          <w:tcPr>
            <w:tcW w:w="2373" w:type="dxa"/>
            <w:vMerge/>
            <w:vAlign w:val="center"/>
          </w:tcPr>
          <w:p w:rsidR="00823F92" w:rsidRDefault="00823F92" w:rsidP="005A3BDD">
            <w:pPr>
              <w:ind w:right="-104"/>
              <w:jc w:val="both"/>
            </w:pPr>
          </w:p>
        </w:tc>
        <w:tc>
          <w:tcPr>
            <w:tcW w:w="1024" w:type="dxa"/>
            <w:tcBorders>
              <w:bottom w:val="single" w:sz="4" w:space="0" w:color="auto"/>
            </w:tcBorders>
            <w:shd w:val="clear" w:color="auto" w:fill="E5DFEC" w:themeFill="accent4" w:themeFillTint="33"/>
          </w:tcPr>
          <w:p w:rsidR="00823F92" w:rsidRDefault="00823F92" w:rsidP="005A3BDD">
            <w:pPr>
              <w:ind w:right="-102"/>
              <w:jc w:val="center"/>
            </w:pPr>
            <w:r>
              <w:t>1 ton</w:t>
            </w:r>
          </w:p>
        </w:tc>
        <w:tc>
          <w:tcPr>
            <w:tcW w:w="1195" w:type="dxa"/>
            <w:tcBorders>
              <w:bottom w:val="single" w:sz="4" w:space="0" w:color="auto"/>
            </w:tcBorders>
            <w:shd w:val="clear" w:color="auto" w:fill="E5DFEC" w:themeFill="accent4" w:themeFillTint="33"/>
          </w:tcPr>
          <w:p w:rsidR="00823F92" w:rsidRDefault="00823F92" w:rsidP="005A3BDD">
            <w:pPr>
              <w:ind w:right="-102"/>
              <w:jc w:val="center"/>
            </w:pPr>
          </w:p>
        </w:tc>
        <w:tc>
          <w:tcPr>
            <w:tcW w:w="1195" w:type="dxa"/>
            <w:tcBorders>
              <w:bottom w:val="single" w:sz="4" w:space="0" w:color="auto"/>
            </w:tcBorders>
            <w:shd w:val="clear" w:color="auto" w:fill="E5DFEC" w:themeFill="accent4" w:themeFillTint="33"/>
          </w:tcPr>
          <w:p w:rsidR="00823F92" w:rsidRDefault="00823F92" w:rsidP="005A3BDD">
            <w:pPr>
              <w:ind w:right="-102"/>
              <w:jc w:val="center"/>
            </w:pPr>
          </w:p>
        </w:tc>
        <w:tc>
          <w:tcPr>
            <w:tcW w:w="1195" w:type="dxa"/>
            <w:tcBorders>
              <w:bottom w:val="single" w:sz="4" w:space="0" w:color="auto"/>
            </w:tcBorders>
            <w:shd w:val="clear" w:color="auto" w:fill="E5DFEC" w:themeFill="accent4" w:themeFillTint="33"/>
          </w:tcPr>
          <w:p w:rsidR="00823F92" w:rsidRDefault="00823F92" w:rsidP="005A3BDD">
            <w:pPr>
              <w:ind w:right="-102"/>
              <w:jc w:val="center"/>
            </w:pPr>
            <w:r>
              <w:t>75.8</w:t>
            </w:r>
          </w:p>
        </w:tc>
        <w:tc>
          <w:tcPr>
            <w:tcW w:w="1195" w:type="dxa"/>
            <w:tcBorders>
              <w:bottom w:val="single" w:sz="4" w:space="0" w:color="auto"/>
            </w:tcBorders>
            <w:shd w:val="clear" w:color="auto" w:fill="E5DFEC" w:themeFill="accent4" w:themeFillTint="33"/>
          </w:tcPr>
          <w:p w:rsidR="00823F92" w:rsidRDefault="00823F92" w:rsidP="005A3BDD">
            <w:pPr>
              <w:ind w:right="-102"/>
              <w:jc w:val="center"/>
            </w:pPr>
            <w:r>
              <w:t>24.2</w:t>
            </w:r>
          </w:p>
        </w:tc>
      </w:tr>
      <w:tr w:rsidR="00823F92" w:rsidTr="00823F92">
        <w:trPr>
          <w:jc w:val="center"/>
        </w:trPr>
        <w:tc>
          <w:tcPr>
            <w:tcW w:w="2373" w:type="dxa"/>
            <w:vMerge w:val="restart"/>
            <w:vAlign w:val="center"/>
          </w:tcPr>
          <w:p w:rsidR="00823F92" w:rsidRDefault="00823F92" w:rsidP="005A3BDD">
            <w:pPr>
              <w:ind w:right="-104"/>
              <w:jc w:val="both"/>
            </w:pPr>
            <w:r>
              <w:t xml:space="preserve">BHT: 2,000 ppm </w:t>
            </w:r>
          </w:p>
        </w:tc>
        <w:tc>
          <w:tcPr>
            <w:tcW w:w="1024" w:type="dxa"/>
            <w:tcBorders>
              <w:bottom w:val="single" w:sz="4" w:space="0" w:color="auto"/>
            </w:tcBorders>
            <w:shd w:val="clear" w:color="auto" w:fill="FDE9D9" w:themeFill="accent6" w:themeFillTint="33"/>
          </w:tcPr>
          <w:p w:rsidR="00823F92" w:rsidRDefault="00823F92" w:rsidP="005A3BDD">
            <w:pPr>
              <w:ind w:right="-102"/>
              <w:jc w:val="center"/>
            </w:pPr>
            <w:r>
              <w:t>50 kg</w:t>
            </w:r>
          </w:p>
        </w:tc>
        <w:tc>
          <w:tcPr>
            <w:tcW w:w="1195" w:type="dxa"/>
            <w:tcBorders>
              <w:bottom w:val="single" w:sz="4" w:space="0" w:color="auto"/>
            </w:tcBorders>
            <w:shd w:val="clear" w:color="auto" w:fill="FDE9D9" w:themeFill="accent6" w:themeFillTint="33"/>
          </w:tcPr>
          <w:p w:rsidR="00823F92" w:rsidRDefault="00823F92" w:rsidP="005A3BDD">
            <w:pPr>
              <w:ind w:right="-102"/>
              <w:jc w:val="center"/>
            </w:pPr>
            <w:r>
              <w:t>84.0</w:t>
            </w:r>
          </w:p>
        </w:tc>
        <w:tc>
          <w:tcPr>
            <w:tcW w:w="1195" w:type="dxa"/>
            <w:tcBorders>
              <w:bottom w:val="single" w:sz="4" w:space="0" w:color="auto"/>
            </w:tcBorders>
            <w:shd w:val="clear" w:color="auto" w:fill="FDE9D9" w:themeFill="accent6" w:themeFillTint="33"/>
          </w:tcPr>
          <w:p w:rsidR="00823F92" w:rsidRDefault="00823F92" w:rsidP="005A3BDD">
            <w:pPr>
              <w:ind w:right="-102"/>
              <w:jc w:val="center"/>
            </w:pPr>
            <w:r>
              <w:t>16.0</w:t>
            </w:r>
          </w:p>
        </w:tc>
        <w:tc>
          <w:tcPr>
            <w:tcW w:w="1195" w:type="dxa"/>
            <w:tcBorders>
              <w:bottom w:val="single" w:sz="4" w:space="0" w:color="auto"/>
            </w:tcBorders>
            <w:shd w:val="clear" w:color="auto" w:fill="FDE9D9" w:themeFill="accent6" w:themeFillTint="33"/>
          </w:tcPr>
          <w:p w:rsidR="00823F92" w:rsidRDefault="00823F92" w:rsidP="005A3BDD">
            <w:pPr>
              <w:ind w:right="-102"/>
              <w:jc w:val="center"/>
            </w:pPr>
            <w:r>
              <w:t>66.2</w:t>
            </w:r>
          </w:p>
        </w:tc>
        <w:tc>
          <w:tcPr>
            <w:tcW w:w="1195" w:type="dxa"/>
            <w:tcBorders>
              <w:bottom w:val="single" w:sz="4" w:space="0" w:color="auto"/>
            </w:tcBorders>
            <w:shd w:val="clear" w:color="auto" w:fill="FDE9D9" w:themeFill="accent6" w:themeFillTint="33"/>
          </w:tcPr>
          <w:p w:rsidR="00823F92" w:rsidRDefault="00823F92" w:rsidP="005A3BDD">
            <w:pPr>
              <w:ind w:right="-102"/>
              <w:jc w:val="center"/>
            </w:pPr>
            <w:r>
              <w:t>33.8</w:t>
            </w:r>
          </w:p>
        </w:tc>
      </w:tr>
      <w:tr w:rsidR="00823F92" w:rsidTr="00823F92">
        <w:trPr>
          <w:jc w:val="center"/>
        </w:trPr>
        <w:tc>
          <w:tcPr>
            <w:tcW w:w="2373" w:type="dxa"/>
            <w:vMerge/>
            <w:vAlign w:val="center"/>
          </w:tcPr>
          <w:p w:rsidR="00823F92" w:rsidRDefault="00823F92" w:rsidP="005A3BDD">
            <w:pPr>
              <w:ind w:right="-104"/>
              <w:jc w:val="both"/>
            </w:pPr>
          </w:p>
        </w:tc>
        <w:tc>
          <w:tcPr>
            <w:tcW w:w="1024" w:type="dxa"/>
            <w:tcBorders>
              <w:bottom w:val="single" w:sz="4" w:space="0" w:color="auto"/>
            </w:tcBorders>
            <w:shd w:val="clear" w:color="auto" w:fill="E5DFEC" w:themeFill="accent4" w:themeFillTint="33"/>
          </w:tcPr>
          <w:p w:rsidR="00823F92" w:rsidRDefault="00823F92" w:rsidP="005A3BDD">
            <w:pPr>
              <w:ind w:right="-102"/>
              <w:jc w:val="center"/>
            </w:pPr>
            <w:r>
              <w:t>1 ton</w:t>
            </w:r>
          </w:p>
        </w:tc>
        <w:tc>
          <w:tcPr>
            <w:tcW w:w="1195" w:type="dxa"/>
            <w:tcBorders>
              <w:bottom w:val="single" w:sz="4" w:space="0" w:color="auto"/>
            </w:tcBorders>
            <w:shd w:val="clear" w:color="auto" w:fill="E5DFEC" w:themeFill="accent4" w:themeFillTint="33"/>
          </w:tcPr>
          <w:p w:rsidR="00823F92" w:rsidRDefault="00823F92" w:rsidP="005A3BDD">
            <w:pPr>
              <w:ind w:right="-102"/>
              <w:jc w:val="center"/>
            </w:pPr>
          </w:p>
        </w:tc>
        <w:tc>
          <w:tcPr>
            <w:tcW w:w="1195" w:type="dxa"/>
            <w:tcBorders>
              <w:bottom w:val="single" w:sz="4" w:space="0" w:color="auto"/>
            </w:tcBorders>
            <w:shd w:val="clear" w:color="auto" w:fill="E5DFEC" w:themeFill="accent4" w:themeFillTint="33"/>
          </w:tcPr>
          <w:p w:rsidR="00823F92" w:rsidRDefault="00823F92" w:rsidP="005A3BDD">
            <w:pPr>
              <w:ind w:right="-102"/>
              <w:jc w:val="center"/>
            </w:pPr>
          </w:p>
        </w:tc>
        <w:tc>
          <w:tcPr>
            <w:tcW w:w="1195" w:type="dxa"/>
            <w:tcBorders>
              <w:bottom w:val="single" w:sz="4" w:space="0" w:color="auto"/>
            </w:tcBorders>
            <w:shd w:val="clear" w:color="auto" w:fill="E5DFEC" w:themeFill="accent4" w:themeFillTint="33"/>
          </w:tcPr>
          <w:p w:rsidR="00823F92" w:rsidRDefault="00823F92" w:rsidP="005A3BDD">
            <w:pPr>
              <w:ind w:right="-102"/>
              <w:jc w:val="center"/>
            </w:pPr>
            <w:r>
              <w:t>78.1</w:t>
            </w:r>
          </w:p>
        </w:tc>
        <w:tc>
          <w:tcPr>
            <w:tcW w:w="1195" w:type="dxa"/>
            <w:tcBorders>
              <w:bottom w:val="single" w:sz="4" w:space="0" w:color="auto"/>
            </w:tcBorders>
            <w:shd w:val="clear" w:color="auto" w:fill="E5DFEC" w:themeFill="accent4" w:themeFillTint="33"/>
          </w:tcPr>
          <w:p w:rsidR="00823F92" w:rsidRDefault="00823F92" w:rsidP="005A3BDD">
            <w:pPr>
              <w:ind w:right="-102"/>
              <w:jc w:val="center"/>
            </w:pPr>
            <w:r>
              <w:t>21.9</w:t>
            </w:r>
          </w:p>
        </w:tc>
      </w:tr>
      <w:tr w:rsidR="00823F92" w:rsidTr="00823F92">
        <w:trPr>
          <w:jc w:val="center"/>
        </w:trPr>
        <w:tc>
          <w:tcPr>
            <w:tcW w:w="2373" w:type="dxa"/>
            <w:vMerge w:val="restart"/>
            <w:vAlign w:val="center"/>
          </w:tcPr>
          <w:p w:rsidR="00823F92" w:rsidRDefault="00823F92" w:rsidP="005A3BDD">
            <w:pPr>
              <w:ind w:right="-104"/>
              <w:jc w:val="both"/>
            </w:pPr>
            <w:r>
              <w:t xml:space="preserve">BHT: 4,000 ppm </w:t>
            </w:r>
          </w:p>
        </w:tc>
        <w:tc>
          <w:tcPr>
            <w:tcW w:w="1024" w:type="dxa"/>
            <w:tcBorders>
              <w:bottom w:val="single" w:sz="4" w:space="0" w:color="auto"/>
            </w:tcBorders>
            <w:shd w:val="clear" w:color="auto" w:fill="FDE9D9" w:themeFill="accent6" w:themeFillTint="33"/>
          </w:tcPr>
          <w:p w:rsidR="00823F92" w:rsidRDefault="00823F92" w:rsidP="005A3BDD">
            <w:pPr>
              <w:ind w:right="-102"/>
              <w:jc w:val="center"/>
            </w:pPr>
            <w:r>
              <w:t>50 kg</w:t>
            </w:r>
          </w:p>
        </w:tc>
        <w:tc>
          <w:tcPr>
            <w:tcW w:w="1195" w:type="dxa"/>
            <w:tcBorders>
              <w:bottom w:val="single" w:sz="4" w:space="0" w:color="auto"/>
            </w:tcBorders>
            <w:shd w:val="clear" w:color="auto" w:fill="FDE9D9" w:themeFill="accent6" w:themeFillTint="33"/>
          </w:tcPr>
          <w:p w:rsidR="00823F92" w:rsidRDefault="00823F92" w:rsidP="005A3BDD">
            <w:pPr>
              <w:ind w:right="-102"/>
              <w:jc w:val="center"/>
            </w:pPr>
            <w:r>
              <w:t>87.5</w:t>
            </w:r>
          </w:p>
        </w:tc>
        <w:tc>
          <w:tcPr>
            <w:tcW w:w="1195" w:type="dxa"/>
            <w:tcBorders>
              <w:bottom w:val="single" w:sz="4" w:space="0" w:color="auto"/>
            </w:tcBorders>
            <w:shd w:val="clear" w:color="auto" w:fill="FDE9D9" w:themeFill="accent6" w:themeFillTint="33"/>
          </w:tcPr>
          <w:p w:rsidR="00823F92" w:rsidRDefault="00823F92" w:rsidP="005A3BDD">
            <w:pPr>
              <w:ind w:right="-102"/>
              <w:jc w:val="center"/>
            </w:pPr>
            <w:r>
              <w:t>12.5</w:t>
            </w:r>
          </w:p>
        </w:tc>
        <w:tc>
          <w:tcPr>
            <w:tcW w:w="1195" w:type="dxa"/>
            <w:tcBorders>
              <w:bottom w:val="single" w:sz="4" w:space="0" w:color="auto"/>
            </w:tcBorders>
            <w:shd w:val="clear" w:color="auto" w:fill="FDE9D9" w:themeFill="accent6" w:themeFillTint="33"/>
          </w:tcPr>
          <w:p w:rsidR="00823F92" w:rsidRDefault="00823F92" w:rsidP="005A3BDD">
            <w:pPr>
              <w:ind w:right="-102"/>
              <w:jc w:val="center"/>
            </w:pPr>
            <w:r>
              <w:t>76.8</w:t>
            </w:r>
          </w:p>
        </w:tc>
        <w:tc>
          <w:tcPr>
            <w:tcW w:w="1195" w:type="dxa"/>
            <w:tcBorders>
              <w:bottom w:val="single" w:sz="4" w:space="0" w:color="auto"/>
            </w:tcBorders>
            <w:shd w:val="clear" w:color="auto" w:fill="FDE9D9" w:themeFill="accent6" w:themeFillTint="33"/>
          </w:tcPr>
          <w:p w:rsidR="00823F92" w:rsidRDefault="00823F92" w:rsidP="005A3BDD">
            <w:pPr>
              <w:ind w:right="-102"/>
              <w:jc w:val="center"/>
            </w:pPr>
            <w:r>
              <w:t>23.2</w:t>
            </w:r>
          </w:p>
        </w:tc>
      </w:tr>
      <w:tr w:rsidR="00823F92" w:rsidTr="00823F92">
        <w:trPr>
          <w:jc w:val="center"/>
        </w:trPr>
        <w:tc>
          <w:tcPr>
            <w:tcW w:w="2373" w:type="dxa"/>
            <w:vMerge/>
            <w:vAlign w:val="center"/>
          </w:tcPr>
          <w:p w:rsidR="00823F92" w:rsidRDefault="00823F92" w:rsidP="005A3BDD">
            <w:pPr>
              <w:ind w:right="-104"/>
              <w:jc w:val="both"/>
            </w:pPr>
          </w:p>
        </w:tc>
        <w:tc>
          <w:tcPr>
            <w:tcW w:w="1024" w:type="dxa"/>
            <w:tcBorders>
              <w:bottom w:val="single" w:sz="4" w:space="0" w:color="auto"/>
            </w:tcBorders>
            <w:shd w:val="clear" w:color="auto" w:fill="E5DFEC" w:themeFill="accent4" w:themeFillTint="33"/>
          </w:tcPr>
          <w:p w:rsidR="00823F92" w:rsidRDefault="00823F92" w:rsidP="005A3BDD">
            <w:pPr>
              <w:ind w:right="-102"/>
              <w:jc w:val="center"/>
            </w:pPr>
            <w:r>
              <w:t>1 ton</w:t>
            </w:r>
          </w:p>
        </w:tc>
        <w:tc>
          <w:tcPr>
            <w:tcW w:w="1195" w:type="dxa"/>
            <w:tcBorders>
              <w:bottom w:val="single" w:sz="4" w:space="0" w:color="auto"/>
            </w:tcBorders>
            <w:shd w:val="clear" w:color="auto" w:fill="E5DFEC" w:themeFill="accent4" w:themeFillTint="33"/>
          </w:tcPr>
          <w:p w:rsidR="00823F92" w:rsidRDefault="00823F92" w:rsidP="005A3BDD">
            <w:pPr>
              <w:ind w:right="-102"/>
              <w:jc w:val="center"/>
            </w:pPr>
          </w:p>
        </w:tc>
        <w:tc>
          <w:tcPr>
            <w:tcW w:w="1195" w:type="dxa"/>
            <w:tcBorders>
              <w:bottom w:val="single" w:sz="4" w:space="0" w:color="auto"/>
            </w:tcBorders>
            <w:shd w:val="clear" w:color="auto" w:fill="E5DFEC" w:themeFill="accent4" w:themeFillTint="33"/>
          </w:tcPr>
          <w:p w:rsidR="00823F92" w:rsidRDefault="00823F92" w:rsidP="005A3BDD">
            <w:pPr>
              <w:ind w:right="-102"/>
              <w:jc w:val="center"/>
            </w:pPr>
          </w:p>
        </w:tc>
        <w:tc>
          <w:tcPr>
            <w:tcW w:w="1195" w:type="dxa"/>
            <w:tcBorders>
              <w:bottom w:val="single" w:sz="4" w:space="0" w:color="auto"/>
            </w:tcBorders>
            <w:shd w:val="clear" w:color="auto" w:fill="E5DFEC" w:themeFill="accent4" w:themeFillTint="33"/>
          </w:tcPr>
          <w:p w:rsidR="00823F92" w:rsidRDefault="00823F92" w:rsidP="005A3BDD">
            <w:pPr>
              <w:ind w:right="-102"/>
              <w:jc w:val="center"/>
            </w:pPr>
            <w:r>
              <w:t>89.4</w:t>
            </w:r>
          </w:p>
        </w:tc>
        <w:tc>
          <w:tcPr>
            <w:tcW w:w="1195" w:type="dxa"/>
            <w:tcBorders>
              <w:bottom w:val="single" w:sz="4" w:space="0" w:color="auto"/>
            </w:tcBorders>
            <w:shd w:val="clear" w:color="auto" w:fill="E5DFEC" w:themeFill="accent4" w:themeFillTint="33"/>
          </w:tcPr>
          <w:p w:rsidR="00823F92" w:rsidRDefault="00823F92" w:rsidP="005A3BDD">
            <w:pPr>
              <w:ind w:right="-102"/>
              <w:jc w:val="center"/>
            </w:pPr>
            <w:r>
              <w:t>10.6</w:t>
            </w:r>
          </w:p>
        </w:tc>
      </w:tr>
      <w:tr w:rsidR="00823F92" w:rsidTr="00823F92">
        <w:trPr>
          <w:jc w:val="center"/>
        </w:trPr>
        <w:tc>
          <w:tcPr>
            <w:tcW w:w="2373" w:type="dxa"/>
            <w:vMerge w:val="restart"/>
            <w:vAlign w:val="center"/>
          </w:tcPr>
          <w:p w:rsidR="00823F92" w:rsidRDefault="00823F92" w:rsidP="005A3BDD">
            <w:pPr>
              <w:ind w:right="-104"/>
              <w:jc w:val="both"/>
            </w:pPr>
            <w:r>
              <w:t>Natural blend: 2,000 ppm</w:t>
            </w:r>
          </w:p>
        </w:tc>
        <w:tc>
          <w:tcPr>
            <w:tcW w:w="1024" w:type="dxa"/>
            <w:tcBorders>
              <w:bottom w:val="single" w:sz="4" w:space="0" w:color="auto"/>
            </w:tcBorders>
            <w:shd w:val="clear" w:color="auto" w:fill="FDE9D9" w:themeFill="accent6" w:themeFillTint="33"/>
          </w:tcPr>
          <w:p w:rsidR="00823F92" w:rsidRDefault="00823F92" w:rsidP="005A3BDD">
            <w:pPr>
              <w:ind w:right="-102"/>
              <w:jc w:val="center"/>
            </w:pPr>
            <w:r>
              <w:t>50 kg</w:t>
            </w:r>
          </w:p>
        </w:tc>
        <w:tc>
          <w:tcPr>
            <w:tcW w:w="1195" w:type="dxa"/>
            <w:tcBorders>
              <w:bottom w:val="single" w:sz="4" w:space="0" w:color="auto"/>
            </w:tcBorders>
            <w:shd w:val="clear" w:color="auto" w:fill="FDE9D9" w:themeFill="accent6" w:themeFillTint="33"/>
          </w:tcPr>
          <w:p w:rsidR="00823F92" w:rsidRDefault="00823F92" w:rsidP="005A3BDD">
            <w:pPr>
              <w:ind w:right="-102"/>
              <w:jc w:val="center"/>
            </w:pPr>
            <w:r>
              <w:t>63.1</w:t>
            </w:r>
          </w:p>
        </w:tc>
        <w:tc>
          <w:tcPr>
            <w:tcW w:w="1195" w:type="dxa"/>
            <w:tcBorders>
              <w:bottom w:val="single" w:sz="4" w:space="0" w:color="auto"/>
            </w:tcBorders>
            <w:shd w:val="clear" w:color="auto" w:fill="FDE9D9" w:themeFill="accent6" w:themeFillTint="33"/>
          </w:tcPr>
          <w:p w:rsidR="00823F92" w:rsidRDefault="00823F92" w:rsidP="005A3BDD">
            <w:pPr>
              <w:ind w:right="-102"/>
              <w:jc w:val="center"/>
            </w:pPr>
            <w:r>
              <w:t>36.9</w:t>
            </w:r>
          </w:p>
        </w:tc>
        <w:tc>
          <w:tcPr>
            <w:tcW w:w="1195" w:type="dxa"/>
            <w:tcBorders>
              <w:bottom w:val="single" w:sz="4" w:space="0" w:color="auto"/>
            </w:tcBorders>
            <w:shd w:val="clear" w:color="auto" w:fill="FDE9D9" w:themeFill="accent6" w:themeFillTint="33"/>
          </w:tcPr>
          <w:p w:rsidR="00823F92" w:rsidRDefault="00823F92" w:rsidP="005A3BDD">
            <w:pPr>
              <w:ind w:right="-102"/>
              <w:jc w:val="center"/>
            </w:pPr>
            <w:r>
              <w:t>54.3</w:t>
            </w:r>
          </w:p>
        </w:tc>
        <w:tc>
          <w:tcPr>
            <w:tcW w:w="1195" w:type="dxa"/>
            <w:tcBorders>
              <w:bottom w:val="single" w:sz="4" w:space="0" w:color="auto"/>
            </w:tcBorders>
            <w:shd w:val="clear" w:color="auto" w:fill="FDE9D9" w:themeFill="accent6" w:themeFillTint="33"/>
          </w:tcPr>
          <w:p w:rsidR="00823F92" w:rsidRDefault="00823F92" w:rsidP="005A3BDD">
            <w:pPr>
              <w:ind w:right="-102"/>
              <w:jc w:val="center"/>
            </w:pPr>
            <w:r>
              <w:t>45.7</w:t>
            </w:r>
          </w:p>
        </w:tc>
      </w:tr>
      <w:tr w:rsidR="00823F92" w:rsidTr="00823F92">
        <w:trPr>
          <w:jc w:val="center"/>
        </w:trPr>
        <w:tc>
          <w:tcPr>
            <w:tcW w:w="2373" w:type="dxa"/>
            <w:vMerge/>
            <w:vAlign w:val="center"/>
          </w:tcPr>
          <w:p w:rsidR="00823F92" w:rsidRDefault="00823F92" w:rsidP="005A3BDD">
            <w:pPr>
              <w:ind w:right="-104"/>
              <w:jc w:val="both"/>
            </w:pPr>
          </w:p>
        </w:tc>
        <w:tc>
          <w:tcPr>
            <w:tcW w:w="1024" w:type="dxa"/>
            <w:tcBorders>
              <w:bottom w:val="single" w:sz="4" w:space="0" w:color="auto"/>
            </w:tcBorders>
            <w:shd w:val="clear" w:color="auto" w:fill="E5DFEC" w:themeFill="accent4" w:themeFillTint="33"/>
          </w:tcPr>
          <w:p w:rsidR="00823F92" w:rsidRDefault="00823F92" w:rsidP="005A3BDD">
            <w:pPr>
              <w:ind w:right="-102"/>
              <w:jc w:val="center"/>
            </w:pPr>
            <w:r>
              <w:t>1 ton</w:t>
            </w:r>
          </w:p>
        </w:tc>
        <w:tc>
          <w:tcPr>
            <w:tcW w:w="1195" w:type="dxa"/>
            <w:tcBorders>
              <w:bottom w:val="single" w:sz="4" w:space="0" w:color="auto"/>
            </w:tcBorders>
            <w:shd w:val="clear" w:color="auto" w:fill="E5DFEC" w:themeFill="accent4" w:themeFillTint="33"/>
          </w:tcPr>
          <w:p w:rsidR="00823F92" w:rsidRDefault="00823F92" w:rsidP="005A3BDD">
            <w:pPr>
              <w:ind w:right="-102"/>
              <w:jc w:val="center"/>
            </w:pPr>
          </w:p>
        </w:tc>
        <w:tc>
          <w:tcPr>
            <w:tcW w:w="1195" w:type="dxa"/>
            <w:tcBorders>
              <w:bottom w:val="single" w:sz="4" w:space="0" w:color="auto"/>
            </w:tcBorders>
            <w:shd w:val="clear" w:color="auto" w:fill="E5DFEC" w:themeFill="accent4" w:themeFillTint="33"/>
          </w:tcPr>
          <w:p w:rsidR="00823F92" w:rsidRDefault="00823F92" w:rsidP="005A3BDD">
            <w:pPr>
              <w:ind w:right="-102"/>
              <w:jc w:val="center"/>
            </w:pPr>
          </w:p>
        </w:tc>
        <w:tc>
          <w:tcPr>
            <w:tcW w:w="1195" w:type="dxa"/>
            <w:tcBorders>
              <w:bottom w:val="single" w:sz="4" w:space="0" w:color="auto"/>
            </w:tcBorders>
            <w:shd w:val="clear" w:color="auto" w:fill="E5DFEC" w:themeFill="accent4" w:themeFillTint="33"/>
          </w:tcPr>
          <w:p w:rsidR="00823F92" w:rsidRDefault="00823F92" w:rsidP="005A3BDD">
            <w:pPr>
              <w:ind w:right="-102"/>
              <w:jc w:val="center"/>
            </w:pPr>
            <w:r>
              <w:t>70.1</w:t>
            </w:r>
          </w:p>
        </w:tc>
        <w:tc>
          <w:tcPr>
            <w:tcW w:w="1195" w:type="dxa"/>
            <w:tcBorders>
              <w:bottom w:val="single" w:sz="4" w:space="0" w:color="auto"/>
            </w:tcBorders>
            <w:shd w:val="clear" w:color="auto" w:fill="E5DFEC" w:themeFill="accent4" w:themeFillTint="33"/>
          </w:tcPr>
          <w:p w:rsidR="00823F92" w:rsidRDefault="00823F92" w:rsidP="005A3BDD">
            <w:pPr>
              <w:ind w:right="-102"/>
              <w:jc w:val="center"/>
            </w:pPr>
            <w:r>
              <w:t>29.9</w:t>
            </w:r>
          </w:p>
        </w:tc>
      </w:tr>
      <w:tr w:rsidR="00823F92" w:rsidTr="00823F92">
        <w:trPr>
          <w:jc w:val="center"/>
        </w:trPr>
        <w:tc>
          <w:tcPr>
            <w:tcW w:w="2373" w:type="dxa"/>
            <w:vMerge w:val="restart"/>
            <w:vAlign w:val="center"/>
          </w:tcPr>
          <w:p w:rsidR="00823F92" w:rsidRDefault="00823F92" w:rsidP="005A3BDD">
            <w:pPr>
              <w:ind w:right="-104"/>
              <w:jc w:val="both"/>
            </w:pPr>
            <w:r>
              <w:t xml:space="preserve">Natural blend: 4,000 ppm </w:t>
            </w:r>
          </w:p>
        </w:tc>
        <w:tc>
          <w:tcPr>
            <w:tcW w:w="1024" w:type="dxa"/>
            <w:tcBorders>
              <w:bottom w:val="single" w:sz="4" w:space="0" w:color="auto"/>
            </w:tcBorders>
            <w:shd w:val="clear" w:color="auto" w:fill="FDE9D9" w:themeFill="accent6" w:themeFillTint="33"/>
          </w:tcPr>
          <w:p w:rsidR="00823F92" w:rsidRDefault="00823F92" w:rsidP="005A3BDD">
            <w:pPr>
              <w:ind w:right="-102"/>
              <w:jc w:val="center"/>
            </w:pPr>
            <w:r>
              <w:t>50 kg</w:t>
            </w:r>
          </w:p>
        </w:tc>
        <w:tc>
          <w:tcPr>
            <w:tcW w:w="1195" w:type="dxa"/>
            <w:tcBorders>
              <w:bottom w:val="single" w:sz="4" w:space="0" w:color="auto"/>
            </w:tcBorders>
            <w:shd w:val="clear" w:color="auto" w:fill="FDE9D9" w:themeFill="accent6" w:themeFillTint="33"/>
          </w:tcPr>
          <w:p w:rsidR="00823F92" w:rsidRDefault="00823F92" w:rsidP="005A3BDD">
            <w:pPr>
              <w:ind w:right="-102"/>
              <w:jc w:val="center"/>
            </w:pPr>
            <w:r>
              <w:t>77.7</w:t>
            </w:r>
          </w:p>
        </w:tc>
        <w:tc>
          <w:tcPr>
            <w:tcW w:w="1195" w:type="dxa"/>
            <w:tcBorders>
              <w:bottom w:val="single" w:sz="4" w:space="0" w:color="auto"/>
            </w:tcBorders>
            <w:shd w:val="clear" w:color="auto" w:fill="FDE9D9" w:themeFill="accent6" w:themeFillTint="33"/>
          </w:tcPr>
          <w:p w:rsidR="00823F92" w:rsidRDefault="00823F92" w:rsidP="005A3BDD">
            <w:pPr>
              <w:ind w:right="-102"/>
              <w:jc w:val="center"/>
            </w:pPr>
            <w:r>
              <w:t>22.3</w:t>
            </w:r>
          </w:p>
        </w:tc>
        <w:tc>
          <w:tcPr>
            <w:tcW w:w="1195" w:type="dxa"/>
            <w:tcBorders>
              <w:bottom w:val="single" w:sz="4" w:space="0" w:color="auto"/>
            </w:tcBorders>
            <w:shd w:val="clear" w:color="auto" w:fill="FDE9D9" w:themeFill="accent6" w:themeFillTint="33"/>
          </w:tcPr>
          <w:p w:rsidR="00823F92" w:rsidRDefault="00823F92" w:rsidP="005A3BDD">
            <w:pPr>
              <w:ind w:right="-102"/>
              <w:jc w:val="center"/>
            </w:pPr>
            <w:r>
              <w:t>44.2</w:t>
            </w:r>
          </w:p>
        </w:tc>
        <w:tc>
          <w:tcPr>
            <w:tcW w:w="1195" w:type="dxa"/>
            <w:tcBorders>
              <w:bottom w:val="single" w:sz="4" w:space="0" w:color="auto"/>
            </w:tcBorders>
            <w:shd w:val="clear" w:color="auto" w:fill="FDE9D9" w:themeFill="accent6" w:themeFillTint="33"/>
          </w:tcPr>
          <w:p w:rsidR="00823F92" w:rsidRDefault="00823F92" w:rsidP="005A3BDD">
            <w:pPr>
              <w:ind w:right="-102"/>
              <w:jc w:val="center"/>
            </w:pPr>
            <w:r>
              <w:t>55.8</w:t>
            </w:r>
          </w:p>
        </w:tc>
      </w:tr>
      <w:tr w:rsidR="00823F92" w:rsidTr="00823F92">
        <w:trPr>
          <w:jc w:val="center"/>
        </w:trPr>
        <w:tc>
          <w:tcPr>
            <w:tcW w:w="2373" w:type="dxa"/>
            <w:vMerge/>
          </w:tcPr>
          <w:p w:rsidR="00823F92" w:rsidRDefault="00823F92" w:rsidP="005A3BDD">
            <w:pPr>
              <w:ind w:right="-104"/>
              <w:jc w:val="both"/>
            </w:pPr>
          </w:p>
        </w:tc>
        <w:tc>
          <w:tcPr>
            <w:tcW w:w="1024" w:type="dxa"/>
            <w:shd w:val="clear" w:color="auto" w:fill="E5DFEC" w:themeFill="accent4" w:themeFillTint="33"/>
          </w:tcPr>
          <w:p w:rsidR="00823F92" w:rsidRDefault="00823F92" w:rsidP="005A3BDD">
            <w:pPr>
              <w:ind w:right="-102"/>
              <w:jc w:val="center"/>
            </w:pPr>
            <w:r>
              <w:t>1 ton</w:t>
            </w:r>
          </w:p>
        </w:tc>
        <w:tc>
          <w:tcPr>
            <w:tcW w:w="1195" w:type="dxa"/>
            <w:shd w:val="clear" w:color="auto" w:fill="E5DFEC" w:themeFill="accent4" w:themeFillTint="33"/>
          </w:tcPr>
          <w:p w:rsidR="00823F92" w:rsidRDefault="00823F92" w:rsidP="005A3BDD">
            <w:pPr>
              <w:ind w:right="-102"/>
              <w:jc w:val="center"/>
            </w:pPr>
          </w:p>
        </w:tc>
        <w:tc>
          <w:tcPr>
            <w:tcW w:w="1195" w:type="dxa"/>
            <w:shd w:val="clear" w:color="auto" w:fill="E5DFEC" w:themeFill="accent4" w:themeFillTint="33"/>
            <w:vAlign w:val="center"/>
          </w:tcPr>
          <w:p w:rsidR="00823F92" w:rsidRDefault="00823F92" w:rsidP="005A3BDD">
            <w:pPr>
              <w:ind w:right="-102"/>
              <w:jc w:val="center"/>
            </w:pPr>
          </w:p>
        </w:tc>
        <w:tc>
          <w:tcPr>
            <w:tcW w:w="1195" w:type="dxa"/>
            <w:shd w:val="clear" w:color="auto" w:fill="E5DFEC" w:themeFill="accent4" w:themeFillTint="33"/>
          </w:tcPr>
          <w:p w:rsidR="00823F92" w:rsidRDefault="00823F92" w:rsidP="005A3BDD">
            <w:pPr>
              <w:ind w:right="-102"/>
              <w:jc w:val="center"/>
            </w:pPr>
            <w:r>
              <w:t>79.6</w:t>
            </w:r>
          </w:p>
        </w:tc>
        <w:tc>
          <w:tcPr>
            <w:tcW w:w="1195" w:type="dxa"/>
            <w:shd w:val="clear" w:color="auto" w:fill="E5DFEC" w:themeFill="accent4" w:themeFillTint="33"/>
          </w:tcPr>
          <w:p w:rsidR="00823F92" w:rsidRDefault="00823F92" w:rsidP="005A3BDD">
            <w:pPr>
              <w:ind w:right="-102"/>
              <w:jc w:val="center"/>
            </w:pPr>
            <w:r>
              <w:t>20.4</w:t>
            </w:r>
          </w:p>
        </w:tc>
      </w:tr>
    </w:tbl>
    <w:p w:rsidR="00823F92" w:rsidRDefault="00FE7AEE" w:rsidP="00823F92">
      <w:pPr>
        <w:pStyle w:val="SingleTxtG"/>
        <w:spacing w:before="120"/>
      </w:pPr>
      <w:r>
        <w:t>12</w:t>
      </w:r>
      <w:r w:rsidR="00823F92">
        <w:t>.</w:t>
      </w:r>
      <w:r w:rsidR="00823F92">
        <w:tab/>
      </w:r>
      <w:r w:rsidR="00823F92" w:rsidRPr="002B3E88">
        <w:t>The self-heating test performed on the lowest antioxidant concentration in the 50</w:t>
      </w:r>
      <w:r w:rsidR="00387109">
        <w:t xml:space="preserve"> </w:t>
      </w:r>
      <w:bookmarkStart w:id="0" w:name="_GoBack"/>
      <w:bookmarkEnd w:id="0"/>
      <w:r w:rsidR="00823F92" w:rsidRPr="002B3E88">
        <w:t>kg (i.e. 300 ppm EQ, 2,000 ppm BHT and 2,000 ppm Natural blend) bags at 6 months were all negative which indicated that none of the treatments had self-heating properties after</w:t>
      </w:r>
      <w:r w:rsidR="004D54A2">
        <w:t xml:space="preserve"> 6 </w:t>
      </w:r>
      <w:r w:rsidR="00823F92" w:rsidRPr="002B3E88">
        <w:t>months of storage. The 12-month self-heating test results on all the samples were not available at the time of writing this document (</w:t>
      </w:r>
      <w:r w:rsidR="00823F92">
        <w:t>6</w:t>
      </w:r>
      <w:r w:rsidR="00823F92" w:rsidRPr="002B3E88">
        <w:t xml:space="preserve"> Sept 2016)</w:t>
      </w:r>
      <w:r w:rsidR="00823F92">
        <w:rPr>
          <w:rStyle w:val="FootnoteReference"/>
        </w:rPr>
        <w:footnoteReference w:id="3"/>
      </w:r>
      <w:r w:rsidR="00823F92" w:rsidRPr="002B3E88">
        <w:t xml:space="preserve">. The low ethoxyquin dosage of 300 ppm passed </w:t>
      </w:r>
      <w:r w:rsidR="00823F92">
        <w:t xml:space="preserve">at 6 months </w:t>
      </w:r>
      <w:r w:rsidR="00823F92" w:rsidRPr="002B3E88">
        <w:t xml:space="preserve">which indicates that lower dosage levels of ethoxyquin would effectively stabilise fishmeal. </w:t>
      </w:r>
      <w:r w:rsidR="00823F92">
        <w:t>T</w:t>
      </w:r>
      <w:r w:rsidR="00823F92" w:rsidRPr="002B3E88">
        <w:t xml:space="preserve">he current ethoxyquin application levels prescribed in the IMDG code SP 945 is 400 to 1000 mg/kg (ppm) ethoxyquin.  </w:t>
      </w:r>
    </w:p>
    <w:p w:rsidR="00823F92" w:rsidRDefault="00FE7AEE" w:rsidP="00823F92">
      <w:pPr>
        <w:pStyle w:val="SingleTxtG"/>
      </w:pPr>
      <w:r>
        <w:t>13</w:t>
      </w:r>
      <w:r w:rsidR="00823F92">
        <w:t>.</w:t>
      </w:r>
      <w:r w:rsidR="00823F92">
        <w:tab/>
      </w:r>
      <w:r w:rsidR="00823F92" w:rsidRPr="002B3E88">
        <w:t>The Oxygen Bomb Test is used to predict stability and evaluate antioxidant systems in</w:t>
      </w:r>
      <w:r w:rsidR="004D54A2">
        <w:t xml:space="preserve"> fats and finished products. </w:t>
      </w:r>
      <w:r w:rsidR="00823F92" w:rsidRPr="002B3E88">
        <w:t>The oxygen uptake of the sample is measured in a closed system. The rate at which oxygen is consumed indicates the oxidative stability of the tested product and measures the stability of the complete product without prior extraction of the fat. A short induction period (in hours) indicate quicker uptake of oxygen and a less stable product whereas a longer uptake period for oxygen indicates a more stable product. The Oxygen Bomb test has shown to correlate well with shelf life and the Schaal Oven accelerated test</w:t>
      </w:r>
      <w:r w:rsidR="00823F92">
        <w:rPr>
          <w:rStyle w:val="FootnoteReference"/>
        </w:rPr>
        <w:footnoteReference w:id="4"/>
      </w:r>
      <w:r w:rsidR="00823F92" w:rsidRPr="002B3E88">
        <w:t xml:space="preserve">. </w:t>
      </w:r>
    </w:p>
    <w:p w:rsidR="00823F92" w:rsidRDefault="00FE7AEE" w:rsidP="00823F92">
      <w:pPr>
        <w:pStyle w:val="SingleTxtG"/>
      </w:pPr>
      <w:r>
        <w:t>14</w:t>
      </w:r>
      <w:r w:rsidR="00823F92">
        <w:t>.</w:t>
      </w:r>
      <w:r w:rsidR="00823F92">
        <w:tab/>
      </w:r>
      <w:r w:rsidR="00823F92" w:rsidRPr="002B3E88">
        <w:t xml:space="preserve">Ethoxyquin (even at a low dosage level of 300 ppm) has shown to be the most effective antioxidant with the longest induction period of 9.5 hrs. [Here we can clearly see the </w:t>
      </w:r>
      <w:r w:rsidR="00823F92">
        <w:t xml:space="preserve">low level </w:t>
      </w:r>
      <w:r w:rsidR="00823F92" w:rsidRPr="002B3E88">
        <w:t xml:space="preserve">of antioxidant in the 600 ppm ethoxyquin treatment although the one ton 600 ppm sample had a similar induction time (2.7 hrs) to the 2,000 ppm and 4,000 ppm BHT treated samples (2.4; 2.6; and 2.8; 2.9 hrs respectively). The difference between the two 600 ppm ethoxyquin treatments (1.2 hrs and 2.7 hrs) could be due to uneven distribution of the </w:t>
      </w:r>
      <w:r w:rsidR="00823F92" w:rsidRPr="002B3E88">
        <w:lastRenderedPageBreak/>
        <w:t>antioxidant in the fishmeal</w:t>
      </w:r>
      <w:r w:rsidR="00823F92">
        <w:t xml:space="preserve"> or the slightly higher antioxidant content in the 1 ton bag of 50ppm compared to 30 ppm in the 50kg bag</w:t>
      </w:r>
      <w:r w:rsidR="00823F92" w:rsidRPr="002B3E88">
        <w:t>.]</w:t>
      </w:r>
      <w:r w:rsidR="001A1894">
        <w:t xml:space="preserve"> </w:t>
      </w:r>
      <w:r w:rsidR="00823F92" w:rsidRPr="002B3E88">
        <w:t xml:space="preserve">Surprisingly, the natural antioxidant blend seemed to have performed slightly better than BHT. </w:t>
      </w:r>
    </w:p>
    <w:p w:rsidR="004D54A2" w:rsidRDefault="00FE7AEE" w:rsidP="004D54A2">
      <w:pPr>
        <w:pStyle w:val="SingleTxtG"/>
      </w:pPr>
      <w:r>
        <w:t>15</w:t>
      </w:r>
      <w:r w:rsidR="001A1894">
        <w:t>.</w:t>
      </w:r>
      <w:r w:rsidR="001A1894">
        <w:tab/>
      </w:r>
      <w:r w:rsidR="004D54A2" w:rsidRPr="002B3E88">
        <w:t xml:space="preserve">Heat is generated when there is rapid and </w:t>
      </w:r>
      <w:r w:rsidR="004D54A2">
        <w:t>significant</w:t>
      </w:r>
      <w:r w:rsidR="004D54A2" w:rsidRPr="002B3E88">
        <w:t xml:space="preserve"> oxidation of fishmeal </w:t>
      </w:r>
      <w:r w:rsidR="004D54A2">
        <w:t>due to</w:t>
      </w:r>
      <w:r w:rsidR="004D54A2" w:rsidRPr="002B3E88">
        <w:t xml:space="preserve"> the exothermic reaction of oxygen with the highly polyunsaturated fatty acids (in particular eicosapentaenoic, EPA and docosahexaenoic acids, DHA) which result in the spontaneous combustion of fishmeal. </w:t>
      </w:r>
      <w:r w:rsidR="004D54A2">
        <w:t xml:space="preserve"> </w:t>
      </w:r>
      <w:r w:rsidR="004D54A2" w:rsidRPr="002B3E88">
        <w:t>In order for spontaneous combustion to occur there must be extensive oxidation of the fishmeal since without oxidation or with a low oxidation rate</w:t>
      </w:r>
      <w:r w:rsidR="004D54A2">
        <w:t>,</w:t>
      </w:r>
      <w:r w:rsidR="004D54A2" w:rsidRPr="002B3E88">
        <w:t xml:space="preserve"> fishmeal will not heat up sufficient</w:t>
      </w:r>
      <w:r w:rsidR="004D54A2">
        <w:t>ly to combust. Antioxidants act</w:t>
      </w:r>
      <w:r w:rsidR="004D54A2" w:rsidRPr="002B3E88">
        <w:t xml:space="preserve"> by slowing down the rate of oxidation </w:t>
      </w:r>
      <w:r w:rsidR="004D54A2">
        <w:t>by reacting</w:t>
      </w:r>
      <w:r w:rsidR="004D54A2" w:rsidRPr="002B3E88">
        <w:t xml:space="preserve"> with the free radicals, which are formed after reaction with oxygen, thereby stopping the oxidation chain reaction. </w:t>
      </w:r>
    </w:p>
    <w:p w:rsidR="004D54A2" w:rsidRDefault="00FE7AEE" w:rsidP="004D54A2">
      <w:pPr>
        <w:pStyle w:val="SingleTxtG"/>
      </w:pPr>
      <w:r>
        <w:t>16</w:t>
      </w:r>
      <w:r w:rsidR="001A1894">
        <w:t>.</w:t>
      </w:r>
      <w:r w:rsidR="001A1894">
        <w:tab/>
      </w:r>
      <w:r w:rsidR="004D54A2" w:rsidRPr="002B3E88">
        <w:t xml:space="preserve">Analyses that indicate the oxidative status of fishmeal therefore provides important information on the potential for combustion of fishmeal. </w:t>
      </w:r>
      <w:r w:rsidR="004D54A2">
        <w:t xml:space="preserve"> </w:t>
      </w:r>
      <w:r w:rsidR="004D54A2" w:rsidRPr="002B3E88">
        <w:t xml:space="preserve">Spontaneous combustion will not occur </w:t>
      </w:r>
      <w:r w:rsidR="004D54A2">
        <w:t>if oxidation level of the oil is low</w:t>
      </w:r>
      <w:r w:rsidR="004D54A2" w:rsidRPr="002B3E88">
        <w:t xml:space="preserve">. </w:t>
      </w:r>
      <w:r w:rsidR="004D54A2">
        <w:t xml:space="preserve"> </w:t>
      </w:r>
      <w:r w:rsidR="004D54A2" w:rsidRPr="002B3E88">
        <w:t>A useful measure of the oxidation of fishmeal is t</w:t>
      </w:r>
      <w:r w:rsidR="004D54A2">
        <w:t>o</w:t>
      </w:r>
      <w:r w:rsidR="004D54A2" w:rsidRPr="002B3E88">
        <w:t xml:space="preserve"> determin</w:t>
      </w:r>
      <w:r w:rsidR="004D54A2">
        <w:t>e</w:t>
      </w:r>
      <w:r w:rsidR="004D54A2" w:rsidRPr="002B3E88">
        <w:t xml:space="preserve"> the decrease in polyunsaturated fatty acids during storage</w:t>
      </w:r>
      <w:r w:rsidR="004D54A2">
        <w:rPr>
          <w:rStyle w:val="FootnoteReference"/>
        </w:rPr>
        <w:footnoteReference w:id="5"/>
      </w:r>
      <w:r w:rsidR="004D54A2" w:rsidRPr="002B3E88">
        <w:t xml:space="preserve">. </w:t>
      </w:r>
      <w:r w:rsidR="004D54A2">
        <w:t xml:space="preserve"> A comparison of </w:t>
      </w:r>
      <w:r w:rsidR="004D54A2" w:rsidRPr="002B3E88">
        <w:t>the omeg</w:t>
      </w:r>
      <w:r w:rsidR="004D54A2">
        <w:t xml:space="preserve">a-3 polyunsaturated fatty acid contents for </w:t>
      </w:r>
      <w:r w:rsidR="004D54A2" w:rsidRPr="002B3E88">
        <w:t>the different antioxidant treatments during storage can be seen in Figure 1</w:t>
      </w:r>
      <w:r w:rsidR="004D54A2">
        <w:t xml:space="preserve"> along with the omega-3 fatty acid values and % decrease in Table 4</w:t>
      </w:r>
      <w:r w:rsidR="004D54A2" w:rsidRPr="002B3E88">
        <w:t xml:space="preserve">. </w:t>
      </w:r>
    </w:p>
    <w:p w:rsidR="00D55943" w:rsidRPr="00D55943" w:rsidRDefault="00D55943" w:rsidP="00D55943">
      <w:pPr>
        <w:ind w:left="1134" w:right="1134"/>
        <w:jc w:val="center"/>
        <w:rPr>
          <w:b/>
        </w:rPr>
      </w:pPr>
      <w:r w:rsidRPr="00D55943">
        <w:rPr>
          <w:b/>
        </w:rPr>
        <w:t>Figure 1:</w:t>
      </w:r>
      <w:r w:rsidR="002C495A">
        <w:rPr>
          <w:b/>
        </w:rPr>
        <w:t xml:space="preserve"> </w:t>
      </w:r>
      <w:r w:rsidRPr="00D55943">
        <w:rPr>
          <w:b/>
        </w:rPr>
        <w:t>Change in Omega-3 content of all the antioxidant treatments during 12</w:t>
      </w:r>
      <w:r>
        <w:rPr>
          <w:b/>
        </w:rPr>
        <w:t> </w:t>
      </w:r>
      <w:r w:rsidRPr="00D55943">
        <w:rPr>
          <w:b/>
        </w:rPr>
        <w:t>storage period</w:t>
      </w:r>
    </w:p>
    <w:p w:rsidR="005B1970" w:rsidRDefault="001A1894" w:rsidP="004D54A2">
      <w:pPr>
        <w:pStyle w:val="SingleTxtG"/>
      </w:pPr>
      <w:r>
        <w:rPr>
          <w:noProof/>
          <w:lang w:eastAsia="en-GB"/>
        </w:rPr>
        <w:drawing>
          <wp:inline distT="0" distB="0" distL="0" distR="0" wp14:anchorId="5D39942F" wp14:editId="04F6A4CC">
            <wp:extent cx="5130800" cy="3092227"/>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132177" cy="3093057"/>
                    </a:xfrm>
                    <a:prstGeom prst="rect">
                      <a:avLst/>
                    </a:prstGeom>
                    <a:noFill/>
                  </pic:spPr>
                </pic:pic>
              </a:graphicData>
            </a:graphic>
          </wp:inline>
        </w:drawing>
      </w:r>
    </w:p>
    <w:p w:rsidR="00823F92" w:rsidRDefault="00823F92" w:rsidP="004D54A2">
      <w:pPr>
        <w:pStyle w:val="SingleTxtG"/>
      </w:pPr>
    </w:p>
    <w:p w:rsidR="00823F92" w:rsidRDefault="00823F92" w:rsidP="004D54A2">
      <w:pPr>
        <w:pStyle w:val="SingleTxtG"/>
      </w:pPr>
    </w:p>
    <w:p w:rsidR="00823F92" w:rsidRDefault="00823F92" w:rsidP="00823F92">
      <w:pPr>
        <w:pStyle w:val="SingleTxtG"/>
      </w:pPr>
    </w:p>
    <w:p w:rsidR="00823F92" w:rsidRDefault="00823F92" w:rsidP="00823F92">
      <w:pPr>
        <w:pStyle w:val="SingleTxtG"/>
      </w:pPr>
    </w:p>
    <w:p w:rsidR="00823F92" w:rsidRDefault="00823F92" w:rsidP="00823F92">
      <w:pPr>
        <w:pStyle w:val="SingleTxtG"/>
      </w:pPr>
    </w:p>
    <w:p w:rsidR="002C495A" w:rsidRPr="002C495A" w:rsidRDefault="002C495A" w:rsidP="002C495A">
      <w:pPr>
        <w:pStyle w:val="SingleTxtG"/>
        <w:jc w:val="center"/>
        <w:rPr>
          <w:b/>
        </w:rPr>
      </w:pPr>
      <w:r w:rsidRPr="002C495A">
        <w:rPr>
          <w:b/>
        </w:rPr>
        <w:lastRenderedPageBreak/>
        <w:t>Table 4: The omega-3 fatty acid values and decrease during 12-month storage period</w:t>
      </w:r>
    </w:p>
    <w:tbl>
      <w:tblPr>
        <w:tblStyle w:val="TableGrid"/>
        <w:tblW w:w="0" w:type="auto"/>
        <w:jc w:val="center"/>
        <w:tblLook w:val="04A0" w:firstRow="1" w:lastRow="0" w:firstColumn="1" w:lastColumn="0" w:noHBand="0" w:noVBand="1"/>
      </w:tblPr>
      <w:tblGrid>
        <w:gridCol w:w="2551"/>
        <w:gridCol w:w="1134"/>
        <w:gridCol w:w="1114"/>
        <w:gridCol w:w="1195"/>
        <w:gridCol w:w="1195"/>
      </w:tblGrid>
      <w:tr w:rsidR="002C495A" w:rsidRPr="00B126A0" w:rsidTr="005A3BDD">
        <w:trPr>
          <w:jc w:val="center"/>
        </w:trPr>
        <w:tc>
          <w:tcPr>
            <w:tcW w:w="2551" w:type="dxa"/>
            <w:vMerge w:val="restart"/>
            <w:shd w:val="clear" w:color="auto" w:fill="F2F2F2" w:themeFill="background1" w:themeFillShade="F2"/>
            <w:vAlign w:val="center"/>
          </w:tcPr>
          <w:p w:rsidR="002C495A" w:rsidRPr="00B126A0" w:rsidRDefault="002C495A" w:rsidP="005A3BDD">
            <w:pPr>
              <w:ind w:right="1134"/>
              <w:jc w:val="both"/>
              <w:rPr>
                <w:b/>
              </w:rPr>
            </w:pPr>
            <w:r w:rsidRPr="00B126A0">
              <w:rPr>
                <w:b/>
              </w:rPr>
              <w:t>Antioxidant treatment</w:t>
            </w:r>
          </w:p>
        </w:tc>
        <w:tc>
          <w:tcPr>
            <w:tcW w:w="1134" w:type="dxa"/>
            <w:vMerge w:val="restart"/>
            <w:shd w:val="clear" w:color="auto" w:fill="F2F2F2" w:themeFill="background1" w:themeFillShade="F2"/>
            <w:vAlign w:val="center"/>
          </w:tcPr>
          <w:p w:rsidR="002C495A" w:rsidRDefault="002C495A" w:rsidP="005A3BDD">
            <w:pPr>
              <w:ind w:right="-102"/>
              <w:jc w:val="center"/>
              <w:rPr>
                <w:b/>
              </w:rPr>
            </w:pPr>
            <w:r>
              <w:rPr>
                <w:b/>
              </w:rPr>
              <w:t>Storage bag size</w:t>
            </w:r>
          </w:p>
        </w:tc>
        <w:tc>
          <w:tcPr>
            <w:tcW w:w="1114" w:type="dxa"/>
            <w:shd w:val="clear" w:color="auto" w:fill="F2F2F2" w:themeFill="background1" w:themeFillShade="F2"/>
            <w:vAlign w:val="center"/>
          </w:tcPr>
          <w:p w:rsidR="002C495A" w:rsidRDefault="002C495A" w:rsidP="005A3BDD">
            <w:pPr>
              <w:ind w:right="-102"/>
              <w:jc w:val="center"/>
              <w:rPr>
                <w:b/>
              </w:rPr>
            </w:pPr>
            <w:r>
              <w:rPr>
                <w:b/>
              </w:rPr>
              <w:t>Day 0</w:t>
            </w:r>
          </w:p>
        </w:tc>
        <w:tc>
          <w:tcPr>
            <w:tcW w:w="2390" w:type="dxa"/>
            <w:gridSpan w:val="2"/>
            <w:shd w:val="clear" w:color="auto" w:fill="F2F2F2" w:themeFill="background1" w:themeFillShade="F2"/>
            <w:vAlign w:val="center"/>
          </w:tcPr>
          <w:p w:rsidR="002C495A" w:rsidRPr="00B126A0" w:rsidRDefault="002C495A" w:rsidP="005A3BDD">
            <w:pPr>
              <w:ind w:right="-102"/>
              <w:jc w:val="center"/>
              <w:rPr>
                <w:b/>
              </w:rPr>
            </w:pPr>
            <w:r>
              <w:rPr>
                <w:b/>
              </w:rPr>
              <w:t>12 months</w:t>
            </w:r>
          </w:p>
        </w:tc>
      </w:tr>
      <w:tr w:rsidR="002C495A" w:rsidRPr="00B126A0" w:rsidTr="005A3BDD">
        <w:trPr>
          <w:jc w:val="center"/>
        </w:trPr>
        <w:tc>
          <w:tcPr>
            <w:tcW w:w="2551" w:type="dxa"/>
            <w:vMerge/>
            <w:shd w:val="clear" w:color="auto" w:fill="F2F2F2" w:themeFill="background1" w:themeFillShade="F2"/>
            <w:vAlign w:val="center"/>
          </w:tcPr>
          <w:p w:rsidR="002C495A" w:rsidRPr="00B126A0" w:rsidRDefault="002C495A" w:rsidP="005A3BDD">
            <w:pPr>
              <w:ind w:right="1134"/>
              <w:jc w:val="both"/>
              <w:rPr>
                <w:b/>
              </w:rPr>
            </w:pPr>
          </w:p>
        </w:tc>
        <w:tc>
          <w:tcPr>
            <w:tcW w:w="1134" w:type="dxa"/>
            <w:vMerge/>
            <w:tcBorders>
              <w:bottom w:val="single" w:sz="4" w:space="0" w:color="auto"/>
            </w:tcBorders>
            <w:shd w:val="clear" w:color="auto" w:fill="F2F2F2" w:themeFill="background1" w:themeFillShade="F2"/>
            <w:vAlign w:val="center"/>
          </w:tcPr>
          <w:p w:rsidR="002C495A" w:rsidRPr="00B126A0" w:rsidRDefault="002C495A" w:rsidP="005A3BDD">
            <w:pPr>
              <w:ind w:right="-102"/>
              <w:jc w:val="center"/>
              <w:rPr>
                <w:b/>
              </w:rPr>
            </w:pPr>
          </w:p>
        </w:tc>
        <w:tc>
          <w:tcPr>
            <w:tcW w:w="1114" w:type="dxa"/>
            <w:tcBorders>
              <w:bottom w:val="single" w:sz="4" w:space="0" w:color="auto"/>
            </w:tcBorders>
            <w:shd w:val="clear" w:color="auto" w:fill="F2F2F2" w:themeFill="background1" w:themeFillShade="F2"/>
            <w:vAlign w:val="center"/>
          </w:tcPr>
          <w:p w:rsidR="002C495A" w:rsidRPr="00B126A0" w:rsidRDefault="002C495A" w:rsidP="005A3BDD">
            <w:pPr>
              <w:ind w:right="-102"/>
              <w:jc w:val="center"/>
              <w:rPr>
                <w:b/>
              </w:rPr>
            </w:pPr>
            <w:r>
              <w:rPr>
                <w:b/>
              </w:rPr>
              <w:t>Omega-3 content (g/100g fatty acids)</w:t>
            </w:r>
          </w:p>
        </w:tc>
        <w:tc>
          <w:tcPr>
            <w:tcW w:w="1195" w:type="dxa"/>
            <w:tcBorders>
              <w:bottom w:val="single" w:sz="4" w:space="0" w:color="auto"/>
            </w:tcBorders>
            <w:shd w:val="clear" w:color="auto" w:fill="F2F2F2" w:themeFill="background1" w:themeFillShade="F2"/>
            <w:vAlign w:val="center"/>
          </w:tcPr>
          <w:p w:rsidR="002C495A" w:rsidRPr="00B126A0" w:rsidRDefault="002C495A" w:rsidP="005A3BDD">
            <w:pPr>
              <w:ind w:right="-102"/>
              <w:jc w:val="center"/>
              <w:rPr>
                <w:b/>
              </w:rPr>
            </w:pPr>
            <w:r w:rsidRPr="00B126A0">
              <w:rPr>
                <w:b/>
              </w:rPr>
              <w:t xml:space="preserve">Residual </w:t>
            </w:r>
            <w:r>
              <w:rPr>
                <w:b/>
              </w:rPr>
              <w:t xml:space="preserve">omega-3 </w:t>
            </w:r>
            <w:r w:rsidRPr="00B126A0">
              <w:rPr>
                <w:b/>
              </w:rPr>
              <w:t xml:space="preserve">content </w:t>
            </w:r>
            <w:r>
              <w:rPr>
                <w:b/>
              </w:rPr>
              <w:t>(g/100g fatty acids)</w:t>
            </w:r>
          </w:p>
        </w:tc>
        <w:tc>
          <w:tcPr>
            <w:tcW w:w="1195" w:type="dxa"/>
            <w:tcBorders>
              <w:bottom w:val="single" w:sz="4" w:space="0" w:color="auto"/>
            </w:tcBorders>
            <w:shd w:val="clear" w:color="auto" w:fill="F2F2F2" w:themeFill="background1" w:themeFillShade="F2"/>
            <w:vAlign w:val="center"/>
          </w:tcPr>
          <w:p w:rsidR="002C495A" w:rsidRPr="00B126A0" w:rsidRDefault="002C495A" w:rsidP="005A3BDD">
            <w:pPr>
              <w:ind w:right="-102"/>
              <w:jc w:val="center"/>
              <w:rPr>
                <w:b/>
              </w:rPr>
            </w:pPr>
            <w:r w:rsidRPr="00B126A0">
              <w:rPr>
                <w:b/>
              </w:rPr>
              <w:t xml:space="preserve">Decrease in </w:t>
            </w:r>
            <w:r>
              <w:rPr>
                <w:b/>
              </w:rPr>
              <w:t>omega-3</w:t>
            </w:r>
            <w:r w:rsidRPr="00B126A0">
              <w:rPr>
                <w:b/>
              </w:rPr>
              <w:t xml:space="preserve"> content (%)</w:t>
            </w:r>
          </w:p>
        </w:tc>
      </w:tr>
      <w:tr w:rsidR="002C495A" w:rsidTr="005A3BDD">
        <w:trPr>
          <w:jc w:val="center"/>
        </w:trPr>
        <w:tc>
          <w:tcPr>
            <w:tcW w:w="2551" w:type="dxa"/>
            <w:vMerge w:val="restart"/>
            <w:vAlign w:val="center"/>
          </w:tcPr>
          <w:p w:rsidR="002C495A" w:rsidRDefault="002C495A" w:rsidP="005A3BDD">
            <w:pPr>
              <w:ind w:right="-104"/>
              <w:jc w:val="both"/>
            </w:pPr>
            <w:r>
              <w:t xml:space="preserve">Ethoxyquin: 300 ppm </w:t>
            </w:r>
          </w:p>
        </w:tc>
        <w:tc>
          <w:tcPr>
            <w:tcW w:w="1134" w:type="dxa"/>
            <w:tcBorders>
              <w:bottom w:val="single" w:sz="4" w:space="0" w:color="auto"/>
            </w:tcBorders>
            <w:shd w:val="clear" w:color="auto" w:fill="FDE9D9" w:themeFill="accent6" w:themeFillTint="33"/>
          </w:tcPr>
          <w:p w:rsidR="002C495A" w:rsidRDefault="002C495A" w:rsidP="005A3BDD">
            <w:pPr>
              <w:ind w:right="-102"/>
              <w:jc w:val="center"/>
            </w:pPr>
            <w:r>
              <w:t xml:space="preserve">50 kg </w:t>
            </w:r>
          </w:p>
        </w:tc>
        <w:tc>
          <w:tcPr>
            <w:tcW w:w="1114" w:type="dxa"/>
            <w:tcBorders>
              <w:bottom w:val="single" w:sz="4" w:space="0" w:color="auto"/>
            </w:tcBorders>
            <w:shd w:val="clear" w:color="auto" w:fill="FDE9D9" w:themeFill="accent6" w:themeFillTint="33"/>
            <w:vAlign w:val="center"/>
          </w:tcPr>
          <w:p w:rsidR="002C495A" w:rsidRDefault="002C495A" w:rsidP="005A3BDD">
            <w:pPr>
              <w:ind w:right="-102"/>
              <w:jc w:val="center"/>
            </w:pPr>
            <w:r>
              <w:t>36.1</w:t>
            </w:r>
          </w:p>
        </w:tc>
        <w:tc>
          <w:tcPr>
            <w:tcW w:w="1195" w:type="dxa"/>
            <w:tcBorders>
              <w:bottom w:val="single" w:sz="4" w:space="0" w:color="auto"/>
            </w:tcBorders>
            <w:shd w:val="clear" w:color="auto" w:fill="FDE9D9" w:themeFill="accent6" w:themeFillTint="33"/>
          </w:tcPr>
          <w:p w:rsidR="002C495A" w:rsidRDefault="002C495A" w:rsidP="005A3BDD">
            <w:pPr>
              <w:ind w:right="-102"/>
              <w:jc w:val="center"/>
            </w:pPr>
            <w:r>
              <w:t>35.9</w:t>
            </w:r>
          </w:p>
        </w:tc>
        <w:tc>
          <w:tcPr>
            <w:tcW w:w="1195" w:type="dxa"/>
            <w:tcBorders>
              <w:bottom w:val="single" w:sz="4" w:space="0" w:color="auto"/>
            </w:tcBorders>
            <w:shd w:val="clear" w:color="auto" w:fill="FDE9D9" w:themeFill="accent6" w:themeFillTint="33"/>
          </w:tcPr>
          <w:p w:rsidR="002C495A" w:rsidRDefault="002C495A" w:rsidP="005A3BDD">
            <w:pPr>
              <w:ind w:right="-102"/>
              <w:jc w:val="center"/>
            </w:pPr>
            <w:r>
              <w:t>0.6</w:t>
            </w:r>
          </w:p>
        </w:tc>
      </w:tr>
      <w:tr w:rsidR="002C495A" w:rsidTr="005A3BDD">
        <w:trPr>
          <w:jc w:val="center"/>
        </w:trPr>
        <w:tc>
          <w:tcPr>
            <w:tcW w:w="2551" w:type="dxa"/>
            <w:vMerge/>
            <w:vAlign w:val="center"/>
          </w:tcPr>
          <w:p w:rsidR="002C495A" w:rsidRDefault="002C495A" w:rsidP="005A3BDD">
            <w:pPr>
              <w:ind w:right="-104"/>
              <w:jc w:val="both"/>
            </w:pPr>
          </w:p>
        </w:tc>
        <w:tc>
          <w:tcPr>
            <w:tcW w:w="1134" w:type="dxa"/>
            <w:tcBorders>
              <w:bottom w:val="single" w:sz="4" w:space="0" w:color="auto"/>
            </w:tcBorders>
            <w:shd w:val="clear" w:color="auto" w:fill="E5DFEC" w:themeFill="accent4" w:themeFillTint="33"/>
          </w:tcPr>
          <w:p w:rsidR="002C495A" w:rsidRDefault="002C495A" w:rsidP="005A3BDD">
            <w:pPr>
              <w:ind w:right="-102"/>
              <w:jc w:val="center"/>
            </w:pPr>
            <w:r>
              <w:t xml:space="preserve">1 ton </w:t>
            </w:r>
          </w:p>
        </w:tc>
        <w:tc>
          <w:tcPr>
            <w:tcW w:w="1114" w:type="dxa"/>
            <w:tcBorders>
              <w:bottom w:val="single" w:sz="4" w:space="0" w:color="auto"/>
            </w:tcBorders>
            <w:shd w:val="clear" w:color="auto" w:fill="E5DFEC" w:themeFill="accent4" w:themeFillTint="33"/>
            <w:vAlign w:val="center"/>
          </w:tcPr>
          <w:p w:rsidR="002C495A" w:rsidRDefault="002C495A" w:rsidP="005A3BDD">
            <w:pPr>
              <w:ind w:right="-102"/>
              <w:jc w:val="center"/>
            </w:pPr>
            <w:r>
              <w:t>35.8</w:t>
            </w:r>
          </w:p>
        </w:tc>
        <w:tc>
          <w:tcPr>
            <w:tcW w:w="1195" w:type="dxa"/>
            <w:tcBorders>
              <w:bottom w:val="single" w:sz="4" w:space="0" w:color="auto"/>
            </w:tcBorders>
            <w:shd w:val="clear" w:color="auto" w:fill="E5DFEC" w:themeFill="accent4" w:themeFillTint="33"/>
          </w:tcPr>
          <w:p w:rsidR="002C495A" w:rsidRDefault="002C495A" w:rsidP="005A3BDD">
            <w:pPr>
              <w:ind w:right="-102"/>
              <w:jc w:val="center"/>
            </w:pPr>
            <w:r>
              <w:t>35.4</w:t>
            </w:r>
          </w:p>
        </w:tc>
        <w:tc>
          <w:tcPr>
            <w:tcW w:w="1195" w:type="dxa"/>
            <w:tcBorders>
              <w:bottom w:val="single" w:sz="4" w:space="0" w:color="auto"/>
            </w:tcBorders>
            <w:shd w:val="clear" w:color="auto" w:fill="E5DFEC" w:themeFill="accent4" w:themeFillTint="33"/>
          </w:tcPr>
          <w:p w:rsidR="002C495A" w:rsidRDefault="002C495A" w:rsidP="005A3BDD">
            <w:pPr>
              <w:ind w:right="-102"/>
              <w:jc w:val="center"/>
            </w:pPr>
            <w:r>
              <w:t>1.1</w:t>
            </w:r>
          </w:p>
        </w:tc>
      </w:tr>
      <w:tr w:rsidR="002C495A" w:rsidTr="005A3BDD">
        <w:trPr>
          <w:jc w:val="center"/>
        </w:trPr>
        <w:tc>
          <w:tcPr>
            <w:tcW w:w="2551" w:type="dxa"/>
            <w:vMerge w:val="restart"/>
            <w:vAlign w:val="center"/>
          </w:tcPr>
          <w:p w:rsidR="002C495A" w:rsidRDefault="002C495A" w:rsidP="005A3BDD">
            <w:pPr>
              <w:ind w:right="-104"/>
              <w:jc w:val="both"/>
            </w:pPr>
            <w:r>
              <w:t xml:space="preserve">Ethoxyquin: </w:t>
            </w:r>
            <w:r w:rsidRPr="008D61D5">
              <w:t xml:space="preserve">30-50 ppm </w:t>
            </w:r>
          </w:p>
        </w:tc>
        <w:tc>
          <w:tcPr>
            <w:tcW w:w="1134" w:type="dxa"/>
            <w:tcBorders>
              <w:bottom w:val="single" w:sz="4" w:space="0" w:color="auto"/>
            </w:tcBorders>
            <w:shd w:val="clear" w:color="auto" w:fill="FDE9D9" w:themeFill="accent6" w:themeFillTint="33"/>
          </w:tcPr>
          <w:p w:rsidR="002C495A" w:rsidRDefault="002C495A" w:rsidP="005A3BDD">
            <w:pPr>
              <w:ind w:right="-102"/>
              <w:jc w:val="center"/>
            </w:pPr>
            <w:r>
              <w:t>50kg 30 ppm EQ</w:t>
            </w:r>
          </w:p>
        </w:tc>
        <w:tc>
          <w:tcPr>
            <w:tcW w:w="1114" w:type="dxa"/>
            <w:tcBorders>
              <w:bottom w:val="single" w:sz="4" w:space="0" w:color="auto"/>
            </w:tcBorders>
            <w:shd w:val="clear" w:color="auto" w:fill="FDE9D9" w:themeFill="accent6" w:themeFillTint="33"/>
            <w:vAlign w:val="center"/>
          </w:tcPr>
          <w:p w:rsidR="002C495A" w:rsidRDefault="002C495A" w:rsidP="005A3BDD">
            <w:pPr>
              <w:ind w:right="-102"/>
              <w:jc w:val="center"/>
            </w:pPr>
            <w:r>
              <w:t>35.3</w:t>
            </w:r>
          </w:p>
        </w:tc>
        <w:tc>
          <w:tcPr>
            <w:tcW w:w="1195" w:type="dxa"/>
            <w:tcBorders>
              <w:bottom w:val="single" w:sz="4" w:space="0" w:color="auto"/>
            </w:tcBorders>
            <w:shd w:val="clear" w:color="auto" w:fill="FDE9D9" w:themeFill="accent6" w:themeFillTint="33"/>
            <w:vAlign w:val="center"/>
          </w:tcPr>
          <w:p w:rsidR="002C495A" w:rsidRDefault="002C495A" w:rsidP="005A3BDD">
            <w:pPr>
              <w:ind w:right="-102"/>
              <w:jc w:val="center"/>
            </w:pPr>
            <w:r>
              <w:t>17.3</w:t>
            </w:r>
          </w:p>
        </w:tc>
        <w:tc>
          <w:tcPr>
            <w:tcW w:w="1195" w:type="dxa"/>
            <w:tcBorders>
              <w:bottom w:val="single" w:sz="4" w:space="0" w:color="auto"/>
            </w:tcBorders>
            <w:shd w:val="clear" w:color="auto" w:fill="FDE9D9" w:themeFill="accent6" w:themeFillTint="33"/>
            <w:vAlign w:val="center"/>
          </w:tcPr>
          <w:p w:rsidR="002C495A" w:rsidRDefault="002C495A" w:rsidP="005A3BDD">
            <w:pPr>
              <w:ind w:right="-102"/>
              <w:jc w:val="center"/>
            </w:pPr>
            <w:r>
              <w:t>51.0</w:t>
            </w:r>
          </w:p>
        </w:tc>
      </w:tr>
      <w:tr w:rsidR="002C495A" w:rsidTr="005A3BDD">
        <w:trPr>
          <w:jc w:val="center"/>
        </w:trPr>
        <w:tc>
          <w:tcPr>
            <w:tcW w:w="2551" w:type="dxa"/>
            <w:vMerge/>
            <w:vAlign w:val="center"/>
          </w:tcPr>
          <w:p w:rsidR="002C495A" w:rsidRDefault="002C495A" w:rsidP="005A3BDD">
            <w:pPr>
              <w:ind w:right="-104"/>
              <w:jc w:val="both"/>
            </w:pPr>
          </w:p>
        </w:tc>
        <w:tc>
          <w:tcPr>
            <w:tcW w:w="1134" w:type="dxa"/>
            <w:tcBorders>
              <w:bottom w:val="single" w:sz="4" w:space="0" w:color="auto"/>
            </w:tcBorders>
            <w:shd w:val="clear" w:color="auto" w:fill="E5DFEC" w:themeFill="accent4" w:themeFillTint="33"/>
          </w:tcPr>
          <w:p w:rsidR="002C495A" w:rsidRDefault="002C495A" w:rsidP="005A3BDD">
            <w:pPr>
              <w:ind w:right="-102"/>
              <w:jc w:val="center"/>
            </w:pPr>
            <w:r>
              <w:t>1 ton 50 ppm EQ</w:t>
            </w:r>
          </w:p>
        </w:tc>
        <w:tc>
          <w:tcPr>
            <w:tcW w:w="1114" w:type="dxa"/>
            <w:tcBorders>
              <w:bottom w:val="single" w:sz="4" w:space="0" w:color="auto"/>
            </w:tcBorders>
            <w:shd w:val="clear" w:color="auto" w:fill="E5DFEC" w:themeFill="accent4" w:themeFillTint="33"/>
            <w:vAlign w:val="center"/>
          </w:tcPr>
          <w:p w:rsidR="002C495A" w:rsidRDefault="002C495A" w:rsidP="005A3BDD">
            <w:pPr>
              <w:ind w:right="-102"/>
              <w:jc w:val="center"/>
            </w:pPr>
            <w:r>
              <w:t>34.8</w:t>
            </w:r>
          </w:p>
        </w:tc>
        <w:tc>
          <w:tcPr>
            <w:tcW w:w="1195" w:type="dxa"/>
            <w:tcBorders>
              <w:bottom w:val="single" w:sz="4" w:space="0" w:color="auto"/>
            </w:tcBorders>
            <w:shd w:val="clear" w:color="auto" w:fill="E5DFEC" w:themeFill="accent4" w:themeFillTint="33"/>
            <w:vAlign w:val="center"/>
          </w:tcPr>
          <w:p w:rsidR="002C495A" w:rsidRDefault="002C495A" w:rsidP="005A3BDD">
            <w:pPr>
              <w:ind w:right="-102"/>
              <w:jc w:val="center"/>
            </w:pPr>
            <w:r>
              <w:t>34.6</w:t>
            </w:r>
          </w:p>
        </w:tc>
        <w:tc>
          <w:tcPr>
            <w:tcW w:w="1195" w:type="dxa"/>
            <w:tcBorders>
              <w:bottom w:val="single" w:sz="4" w:space="0" w:color="auto"/>
            </w:tcBorders>
            <w:shd w:val="clear" w:color="auto" w:fill="E5DFEC" w:themeFill="accent4" w:themeFillTint="33"/>
            <w:vAlign w:val="center"/>
          </w:tcPr>
          <w:p w:rsidR="002C495A" w:rsidRDefault="002C495A" w:rsidP="005A3BDD">
            <w:pPr>
              <w:ind w:right="-102"/>
              <w:jc w:val="center"/>
            </w:pPr>
            <w:r>
              <w:t>0.6</w:t>
            </w:r>
          </w:p>
        </w:tc>
      </w:tr>
      <w:tr w:rsidR="002C495A" w:rsidTr="005A3BDD">
        <w:trPr>
          <w:jc w:val="center"/>
        </w:trPr>
        <w:tc>
          <w:tcPr>
            <w:tcW w:w="2551" w:type="dxa"/>
            <w:vMerge w:val="restart"/>
            <w:vAlign w:val="center"/>
          </w:tcPr>
          <w:p w:rsidR="002C495A" w:rsidRDefault="002C495A" w:rsidP="005A3BDD">
            <w:pPr>
              <w:ind w:right="-104"/>
              <w:jc w:val="both"/>
            </w:pPr>
            <w:r>
              <w:t xml:space="preserve">BHT: 2,000 ppm </w:t>
            </w:r>
          </w:p>
        </w:tc>
        <w:tc>
          <w:tcPr>
            <w:tcW w:w="1134" w:type="dxa"/>
            <w:tcBorders>
              <w:bottom w:val="single" w:sz="4" w:space="0" w:color="auto"/>
            </w:tcBorders>
            <w:shd w:val="clear" w:color="auto" w:fill="FDE9D9" w:themeFill="accent6" w:themeFillTint="33"/>
          </w:tcPr>
          <w:p w:rsidR="002C495A" w:rsidRDefault="002C495A" w:rsidP="005A3BDD">
            <w:pPr>
              <w:ind w:right="-102"/>
              <w:jc w:val="center"/>
            </w:pPr>
            <w:r>
              <w:t>50 kg</w:t>
            </w:r>
          </w:p>
        </w:tc>
        <w:tc>
          <w:tcPr>
            <w:tcW w:w="1114" w:type="dxa"/>
            <w:tcBorders>
              <w:bottom w:val="single" w:sz="4" w:space="0" w:color="auto"/>
            </w:tcBorders>
            <w:shd w:val="clear" w:color="auto" w:fill="FDE9D9" w:themeFill="accent6" w:themeFillTint="33"/>
            <w:vAlign w:val="center"/>
          </w:tcPr>
          <w:p w:rsidR="002C495A" w:rsidRDefault="002C495A" w:rsidP="005A3BDD">
            <w:pPr>
              <w:ind w:right="-102"/>
              <w:jc w:val="center"/>
            </w:pPr>
            <w:r>
              <w:t>35.6</w:t>
            </w:r>
          </w:p>
        </w:tc>
        <w:tc>
          <w:tcPr>
            <w:tcW w:w="1195" w:type="dxa"/>
            <w:tcBorders>
              <w:bottom w:val="single" w:sz="4" w:space="0" w:color="auto"/>
            </w:tcBorders>
            <w:shd w:val="clear" w:color="auto" w:fill="FDE9D9" w:themeFill="accent6" w:themeFillTint="33"/>
          </w:tcPr>
          <w:p w:rsidR="002C495A" w:rsidRDefault="002C495A" w:rsidP="005A3BDD">
            <w:pPr>
              <w:ind w:right="-102"/>
              <w:jc w:val="center"/>
            </w:pPr>
            <w:r>
              <w:t>31.4</w:t>
            </w:r>
          </w:p>
        </w:tc>
        <w:tc>
          <w:tcPr>
            <w:tcW w:w="1195" w:type="dxa"/>
            <w:tcBorders>
              <w:bottom w:val="single" w:sz="4" w:space="0" w:color="auto"/>
            </w:tcBorders>
            <w:shd w:val="clear" w:color="auto" w:fill="FDE9D9" w:themeFill="accent6" w:themeFillTint="33"/>
          </w:tcPr>
          <w:p w:rsidR="002C495A" w:rsidRDefault="002C495A" w:rsidP="005A3BDD">
            <w:pPr>
              <w:ind w:right="-102"/>
              <w:jc w:val="center"/>
            </w:pPr>
            <w:r>
              <w:t>11.8</w:t>
            </w:r>
          </w:p>
        </w:tc>
      </w:tr>
      <w:tr w:rsidR="002C495A" w:rsidTr="005A3BDD">
        <w:trPr>
          <w:jc w:val="center"/>
        </w:trPr>
        <w:tc>
          <w:tcPr>
            <w:tcW w:w="2551" w:type="dxa"/>
            <w:vMerge/>
            <w:vAlign w:val="center"/>
          </w:tcPr>
          <w:p w:rsidR="002C495A" w:rsidRDefault="002C495A" w:rsidP="005A3BDD">
            <w:pPr>
              <w:ind w:right="-104"/>
              <w:jc w:val="both"/>
            </w:pPr>
          </w:p>
        </w:tc>
        <w:tc>
          <w:tcPr>
            <w:tcW w:w="1134" w:type="dxa"/>
            <w:tcBorders>
              <w:bottom w:val="single" w:sz="4" w:space="0" w:color="auto"/>
            </w:tcBorders>
            <w:shd w:val="clear" w:color="auto" w:fill="E5DFEC" w:themeFill="accent4" w:themeFillTint="33"/>
          </w:tcPr>
          <w:p w:rsidR="002C495A" w:rsidRDefault="002C495A" w:rsidP="005A3BDD">
            <w:pPr>
              <w:ind w:right="-102"/>
              <w:jc w:val="center"/>
            </w:pPr>
            <w:r>
              <w:t>1 ton</w:t>
            </w:r>
          </w:p>
        </w:tc>
        <w:tc>
          <w:tcPr>
            <w:tcW w:w="1114" w:type="dxa"/>
            <w:tcBorders>
              <w:bottom w:val="single" w:sz="4" w:space="0" w:color="auto"/>
            </w:tcBorders>
            <w:shd w:val="clear" w:color="auto" w:fill="E5DFEC" w:themeFill="accent4" w:themeFillTint="33"/>
            <w:vAlign w:val="center"/>
          </w:tcPr>
          <w:p w:rsidR="002C495A" w:rsidRDefault="002C495A" w:rsidP="005A3BDD">
            <w:pPr>
              <w:ind w:right="-102"/>
              <w:jc w:val="center"/>
            </w:pPr>
            <w:r>
              <w:t>34.0</w:t>
            </w:r>
          </w:p>
        </w:tc>
        <w:tc>
          <w:tcPr>
            <w:tcW w:w="1195" w:type="dxa"/>
            <w:tcBorders>
              <w:bottom w:val="single" w:sz="4" w:space="0" w:color="auto"/>
            </w:tcBorders>
            <w:shd w:val="clear" w:color="auto" w:fill="E5DFEC" w:themeFill="accent4" w:themeFillTint="33"/>
          </w:tcPr>
          <w:p w:rsidR="002C495A" w:rsidRDefault="002C495A" w:rsidP="005A3BDD">
            <w:pPr>
              <w:ind w:right="-102"/>
              <w:jc w:val="center"/>
            </w:pPr>
            <w:r>
              <w:t>28.8</w:t>
            </w:r>
          </w:p>
        </w:tc>
        <w:tc>
          <w:tcPr>
            <w:tcW w:w="1195" w:type="dxa"/>
            <w:tcBorders>
              <w:bottom w:val="single" w:sz="4" w:space="0" w:color="auto"/>
            </w:tcBorders>
            <w:shd w:val="clear" w:color="auto" w:fill="E5DFEC" w:themeFill="accent4" w:themeFillTint="33"/>
          </w:tcPr>
          <w:p w:rsidR="002C495A" w:rsidRDefault="002C495A" w:rsidP="005A3BDD">
            <w:pPr>
              <w:ind w:right="-102"/>
              <w:jc w:val="center"/>
            </w:pPr>
            <w:r>
              <w:t>15.3</w:t>
            </w:r>
          </w:p>
        </w:tc>
      </w:tr>
      <w:tr w:rsidR="002C495A" w:rsidTr="005A3BDD">
        <w:trPr>
          <w:jc w:val="center"/>
        </w:trPr>
        <w:tc>
          <w:tcPr>
            <w:tcW w:w="2551" w:type="dxa"/>
            <w:vMerge w:val="restart"/>
            <w:vAlign w:val="center"/>
          </w:tcPr>
          <w:p w:rsidR="002C495A" w:rsidRDefault="002C495A" w:rsidP="005A3BDD">
            <w:pPr>
              <w:ind w:right="-104"/>
              <w:jc w:val="both"/>
            </w:pPr>
            <w:r>
              <w:t xml:space="preserve">BHT: 4,000 ppm </w:t>
            </w:r>
          </w:p>
        </w:tc>
        <w:tc>
          <w:tcPr>
            <w:tcW w:w="1134" w:type="dxa"/>
            <w:tcBorders>
              <w:bottom w:val="single" w:sz="4" w:space="0" w:color="auto"/>
            </w:tcBorders>
            <w:shd w:val="clear" w:color="auto" w:fill="FDE9D9" w:themeFill="accent6" w:themeFillTint="33"/>
          </w:tcPr>
          <w:p w:rsidR="002C495A" w:rsidRDefault="002C495A" w:rsidP="005A3BDD">
            <w:pPr>
              <w:ind w:right="-102"/>
              <w:jc w:val="center"/>
            </w:pPr>
            <w:r>
              <w:t>50 kg</w:t>
            </w:r>
          </w:p>
        </w:tc>
        <w:tc>
          <w:tcPr>
            <w:tcW w:w="1114" w:type="dxa"/>
            <w:tcBorders>
              <w:bottom w:val="single" w:sz="4" w:space="0" w:color="auto"/>
            </w:tcBorders>
            <w:shd w:val="clear" w:color="auto" w:fill="FDE9D9" w:themeFill="accent6" w:themeFillTint="33"/>
            <w:vAlign w:val="center"/>
          </w:tcPr>
          <w:p w:rsidR="002C495A" w:rsidRDefault="002C495A" w:rsidP="005A3BDD">
            <w:pPr>
              <w:ind w:right="-102"/>
              <w:jc w:val="center"/>
            </w:pPr>
            <w:r>
              <w:t>33.1</w:t>
            </w:r>
          </w:p>
        </w:tc>
        <w:tc>
          <w:tcPr>
            <w:tcW w:w="1195" w:type="dxa"/>
            <w:tcBorders>
              <w:bottom w:val="single" w:sz="4" w:space="0" w:color="auto"/>
            </w:tcBorders>
            <w:shd w:val="clear" w:color="auto" w:fill="FDE9D9" w:themeFill="accent6" w:themeFillTint="33"/>
          </w:tcPr>
          <w:p w:rsidR="002C495A" w:rsidRDefault="002C495A" w:rsidP="005A3BDD">
            <w:pPr>
              <w:ind w:right="-102"/>
              <w:jc w:val="center"/>
            </w:pPr>
            <w:r>
              <w:t>29.7</w:t>
            </w:r>
          </w:p>
        </w:tc>
        <w:tc>
          <w:tcPr>
            <w:tcW w:w="1195" w:type="dxa"/>
            <w:tcBorders>
              <w:bottom w:val="single" w:sz="4" w:space="0" w:color="auto"/>
            </w:tcBorders>
            <w:shd w:val="clear" w:color="auto" w:fill="FDE9D9" w:themeFill="accent6" w:themeFillTint="33"/>
          </w:tcPr>
          <w:p w:rsidR="002C495A" w:rsidRDefault="002C495A" w:rsidP="005A3BDD">
            <w:pPr>
              <w:ind w:right="-102"/>
              <w:jc w:val="center"/>
            </w:pPr>
            <w:r>
              <w:t>10.3</w:t>
            </w:r>
          </w:p>
        </w:tc>
      </w:tr>
      <w:tr w:rsidR="002C495A" w:rsidTr="005A3BDD">
        <w:trPr>
          <w:jc w:val="center"/>
        </w:trPr>
        <w:tc>
          <w:tcPr>
            <w:tcW w:w="2551" w:type="dxa"/>
            <w:vMerge/>
            <w:vAlign w:val="center"/>
          </w:tcPr>
          <w:p w:rsidR="002C495A" w:rsidRDefault="002C495A" w:rsidP="005A3BDD">
            <w:pPr>
              <w:ind w:right="-104"/>
              <w:jc w:val="both"/>
            </w:pPr>
          </w:p>
        </w:tc>
        <w:tc>
          <w:tcPr>
            <w:tcW w:w="1134" w:type="dxa"/>
            <w:tcBorders>
              <w:bottom w:val="single" w:sz="4" w:space="0" w:color="auto"/>
            </w:tcBorders>
            <w:shd w:val="clear" w:color="auto" w:fill="E5DFEC" w:themeFill="accent4" w:themeFillTint="33"/>
          </w:tcPr>
          <w:p w:rsidR="002C495A" w:rsidRDefault="002C495A" w:rsidP="005A3BDD">
            <w:pPr>
              <w:ind w:right="-102"/>
              <w:jc w:val="center"/>
            </w:pPr>
            <w:r>
              <w:t>1 ton</w:t>
            </w:r>
          </w:p>
        </w:tc>
        <w:tc>
          <w:tcPr>
            <w:tcW w:w="1114" w:type="dxa"/>
            <w:tcBorders>
              <w:bottom w:val="single" w:sz="4" w:space="0" w:color="auto"/>
            </w:tcBorders>
            <w:shd w:val="clear" w:color="auto" w:fill="E5DFEC" w:themeFill="accent4" w:themeFillTint="33"/>
            <w:vAlign w:val="center"/>
          </w:tcPr>
          <w:p w:rsidR="002C495A" w:rsidRDefault="002C495A" w:rsidP="005A3BDD">
            <w:pPr>
              <w:ind w:right="-102"/>
              <w:jc w:val="center"/>
            </w:pPr>
            <w:r>
              <w:t>34.2</w:t>
            </w:r>
          </w:p>
        </w:tc>
        <w:tc>
          <w:tcPr>
            <w:tcW w:w="1195" w:type="dxa"/>
            <w:tcBorders>
              <w:bottom w:val="single" w:sz="4" w:space="0" w:color="auto"/>
            </w:tcBorders>
            <w:shd w:val="clear" w:color="auto" w:fill="E5DFEC" w:themeFill="accent4" w:themeFillTint="33"/>
          </w:tcPr>
          <w:p w:rsidR="002C495A" w:rsidRDefault="002C495A" w:rsidP="005A3BDD">
            <w:pPr>
              <w:ind w:right="-102"/>
              <w:jc w:val="center"/>
            </w:pPr>
            <w:r>
              <w:t>30.2</w:t>
            </w:r>
          </w:p>
        </w:tc>
        <w:tc>
          <w:tcPr>
            <w:tcW w:w="1195" w:type="dxa"/>
            <w:tcBorders>
              <w:bottom w:val="single" w:sz="4" w:space="0" w:color="auto"/>
            </w:tcBorders>
            <w:shd w:val="clear" w:color="auto" w:fill="E5DFEC" w:themeFill="accent4" w:themeFillTint="33"/>
          </w:tcPr>
          <w:p w:rsidR="002C495A" w:rsidRDefault="002C495A" w:rsidP="005A3BDD">
            <w:pPr>
              <w:ind w:right="-102"/>
              <w:jc w:val="center"/>
            </w:pPr>
            <w:r>
              <w:t>11.7</w:t>
            </w:r>
          </w:p>
        </w:tc>
      </w:tr>
      <w:tr w:rsidR="002C495A" w:rsidTr="005A3BDD">
        <w:trPr>
          <w:jc w:val="center"/>
        </w:trPr>
        <w:tc>
          <w:tcPr>
            <w:tcW w:w="2551" w:type="dxa"/>
            <w:vMerge w:val="restart"/>
            <w:vAlign w:val="center"/>
          </w:tcPr>
          <w:p w:rsidR="002C495A" w:rsidRDefault="002C495A" w:rsidP="005A3BDD">
            <w:pPr>
              <w:ind w:right="-104"/>
              <w:jc w:val="both"/>
            </w:pPr>
            <w:r>
              <w:t>Natural blend: 2,000 ppm</w:t>
            </w:r>
          </w:p>
        </w:tc>
        <w:tc>
          <w:tcPr>
            <w:tcW w:w="1134" w:type="dxa"/>
            <w:tcBorders>
              <w:bottom w:val="single" w:sz="4" w:space="0" w:color="auto"/>
            </w:tcBorders>
            <w:shd w:val="clear" w:color="auto" w:fill="FDE9D9" w:themeFill="accent6" w:themeFillTint="33"/>
          </w:tcPr>
          <w:p w:rsidR="002C495A" w:rsidRDefault="002C495A" w:rsidP="005A3BDD">
            <w:pPr>
              <w:ind w:right="-102"/>
              <w:jc w:val="center"/>
            </w:pPr>
            <w:r>
              <w:t>50 kg</w:t>
            </w:r>
          </w:p>
        </w:tc>
        <w:tc>
          <w:tcPr>
            <w:tcW w:w="1114" w:type="dxa"/>
            <w:tcBorders>
              <w:bottom w:val="single" w:sz="4" w:space="0" w:color="auto"/>
            </w:tcBorders>
            <w:shd w:val="clear" w:color="auto" w:fill="FDE9D9" w:themeFill="accent6" w:themeFillTint="33"/>
            <w:vAlign w:val="center"/>
          </w:tcPr>
          <w:p w:rsidR="002C495A" w:rsidRDefault="002C495A" w:rsidP="005A3BDD">
            <w:pPr>
              <w:ind w:right="-102"/>
              <w:jc w:val="center"/>
            </w:pPr>
            <w:r>
              <w:t>33.2</w:t>
            </w:r>
          </w:p>
        </w:tc>
        <w:tc>
          <w:tcPr>
            <w:tcW w:w="1195" w:type="dxa"/>
            <w:tcBorders>
              <w:bottom w:val="single" w:sz="4" w:space="0" w:color="auto"/>
            </w:tcBorders>
            <w:shd w:val="clear" w:color="auto" w:fill="FDE9D9" w:themeFill="accent6" w:themeFillTint="33"/>
          </w:tcPr>
          <w:p w:rsidR="002C495A" w:rsidRDefault="002C495A" w:rsidP="005A3BDD">
            <w:pPr>
              <w:ind w:right="-102"/>
              <w:jc w:val="center"/>
            </w:pPr>
            <w:r>
              <w:t>25.5</w:t>
            </w:r>
          </w:p>
        </w:tc>
        <w:tc>
          <w:tcPr>
            <w:tcW w:w="1195" w:type="dxa"/>
            <w:tcBorders>
              <w:bottom w:val="single" w:sz="4" w:space="0" w:color="auto"/>
            </w:tcBorders>
            <w:shd w:val="clear" w:color="auto" w:fill="FDE9D9" w:themeFill="accent6" w:themeFillTint="33"/>
          </w:tcPr>
          <w:p w:rsidR="002C495A" w:rsidRDefault="002C495A" w:rsidP="005A3BDD">
            <w:pPr>
              <w:ind w:right="-102"/>
              <w:jc w:val="center"/>
            </w:pPr>
            <w:r>
              <w:t>23.2</w:t>
            </w:r>
          </w:p>
        </w:tc>
      </w:tr>
      <w:tr w:rsidR="002C495A" w:rsidTr="005A3BDD">
        <w:trPr>
          <w:jc w:val="center"/>
        </w:trPr>
        <w:tc>
          <w:tcPr>
            <w:tcW w:w="2551" w:type="dxa"/>
            <w:vMerge/>
            <w:vAlign w:val="center"/>
          </w:tcPr>
          <w:p w:rsidR="002C495A" w:rsidRDefault="002C495A" w:rsidP="005A3BDD">
            <w:pPr>
              <w:ind w:right="-104"/>
              <w:jc w:val="both"/>
            </w:pPr>
          </w:p>
        </w:tc>
        <w:tc>
          <w:tcPr>
            <w:tcW w:w="1134" w:type="dxa"/>
            <w:tcBorders>
              <w:bottom w:val="single" w:sz="4" w:space="0" w:color="auto"/>
            </w:tcBorders>
            <w:shd w:val="clear" w:color="auto" w:fill="E5DFEC" w:themeFill="accent4" w:themeFillTint="33"/>
          </w:tcPr>
          <w:p w:rsidR="002C495A" w:rsidRDefault="002C495A" w:rsidP="005A3BDD">
            <w:pPr>
              <w:ind w:right="-102"/>
              <w:jc w:val="center"/>
            </w:pPr>
            <w:r>
              <w:t>1 ton</w:t>
            </w:r>
          </w:p>
        </w:tc>
        <w:tc>
          <w:tcPr>
            <w:tcW w:w="1114" w:type="dxa"/>
            <w:tcBorders>
              <w:bottom w:val="single" w:sz="4" w:space="0" w:color="auto"/>
            </w:tcBorders>
            <w:shd w:val="clear" w:color="auto" w:fill="E5DFEC" w:themeFill="accent4" w:themeFillTint="33"/>
          </w:tcPr>
          <w:p w:rsidR="002C495A" w:rsidRDefault="002C495A" w:rsidP="005A3BDD">
            <w:pPr>
              <w:ind w:right="-102"/>
              <w:jc w:val="center"/>
            </w:pPr>
            <w:r>
              <w:t>33.5</w:t>
            </w:r>
          </w:p>
        </w:tc>
        <w:tc>
          <w:tcPr>
            <w:tcW w:w="1195" w:type="dxa"/>
            <w:tcBorders>
              <w:bottom w:val="single" w:sz="4" w:space="0" w:color="auto"/>
            </w:tcBorders>
            <w:shd w:val="clear" w:color="auto" w:fill="E5DFEC" w:themeFill="accent4" w:themeFillTint="33"/>
          </w:tcPr>
          <w:p w:rsidR="002C495A" w:rsidRDefault="002C495A" w:rsidP="005A3BDD">
            <w:pPr>
              <w:ind w:right="-102"/>
              <w:jc w:val="center"/>
            </w:pPr>
            <w:r>
              <w:t>27.3</w:t>
            </w:r>
          </w:p>
        </w:tc>
        <w:tc>
          <w:tcPr>
            <w:tcW w:w="1195" w:type="dxa"/>
            <w:tcBorders>
              <w:bottom w:val="single" w:sz="4" w:space="0" w:color="auto"/>
            </w:tcBorders>
            <w:shd w:val="clear" w:color="auto" w:fill="E5DFEC" w:themeFill="accent4" w:themeFillTint="33"/>
          </w:tcPr>
          <w:p w:rsidR="002C495A" w:rsidRDefault="002C495A" w:rsidP="005A3BDD">
            <w:pPr>
              <w:ind w:right="-102"/>
              <w:jc w:val="center"/>
            </w:pPr>
            <w:r>
              <w:t>18.5</w:t>
            </w:r>
          </w:p>
        </w:tc>
      </w:tr>
      <w:tr w:rsidR="002C495A" w:rsidTr="005A3BDD">
        <w:trPr>
          <w:jc w:val="center"/>
        </w:trPr>
        <w:tc>
          <w:tcPr>
            <w:tcW w:w="2551" w:type="dxa"/>
            <w:vMerge w:val="restart"/>
            <w:vAlign w:val="center"/>
          </w:tcPr>
          <w:p w:rsidR="002C495A" w:rsidRDefault="002C495A" w:rsidP="005A3BDD">
            <w:pPr>
              <w:ind w:right="-104"/>
              <w:jc w:val="both"/>
            </w:pPr>
            <w:r>
              <w:t xml:space="preserve">Natural blend: 4,000 ppm </w:t>
            </w:r>
          </w:p>
        </w:tc>
        <w:tc>
          <w:tcPr>
            <w:tcW w:w="1134" w:type="dxa"/>
            <w:tcBorders>
              <w:bottom w:val="single" w:sz="4" w:space="0" w:color="auto"/>
            </w:tcBorders>
            <w:shd w:val="clear" w:color="auto" w:fill="FDE9D9" w:themeFill="accent6" w:themeFillTint="33"/>
          </w:tcPr>
          <w:p w:rsidR="002C495A" w:rsidRDefault="002C495A" w:rsidP="005A3BDD">
            <w:pPr>
              <w:ind w:right="-102"/>
              <w:jc w:val="center"/>
            </w:pPr>
            <w:r>
              <w:t>50 kg</w:t>
            </w:r>
          </w:p>
        </w:tc>
        <w:tc>
          <w:tcPr>
            <w:tcW w:w="1114" w:type="dxa"/>
            <w:tcBorders>
              <w:bottom w:val="single" w:sz="4" w:space="0" w:color="auto"/>
            </w:tcBorders>
            <w:shd w:val="clear" w:color="auto" w:fill="FDE9D9" w:themeFill="accent6" w:themeFillTint="33"/>
          </w:tcPr>
          <w:p w:rsidR="002C495A" w:rsidRDefault="002C495A" w:rsidP="005A3BDD">
            <w:pPr>
              <w:ind w:right="-102"/>
              <w:jc w:val="center"/>
            </w:pPr>
            <w:r>
              <w:t>33.8</w:t>
            </w:r>
          </w:p>
        </w:tc>
        <w:tc>
          <w:tcPr>
            <w:tcW w:w="1195" w:type="dxa"/>
            <w:tcBorders>
              <w:bottom w:val="single" w:sz="4" w:space="0" w:color="auto"/>
            </w:tcBorders>
            <w:shd w:val="clear" w:color="auto" w:fill="FDE9D9" w:themeFill="accent6" w:themeFillTint="33"/>
          </w:tcPr>
          <w:p w:rsidR="002C495A" w:rsidRDefault="002C495A" w:rsidP="005A3BDD">
            <w:pPr>
              <w:ind w:right="-102"/>
              <w:jc w:val="center"/>
            </w:pPr>
            <w:r>
              <w:t>24.2</w:t>
            </w:r>
          </w:p>
        </w:tc>
        <w:tc>
          <w:tcPr>
            <w:tcW w:w="1195" w:type="dxa"/>
            <w:tcBorders>
              <w:bottom w:val="single" w:sz="4" w:space="0" w:color="auto"/>
            </w:tcBorders>
            <w:shd w:val="clear" w:color="auto" w:fill="FDE9D9" w:themeFill="accent6" w:themeFillTint="33"/>
          </w:tcPr>
          <w:p w:rsidR="002C495A" w:rsidRDefault="002C495A" w:rsidP="005A3BDD">
            <w:pPr>
              <w:ind w:right="-102"/>
              <w:jc w:val="center"/>
            </w:pPr>
            <w:r>
              <w:t>28.4</w:t>
            </w:r>
          </w:p>
        </w:tc>
      </w:tr>
      <w:tr w:rsidR="002C495A" w:rsidTr="005A3BDD">
        <w:trPr>
          <w:jc w:val="center"/>
        </w:trPr>
        <w:tc>
          <w:tcPr>
            <w:tcW w:w="2551" w:type="dxa"/>
            <w:vMerge/>
          </w:tcPr>
          <w:p w:rsidR="002C495A" w:rsidRDefault="002C495A" w:rsidP="005A3BDD">
            <w:pPr>
              <w:ind w:right="-104"/>
              <w:jc w:val="both"/>
            </w:pPr>
          </w:p>
        </w:tc>
        <w:tc>
          <w:tcPr>
            <w:tcW w:w="1134" w:type="dxa"/>
            <w:shd w:val="clear" w:color="auto" w:fill="E5DFEC" w:themeFill="accent4" w:themeFillTint="33"/>
          </w:tcPr>
          <w:p w:rsidR="002C495A" w:rsidRDefault="002C495A" w:rsidP="005A3BDD">
            <w:pPr>
              <w:ind w:right="-102"/>
              <w:jc w:val="center"/>
            </w:pPr>
            <w:r>
              <w:t>1 ton</w:t>
            </w:r>
          </w:p>
        </w:tc>
        <w:tc>
          <w:tcPr>
            <w:tcW w:w="1114" w:type="dxa"/>
            <w:shd w:val="clear" w:color="auto" w:fill="E5DFEC" w:themeFill="accent4" w:themeFillTint="33"/>
          </w:tcPr>
          <w:p w:rsidR="002C495A" w:rsidRDefault="002C495A" w:rsidP="005A3BDD">
            <w:pPr>
              <w:ind w:right="-102"/>
              <w:jc w:val="center"/>
            </w:pPr>
            <w:r>
              <w:t>31.9</w:t>
            </w:r>
          </w:p>
        </w:tc>
        <w:tc>
          <w:tcPr>
            <w:tcW w:w="1195" w:type="dxa"/>
            <w:shd w:val="clear" w:color="auto" w:fill="E5DFEC" w:themeFill="accent4" w:themeFillTint="33"/>
          </w:tcPr>
          <w:p w:rsidR="002C495A" w:rsidRDefault="002C495A" w:rsidP="005A3BDD">
            <w:pPr>
              <w:ind w:right="-102"/>
              <w:jc w:val="center"/>
            </w:pPr>
            <w:r>
              <w:t>22.8</w:t>
            </w:r>
          </w:p>
        </w:tc>
        <w:tc>
          <w:tcPr>
            <w:tcW w:w="1195" w:type="dxa"/>
            <w:shd w:val="clear" w:color="auto" w:fill="E5DFEC" w:themeFill="accent4" w:themeFillTint="33"/>
          </w:tcPr>
          <w:p w:rsidR="002C495A" w:rsidRDefault="002C495A" w:rsidP="005A3BDD">
            <w:pPr>
              <w:ind w:right="-102"/>
              <w:jc w:val="center"/>
            </w:pPr>
            <w:r>
              <w:t>28.5</w:t>
            </w:r>
          </w:p>
        </w:tc>
      </w:tr>
    </w:tbl>
    <w:p w:rsidR="002C495A" w:rsidRDefault="00FE7AEE" w:rsidP="002C495A">
      <w:pPr>
        <w:pStyle w:val="SingleTxtG"/>
        <w:spacing w:before="120"/>
      </w:pPr>
      <w:r>
        <w:t>17</w:t>
      </w:r>
      <w:r w:rsidR="002C495A">
        <w:t>.</w:t>
      </w:r>
      <w:r w:rsidR="002C495A">
        <w:tab/>
        <w:t xml:space="preserve">The 300ppm ethoxyquin treatment (50kg and 1 ton bags) clearly protected the fishmeal against oxidation showing negligible decrease (0.6% and 1.1%, respectively) in omega-3 fatty acids during the 12-month storage period due to oxidation.  </w:t>
      </w:r>
      <w:r w:rsidR="002C495A" w:rsidRPr="00C603AA">
        <w:t>The EQ treatment that measured 30ppm</w:t>
      </w:r>
      <w:r w:rsidR="002C495A">
        <w:t xml:space="preserve"> EQ</w:t>
      </w:r>
      <w:r w:rsidR="002C495A" w:rsidRPr="00C603AA">
        <w:t xml:space="preserve"> in the 50kg</w:t>
      </w:r>
      <w:r w:rsidR="002C495A">
        <w:t xml:space="preserve"> bags</w:t>
      </w:r>
      <w:r w:rsidR="002C495A" w:rsidRPr="00C603AA">
        <w:t xml:space="preserve"> at the start of the trial </w:t>
      </w:r>
      <w:r w:rsidR="002C495A">
        <w:t xml:space="preserve">showed a </w:t>
      </w:r>
      <w:r w:rsidR="002C495A" w:rsidRPr="00200CB9">
        <w:t>marked decrease</w:t>
      </w:r>
      <w:r w:rsidR="002C495A">
        <w:t xml:space="preserve"> (51%)</w:t>
      </w:r>
      <w:r w:rsidR="002C495A" w:rsidRPr="00200CB9">
        <w:t xml:space="preserve"> in</w:t>
      </w:r>
      <w:r w:rsidR="002C495A">
        <w:t xml:space="preserve"> omega-3 fatty acids indicating significant oxidation.  </w:t>
      </w:r>
      <w:r w:rsidR="002C495A" w:rsidRPr="00C603AA">
        <w:t>However, the EQ treatment that measured 50ppm EQ in the 1 ton bags indicated that even the slightly higher EQ content along with the bigger storage size bags, resulted in only a 0.6% decrease in omega-3 fatty acid content.  The efficacy of the 50ppm EQ treatment c</w:t>
      </w:r>
      <w:r w:rsidR="002C495A">
        <w:t>learly indicates how effective</w:t>
      </w:r>
      <w:r w:rsidR="002C495A" w:rsidRPr="00C603AA">
        <w:t xml:space="preserve"> EQ </w:t>
      </w:r>
      <w:r w:rsidR="002C495A">
        <w:t xml:space="preserve">is as antioxidant </w:t>
      </w:r>
      <w:r w:rsidR="002C495A" w:rsidRPr="00C603AA">
        <w:t xml:space="preserve">even at low dosage levels. </w:t>
      </w:r>
    </w:p>
    <w:p w:rsidR="002C495A" w:rsidRDefault="00FE7AEE" w:rsidP="002C495A">
      <w:pPr>
        <w:pStyle w:val="SingleTxtG"/>
      </w:pPr>
      <w:r>
        <w:t>18</w:t>
      </w:r>
      <w:r w:rsidR="002C495A">
        <w:t>.</w:t>
      </w:r>
      <w:r w:rsidR="002C495A">
        <w:tab/>
        <w:t xml:space="preserve">The omega-3 fatty acids in the BHT treated fishmeal samples decreased by between 10.3 and 15.3% with little difference shown between the two treatment concentrations (2,000 ppm and 4,000 ppm) as well as the storage size. </w:t>
      </w:r>
    </w:p>
    <w:p w:rsidR="002C495A" w:rsidRDefault="00FE7AEE" w:rsidP="002C495A">
      <w:pPr>
        <w:pStyle w:val="SingleTxtG"/>
      </w:pPr>
      <w:r>
        <w:t>19</w:t>
      </w:r>
      <w:r w:rsidR="002C495A">
        <w:t>.</w:t>
      </w:r>
      <w:r w:rsidR="002C495A">
        <w:tab/>
      </w:r>
      <w:r w:rsidR="002C495A" w:rsidRPr="00C603AA">
        <w:t>The omega-3 fatty acids in the Natural blend treated fishmeal samples decreased by between 18.5 % and 28.5% with the higher dosage level (4,000</w:t>
      </w:r>
      <w:r w:rsidR="002C495A">
        <w:t xml:space="preserve"> ppm</w:t>
      </w:r>
      <w:r w:rsidR="002C495A" w:rsidRPr="00C603AA">
        <w:t xml:space="preserve">) showing slightly higher oxidation of the omega-3 fatty acids. </w:t>
      </w:r>
      <w:r w:rsidR="002C495A">
        <w:t xml:space="preserve"> According to the oxidation levels of the omega-3 fatty acids the Natural blend is slightly less effective than BHT. </w:t>
      </w:r>
    </w:p>
    <w:p w:rsidR="002C495A" w:rsidRDefault="00FE7AEE" w:rsidP="002C495A">
      <w:pPr>
        <w:pStyle w:val="SingleTxtG"/>
      </w:pPr>
      <w:r>
        <w:t>20</w:t>
      </w:r>
      <w:r w:rsidR="002C495A">
        <w:t>.</w:t>
      </w:r>
      <w:r w:rsidR="002C495A">
        <w:tab/>
        <w:t xml:space="preserve">A temperature graph of the fishmeal treatments taken during the storage period along with the ambient temperature reading can be seen in Figure 2.  Apart from the normal initial spike in temperature after production none of the fishmeal treatments heated to a temperature higher than 35°C or higher than roughly 5°C higher than the ambient temperature as prescribed by SP 300. Even the low ethoxyquin dosage samples (30 – 50 ppm) samples did not overheat during the 12 month storage period. The lower ethoxyquin dosage level, the BHT as well as the natural antioxidant blends all protected fishmeal against overheating and possible combustion. </w:t>
      </w:r>
    </w:p>
    <w:p w:rsidR="00823F92" w:rsidRDefault="00823F92" w:rsidP="002C495A">
      <w:pPr>
        <w:pStyle w:val="SingleTxtG"/>
      </w:pPr>
    </w:p>
    <w:p w:rsidR="002C495A" w:rsidRDefault="002C495A" w:rsidP="002C495A">
      <w:pPr>
        <w:pStyle w:val="SingleTxtG"/>
      </w:pPr>
    </w:p>
    <w:p w:rsidR="002C495A" w:rsidRDefault="002C495A" w:rsidP="002C495A">
      <w:pPr>
        <w:pStyle w:val="SingleTxtG"/>
      </w:pPr>
    </w:p>
    <w:p w:rsidR="003E79A7" w:rsidRPr="003E79A7" w:rsidRDefault="003E79A7" w:rsidP="003E79A7">
      <w:pPr>
        <w:pStyle w:val="SingleTxtG"/>
        <w:jc w:val="center"/>
        <w:rPr>
          <w:b/>
          <w:lang w:val="de-DE"/>
        </w:rPr>
      </w:pPr>
      <w:r w:rsidRPr="003E79A7">
        <w:rPr>
          <w:b/>
        </w:rPr>
        <w:lastRenderedPageBreak/>
        <w:t xml:space="preserve">Figure 2: Temperature graph of all the fishmeal treatments along with the ambient temperature. </w:t>
      </w:r>
      <w:r w:rsidRPr="003E79A7">
        <w:rPr>
          <w:b/>
          <w:lang w:val="de-DE"/>
        </w:rPr>
        <w:t xml:space="preserve">(BAG = 50 kg bag; BBAG = 1 ton bag; E = Ethoxyquin; </w:t>
      </w:r>
      <w:r>
        <w:rPr>
          <w:b/>
          <w:lang w:val="de-DE"/>
        </w:rPr>
        <w:br/>
      </w:r>
      <w:r w:rsidRPr="003E79A7">
        <w:rPr>
          <w:b/>
          <w:lang w:val="de-DE"/>
        </w:rPr>
        <w:t>B = BHT; N = Natural blend)</w:t>
      </w:r>
    </w:p>
    <w:p w:rsidR="002C495A" w:rsidRDefault="002C495A" w:rsidP="002C495A">
      <w:pPr>
        <w:pStyle w:val="SingleTxtG"/>
        <w:ind w:hanging="567"/>
      </w:pPr>
      <w:r w:rsidRPr="0022598C">
        <w:rPr>
          <w:rFonts w:ascii="Calibri" w:eastAsia="Calibri" w:hAnsi="Calibri"/>
          <w:noProof/>
          <w:color w:val="1F497D"/>
          <w:lang w:eastAsia="en-GB"/>
        </w:rPr>
        <w:drawing>
          <wp:inline distT="0" distB="0" distL="0" distR="0" wp14:anchorId="447571C6" wp14:editId="689A82BB">
            <wp:extent cx="5384800" cy="2667000"/>
            <wp:effectExtent l="0" t="0" r="6350" b="0"/>
            <wp:docPr id="2" name="Gráfico 2" descr="cid:image003.png@01D2086B.8736BC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áfico 2" descr="cid:image003.png@01D2086B.8736BCC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5395386" cy="2672243"/>
                    </a:xfrm>
                    <a:prstGeom prst="rect">
                      <a:avLst/>
                    </a:prstGeom>
                    <a:noFill/>
                    <a:ln>
                      <a:noFill/>
                    </a:ln>
                  </pic:spPr>
                </pic:pic>
              </a:graphicData>
            </a:graphic>
          </wp:inline>
        </w:drawing>
      </w:r>
    </w:p>
    <w:p w:rsidR="003E79A7" w:rsidRDefault="00FE7AEE" w:rsidP="003E79A7">
      <w:pPr>
        <w:pStyle w:val="SingleTxtG"/>
      </w:pPr>
      <w:r>
        <w:t>21</w:t>
      </w:r>
      <w:r w:rsidR="003E79A7">
        <w:t>.</w:t>
      </w:r>
      <w:r w:rsidR="003E79A7">
        <w:tab/>
        <w:t>The results therefore indicate that due to t</w:t>
      </w:r>
      <w:r w:rsidR="003E79A7" w:rsidRPr="00DC06B9">
        <w:t xml:space="preserve">he </w:t>
      </w:r>
      <w:r w:rsidR="003E79A7">
        <w:t>very low rate of oxidation</w:t>
      </w:r>
      <w:r w:rsidR="003E79A7" w:rsidRPr="00DC06B9">
        <w:t xml:space="preserve"> </w:t>
      </w:r>
      <w:r w:rsidR="003E79A7">
        <w:t xml:space="preserve">of the </w:t>
      </w:r>
      <w:r w:rsidR="003E79A7" w:rsidRPr="00DC06B9">
        <w:t xml:space="preserve">300 ppm ethoxyquin </w:t>
      </w:r>
      <w:r w:rsidR="003E79A7">
        <w:t xml:space="preserve">treatment </w:t>
      </w:r>
      <w:r w:rsidR="003E79A7" w:rsidRPr="00DC06B9">
        <w:t>will effectively stabilise fishmeal over a 12-month period.  The alternative antioxidants tested c</w:t>
      </w:r>
      <w:r w:rsidR="003E79A7">
        <w:t>an</w:t>
      </w:r>
      <w:r w:rsidR="003E79A7" w:rsidRPr="00DC06B9">
        <w:t xml:space="preserve"> also be used to stabilise fishmeal because of the high levels of remaining antioxidant as well as the effective protection against oxidation as shown by the low levels of decrease in omega-3 fatty acids during the 12-month storage period. </w:t>
      </w:r>
    </w:p>
    <w:p w:rsidR="0002509B" w:rsidRDefault="00FE7AEE" w:rsidP="003E79A7">
      <w:pPr>
        <w:pStyle w:val="SingleTxtG"/>
      </w:pPr>
      <w:r>
        <w:t>22</w:t>
      </w:r>
      <w:r w:rsidR="003E79A7">
        <w:t>.</w:t>
      </w:r>
      <w:r w:rsidR="003E79A7">
        <w:tab/>
      </w:r>
      <w:r w:rsidR="003E79A7" w:rsidRPr="00DC2B99">
        <w:t xml:space="preserve">Ethoxyquin has </w:t>
      </w:r>
      <w:r w:rsidR="003E79A7">
        <w:t xml:space="preserve">been </w:t>
      </w:r>
      <w:r w:rsidR="003E79A7" w:rsidRPr="00DC2B99">
        <w:t>shown to be the most efficacious of the available synthetic antioxidants</w:t>
      </w:r>
      <w:r w:rsidR="003E79A7" w:rsidRPr="004C1258">
        <w:rPr>
          <w:vertAlign w:val="superscript"/>
        </w:rPr>
        <w:footnoteReference w:id="6"/>
      </w:r>
      <w:r w:rsidR="003E79A7" w:rsidRPr="004C1258">
        <w:rPr>
          <w:vertAlign w:val="superscript"/>
        </w:rPr>
        <w:t>,</w:t>
      </w:r>
      <w:r w:rsidR="003E79A7" w:rsidRPr="004C1258">
        <w:rPr>
          <w:vertAlign w:val="superscript"/>
        </w:rPr>
        <w:footnoteReference w:id="7"/>
      </w:r>
      <w:r w:rsidR="003E79A7" w:rsidRPr="004C1258">
        <w:rPr>
          <w:vertAlign w:val="superscript"/>
        </w:rPr>
        <w:t>,</w:t>
      </w:r>
      <w:r w:rsidR="003E79A7" w:rsidRPr="004C1258">
        <w:rPr>
          <w:vertAlign w:val="superscript"/>
        </w:rPr>
        <w:footnoteReference w:id="8"/>
      </w:r>
      <w:r w:rsidR="003E79A7" w:rsidRPr="004C1258">
        <w:rPr>
          <w:vertAlign w:val="superscript"/>
        </w:rPr>
        <w:t>.</w:t>
      </w:r>
      <w:r w:rsidR="003E79A7" w:rsidRPr="00DC2B99">
        <w:t xml:space="preserve"> The high efficacy of ethoxyquin is not only because of its chemical nature but also due to the fact that its oxidation products also possess strong antioxidant properties</w:t>
      </w:r>
      <w:r w:rsidR="003E79A7">
        <w:rPr>
          <w:rStyle w:val="FootnoteReference"/>
        </w:rPr>
        <w:footnoteReference w:id="9"/>
      </w:r>
      <w:r w:rsidR="003E79A7" w:rsidRPr="008B4C34">
        <w:rPr>
          <w:vertAlign w:val="superscript"/>
        </w:rPr>
        <w:t>,</w:t>
      </w:r>
      <w:r w:rsidR="003E79A7">
        <w:rPr>
          <w:rStyle w:val="FootnoteReference"/>
        </w:rPr>
        <w:footnoteReference w:id="10"/>
      </w:r>
      <w:r w:rsidR="003E79A7" w:rsidRPr="00DC2B99">
        <w:t xml:space="preserve">. </w:t>
      </w:r>
      <w:r w:rsidR="003E79A7">
        <w:t>Two of its oxidation products, ethoxyquin-dimer and a quinolone have shown to have efficacy values of 69% and 80% of the value of ethoxyquin respectively</w:t>
      </w:r>
      <w:r w:rsidR="003E79A7" w:rsidRPr="00F848A9">
        <w:rPr>
          <w:vertAlign w:val="superscript"/>
        </w:rPr>
        <w:t>5,</w:t>
      </w:r>
      <w:r w:rsidR="003E79A7">
        <w:rPr>
          <w:rStyle w:val="FootnoteReference"/>
        </w:rPr>
        <w:footnoteReference w:id="11"/>
      </w:r>
      <w:r w:rsidR="003E79A7">
        <w:t xml:space="preserve">. The </w:t>
      </w:r>
    </w:p>
    <w:p w:rsidR="0002509B" w:rsidRDefault="0002509B">
      <w:pPr>
        <w:suppressAutoHyphens w:val="0"/>
        <w:spacing w:line="240" w:lineRule="auto"/>
      </w:pPr>
      <w:r>
        <w:br w:type="page"/>
      </w:r>
    </w:p>
    <w:p w:rsidR="003E79A7" w:rsidRDefault="003E79A7" w:rsidP="003E79A7">
      <w:pPr>
        <w:pStyle w:val="SingleTxtG"/>
      </w:pPr>
      <w:r>
        <w:lastRenderedPageBreak/>
        <w:t>efficacies of the oxidation products and BHT in fishmeal relative to ethoxyquin can be seen in Table 5.</w:t>
      </w:r>
      <w:r w:rsidR="0002509B">
        <w:t xml:space="preserve"> </w:t>
      </w:r>
      <w:r>
        <w:t xml:space="preserve">BHT has roughly 2/3 the activity of ethoxyquin in fishmeal and 3/4 in fish oil. The efficacies of the same antioxidant in fishmeal and fish oil are different and therefore antioxidants must be evaluated in the specific matrix that it will be used in. </w:t>
      </w:r>
    </w:p>
    <w:p w:rsidR="0002509B" w:rsidRPr="0002509B" w:rsidRDefault="0002509B" w:rsidP="0002509B">
      <w:pPr>
        <w:pStyle w:val="SingleTxtG"/>
        <w:jc w:val="center"/>
        <w:rPr>
          <w:b/>
          <w:vertAlign w:val="superscript"/>
        </w:rPr>
      </w:pPr>
      <w:r w:rsidRPr="0002509B">
        <w:rPr>
          <w:b/>
        </w:rPr>
        <w:t xml:space="preserve">Table 5: Efficacy values of the oxidation products of ethoxyquin and BHT </w:t>
      </w:r>
      <w:r>
        <w:rPr>
          <w:b/>
        </w:rPr>
        <w:br/>
      </w:r>
      <w:r w:rsidRPr="0002509B">
        <w:rPr>
          <w:b/>
        </w:rPr>
        <w:t>relative to ethoxyquin</w:t>
      </w:r>
      <w:r w:rsidRPr="0002509B">
        <w:rPr>
          <w:b/>
          <w:vertAlign w:val="superscript"/>
        </w:rPr>
        <w:t>5</w:t>
      </w:r>
    </w:p>
    <w:tbl>
      <w:tblPr>
        <w:tblStyle w:val="TableGrid"/>
        <w:tblW w:w="6383" w:type="dxa"/>
        <w:tblInd w:w="1550" w:type="dxa"/>
        <w:tblLook w:val="04A0" w:firstRow="1" w:lastRow="0" w:firstColumn="1" w:lastColumn="0" w:noHBand="0" w:noVBand="1"/>
      </w:tblPr>
      <w:tblGrid>
        <w:gridCol w:w="2373"/>
        <w:gridCol w:w="2026"/>
        <w:gridCol w:w="1984"/>
      </w:tblGrid>
      <w:tr w:rsidR="0002509B" w:rsidTr="005A3BDD">
        <w:tc>
          <w:tcPr>
            <w:tcW w:w="2373" w:type="dxa"/>
            <w:vMerge w:val="restart"/>
            <w:shd w:val="clear" w:color="auto" w:fill="F2F2F2" w:themeFill="background1" w:themeFillShade="F2"/>
            <w:vAlign w:val="center"/>
          </w:tcPr>
          <w:p w:rsidR="0002509B" w:rsidRPr="00640FF5" w:rsidRDefault="0002509B" w:rsidP="005A3BDD">
            <w:pPr>
              <w:pStyle w:val="ListParagraph"/>
              <w:suppressAutoHyphens/>
              <w:spacing w:line="240" w:lineRule="atLeast"/>
              <w:ind w:left="0" w:right="1134"/>
              <w:jc w:val="both"/>
              <w:rPr>
                <w:b/>
              </w:rPr>
            </w:pPr>
            <w:r w:rsidRPr="00640FF5">
              <w:rPr>
                <w:b/>
              </w:rPr>
              <w:t>Antioxidant</w:t>
            </w:r>
          </w:p>
        </w:tc>
        <w:tc>
          <w:tcPr>
            <w:tcW w:w="4010" w:type="dxa"/>
            <w:gridSpan w:val="2"/>
            <w:shd w:val="clear" w:color="auto" w:fill="F2F2F2" w:themeFill="background1" w:themeFillShade="F2"/>
          </w:tcPr>
          <w:p w:rsidR="0002509B" w:rsidRPr="00640FF5" w:rsidRDefault="0002509B" w:rsidP="005A3BDD">
            <w:pPr>
              <w:pStyle w:val="ListParagraph"/>
              <w:suppressAutoHyphens/>
              <w:spacing w:line="240" w:lineRule="atLeast"/>
              <w:ind w:left="0"/>
              <w:jc w:val="center"/>
              <w:rPr>
                <w:b/>
              </w:rPr>
            </w:pPr>
            <w:r w:rsidRPr="00640FF5">
              <w:rPr>
                <w:b/>
              </w:rPr>
              <w:t xml:space="preserve">Efficacy value (%) </w:t>
            </w:r>
          </w:p>
        </w:tc>
      </w:tr>
      <w:tr w:rsidR="0002509B" w:rsidTr="005A3BDD">
        <w:tc>
          <w:tcPr>
            <w:tcW w:w="2373" w:type="dxa"/>
            <w:vMerge/>
            <w:shd w:val="clear" w:color="auto" w:fill="F2F2F2" w:themeFill="background1" w:themeFillShade="F2"/>
            <w:vAlign w:val="center"/>
          </w:tcPr>
          <w:p w:rsidR="0002509B" w:rsidRPr="00640FF5" w:rsidRDefault="0002509B" w:rsidP="005A3BDD">
            <w:pPr>
              <w:pStyle w:val="ListParagraph"/>
              <w:suppressAutoHyphens/>
              <w:spacing w:line="240" w:lineRule="atLeast"/>
              <w:ind w:left="0" w:right="1134"/>
              <w:jc w:val="both"/>
              <w:rPr>
                <w:b/>
              </w:rPr>
            </w:pPr>
          </w:p>
        </w:tc>
        <w:tc>
          <w:tcPr>
            <w:tcW w:w="2026" w:type="dxa"/>
            <w:shd w:val="clear" w:color="auto" w:fill="F2F2F2" w:themeFill="background1" w:themeFillShade="F2"/>
          </w:tcPr>
          <w:p w:rsidR="0002509B" w:rsidRPr="00640FF5" w:rsidRDefault="0002509B" w:rsidP="005A3BDD">
            <w:pPr>
              <w:pStyle w:val="ListParagraph"/>
              <w:suppressAutoHyphens/>
              <w:spacing w:line="240" w:lineRule="atLeast"/>
              <w:ind w:left="0"/>
              <w:jc w:val="center"/>
              <w:rPr>
                <w:b/>
              </w:rPr>
            </w:pPr>
            <w:r>
              <w:rPr>
                <w:b/>
              </w:rPr>
              <w:t>F</w:t>
            </w:r>
            <w:r w:rsidRPr="00640FF5">
              <w:rPr>
                <w:b/>
              </w:rPr>
              <w:t>ishmeal</w:t>
            </w:r>
          </w:p>
        </w:tc>
        <w:tc>
          <w:tcPr>
            <w:tcW w:w="1984" w:type="dxa"/>
            <w:shd w:val="clear" w:color="auto" w:fill="F2F2F2" w:themeFill="background1" w:themeFillShade="F2"/>
          </w:tcPr>
          <w:p w:rsidR="0002509B" w:rsidRPr="00640FF5" w:rsidRDefault="0002509B" w:rsidP="005A3BDD">
            <w:pPr>
              <w:pStyle w:val="ListParagraph"/>
              <w:suppressAutoHyphens/>
              <w:spacing w:line="240" w:lineRule="atLeast"/>
              <w:ind w:left="0"/>
              <w:jc w:val="center"/>
              <w:rPr>
                <w:b/>
              </w:rPr>
            </w:pPr>
            <w:r>
              <w:rPr>
                <w:b/>
              </w:rPr>
              <w:t>Fish oil</w:t>
            </w:r>
          </w:p>
        </w:tc>
      </w:tr>
      <w:tr w:rsidR="0002509B" w:rsidTr="005A3BDD">
        <w:tc>
          <w:tcPr>
            <w:tcW w:w="2373" w:type="dxa"/>
          </w:tcPr>
          <w:p w:rsidR="0002509B" w:rsidRDefault="0002509B" w:rsidP="005A3BDD">
            <w:pPr>
              <w:pStyle w:val="ListParagraph"/>
              <w:suppressAutoHyphens/>
              <w:spacing w:line="240" w:lineRule="atLeast"/>
              <w:ind w:left="0" w:right="1134"/>
              <w:jc w:val="both"/>
            </w:pPr>
            <w:r>
              <w:t>Ethoxyquin</w:t>
            </w:r>
          </w:p>
        </w:tc>
        <w:tc>
          <w:tcPr>
            <w:tcW w:w="2026" w:type="dxa"/>
          </w:tcPr>
          <w:p w:rsidR="0002509B" w:rsidRDefault="0002509B" w:rsidP="005A3BDD">
            <w:pPr>
              <w:pStyle w:val="ListParagraph"/>
              <w:suppressAutoHyphens/>
              <w:spacing w:line="240" w:lineRule="atLeast"/>
              <w:ind w:left="0"/>
              <w:jc w:val="center"/>
            </w:pPr>
            <w:r>
              <w:t>100</w:t>
            </w:r>
          </w:p>
        </w:tc>
        <w:tc>
          <w:tcPr>
            <w:tcW w:w="1984" w:type="dxa"/>
          </w:tcPr>
          <w:p w:rsidR="0002509B" w:rsidRDefault="0002509B" w:rsidP="005A3BDD">
            <w:pPr>
              <w:pStyle w:val="ListParagraph"/>
              <w:suppressAutoHyphens/>
              <w:spacing w:line="240" w:lineRule="atLeast"/>
              <w:ind w:left="0"/>
              <w:jc w:val="center"/>
            </w:pPr>
            <w:r>
              <w:t>100</w:t>
            </w:r>
          </w:p>
        </w:tc>
      </w:tr>
      <w:tr w:rsidR="0002509B" w:rsidTr="005A3BDD">
        <w:tc>
          <w:tcPr>
            <w:tcW w:w="2373" w:type="dxa"/>
          </w:tcPr>
          <w:p w:rsidR="0002509B" w:rsidRDefault="0002509B" w:rsidP="005A3BDD">
            <w:pPr>
              <w:pStyle w:val="ListParagraph"/>
              <w:suppressAutoHyphens/>
              <w:spacing w:line="240" w:lineRule="atLeast"/>
              <w:ind w:left="0" w:right="1134"/>
              <w:jc w:val="both"/>
            </w:pPr>
            <w:r>
              <w:t>EQ-Dimer</w:t>
            </w:r>
          </w:p>
        </w:tc>
        <w:tc>
          <w:tcPr>
            <w:tcW w:w="2026" w:type="dxa"/>
          </w:tcPr>
          <w:p w:rsidR="0002509B" w:rsidRDefault="0002509B" w:rsidP="005A3BDD">
            <w:pPr>
              <w:pStyle w:val="ListParagraph"/>
              <w:suppressAutoHyphens/>
              <w:spacing w:line="240" w:lineRule="atLeast"/>
              <w:ind w:left="0"/>
              <w:jc w:val="center"/>
            </w:pPr>
            <w:r>
              <w:t>69</w:t>
            </w:r>
          </w:p>
        </w:tc>
        <w:tc>
          <w:tcPr>
            <w:tcW w:w="1984" w:type="dxa"/>
          </w:tcPr>
          <w:p w:rsidR="0002509B" w:rsidRDefault="0002509B" w:rsidP="005A3BDD">
            <w:pPr>
              <w:pStyle w:val="ListParagraph"/>
              <w:suppressAutoHyphens/>
              <w:spacing w:line="240" w:lineRule="atLeast"/>
              <w:ind w:left="0"/>
              <w:jc w:val="center"/>
            </w:pPr>
            <w:r>
              <w:t>35</w:t>
            </w:r>
          </w:p>
        </w:tc>
      </w:tr>
      <w:tr w:rsidR="0002509B" w:rsidTr="005A3BDD">
        <w:tc>
          <w:tcPr>
            <w:tcW w:w="2373" w:type="dxa"/>
          </w:tcPr>
          <w:p w:rsidR="0002509B" w:rsidRDefault="0002509B" w:rsidP="005A3BDD">
            <w:pPr>
              <w:pStyle w:val="ListParagraph"/>
              <w:suppressAutoHyphens/>
              <w:spacing w:line="240" w:lineRule="atLeast"/>
              <w:ind w:left="0" w:right="1134"/>
              <w:jc w:val="both"/>
            </w:pPr>
            <w:r>
              <w:t>Quinolone</w:t>
            </w:r>
          </w:p>
        </w:tc>
        <w:tc>
          <w:tcPr>
            <w:tcW w:w="2026" w:type="dxa"/>
          </w:tcPr>
          <w:p w:rsidR="0002509B" w:rsidRDefault="0002509B" w:rsidP="005A3BDD">
            <w:pPr>
              <w:pStyle w:val="ListParagraph"/>
              <w:suppressAutoHyphens/>
              <w:spacing w:line="240" w:lineRule="atLeast"/>
              <w:ind w:left="0"/>
              <w:jc w:val="center"/>
            </w:pPr>
            <w:r>
              <w:t>80</w:t>
            </w:r>
          </w:p>
        </w:tc>
        <w:tc>
          <w:tcPr>
            <w:tcW w:w="1984" w:type="dxa"/>
          </w:tcPr>
          <w:p w:rsidR="0002509B" w:rsidRDefault="0002509B" w:rsidP="005A3BDD">
            <w:pPr>
              <w:pStyle w:val="ListParagraph"/>
              <w:suppressAutoHyphens/>
              <w:spacing w:line="240" w:lineRule="atLeast"/>
              <w:ind w:left="0"/>
              <w:jc w:val="center"/>
            </w:pPr>
            <w:r>
              <w:t>74</w:t>
            </w:r>
          </w:p>
        </w:tc>
      </w:tr>
      <w:tr w:rsidR="0002509B" w:rsidTr="005A3BDD">
        <w:tc>
          <w:tcPr>
            <w:tcW w:w="2373" w:type="dxa"/>
          </w:tcPr>
          <w:p w:rsidR="0002509B" w:rsidRDefault="0002509B" w:rsidP="005A3BDD">
            <w:pPr>
              <w:pStyle w:val="ListParagraph"/>
              <w:suppressAutoHyphens/>
              <w:spacing w:line="240" w:lineRule="atLeast"/>
              <w:ind w:left="0" w:right="1134"/>
              <w:jc w:val="both"/>
            </w:pPr>
            <w:r>
              <w:t>BHT</w:t>
            </w:r>
          </w:p>
        </w:tc>
        <w:tc>
          <w:tcPr>
            <w:tcW w:w="2026" w:type="dxa"/>
          </w:tcPr>
          <w:p w:rsidR="0002509B" w:rsidRDefault="0002509B" w:rsidP="005A3BDD">
            <w:pPr>
              <w:pStyle w:val="ListParagraph"/>
              <w:suppressAutoHyphens/>
              <w:spacing w:line="240" w:lineRule="atLeast"/>
              <w:ind w:left="0"/>
              <w:jc w:val="center"/>
            </w:pPr>
            <w:r>
              <w:t>67</w:t>
            </w:r>
          </w:p>
        </w:tc>
        <w:tc>
          <w:tcPr>
            <w:tcW w:w="1984" w:type="dxa"/>
          </w:tcPr>
          <w:p w:rsidR="0002509B" w:rsidRDefault="0002509B" w:rsidP="005A3BDD">
            <w:pPr>
              <w:pStyle w:val="ListParagraph"/>
              <w:suppressAutoHyphens/>
              <w:spacing w:line="240" w:lineRule="atLeast"/>
              <w:ind w:left="0"/>
              <w:jc w:val="center"/>
            </w:pPr>
            <w:r>
              <w:t>77</w:t>
            </w:r>
          </w:p>
        </w:tc>
      </w:tr>
    </w:tbl>
    <w:p w:rsidR="0002509B" w:rsidRDefault="00FE7AEE" w:rsidP="0002509B">
      <w:pPr>
        <w:pStyle w:val="SingleTxtG"/>
        <w:spacing w:before="120"/>
      </w:pPr>
      <w:r>
        <w:t>23</w:t>
      </w:r>
      <w:r w:rsidR="0002509B">
        <w:t>.</w:t>
      </w:r>
      <w:r w:rsidR="0002509B">
        <w:tab/>
        <w:t xml:space="preserve">The breakdown rate of the dimer was considerably slower than that of ethoxyquin, which has the beneficial effect that even once the ethoxyquin levels has dropped significantly there are still significant levels of ethoxyquin dimer remaining to act as antioxidant and protect the fishmeal.  </w:t>
      </w:r>
    </w:p>
    <w:p w:rsidR="0002509B" w:rsidRDefault="00FE7AEE" w:rsidP="0002509B">
      <w:pPr>
        <w:pStyle w:val="SingleTxtG"/>
      </w:pPr>
      <w:r>
        <w:t>24</w:t>
      </w:r>
      <w:r w:rsidR="0002509B">
        <w:t>.</w:t>
      </w:r>
      <w:r w:rsidR="0002509B">
        <w:tab/>
        <w:t>In a previously performed long term fishmeal stability study where reactive fishmeal dosed at 400-1000 mg/kg ethoxyquin was stored in approximately 5kg polypropene buckets at 25°C for more than a year, the ethoxyquin content as well as the oxidation products, EQ-dimer and quinolone were determined</w:t>
      </w:r>
      <w:r w:rsidR="0002509B">
        <w:rPr>
          <w:rStyle w:val="FootnoteReference"/>
        </w:rPr>
        <w:footnoteReference w:id="12"/>
      </w:r>
      <w:r w:rsidR="0002509B">
        <w:t xml:space="preserve">.  The ethoxyquin content and its oxidation products as well as the calculated total ethoxyquin equivalents (based on the efficacy value compared to ethoxyquin) on the final days of the trial are shown in table 5. </w:t>
      </w:r>
    </w:p>
    <w:p w:rsidR="0002509B" w:rsidRPr="0002509B" w:rsidRDefault="0002509B" w:rsidP="0002509B">
      <w:pPr>
        <w:pStyle w:val="SingleTxtG"/>
        <w:jc w:val="center"/>
        <w:rPr>
          <w:b/>
        </w:rPr>
      </w:pPr>
      <w:r w:rsidRPr="0002509B">
        <w:rPr>
          <w:b/>
        </w:rPr>
        <w:t xml:space="preserve">Table </w:t>
      </w:r>
      <w:r>
        <w:rPr>
          <w:b/>
        </w:rPr>
        <w:t>6</w:t>
      </w:r>
      <w:r w:rsidRPr="0002509B">
        <w:rPr>
          <w:b/>
        </w:rPr>
        <w:t>: Ethoxyquin, the quinolone and EQ-dimer in fishmeal storage at 25°C</w:t>
      </w:r>
    </w:p>
    <w:tbl>
      <w:tblPr>
        <w:tblStyle w:val="TableGrid"/>
        <w:tblW w:w="0" w:type="auto"/>
        <w:jc w:val="center"/>
        <w:tblInd w:w="985" w:type="dxa"/>
        <w:tblLayout w:type="fixed"/>
        <w:tblLook w:val="04A0" w:firstRow="1" w:lastRow="0" w:firstColumn="1" w:lastColumn="0" w:noHBand="0" w:noVBand="1"/>
      </w:tblPr>
      <w:tblGrid>
        <w:gridCol w:w="1980"/>
        <w:gridCol w:w="709"/>
        <w:gridCol w:w="1134"/>
        <w:gridCol w:w="904"/>
        <w:gridCol w:w="868"/>
        <w:gridCol w:w="1204"/>
        <w:gridCol w:w="1134"/>
      </w:tblGrid>
      <w:tr w:rsidR="0002509B" w:rsidTr="0002509B">
        <w:trPr>
          <w:jc w:val="center"/>
        </w:trPr>
        <w:tc>
          <w:tcPr>
            <w:tcW w:w="1980" w:type="dxa"/>
            <w:shd w:val="clear" w:color="auto" w:fill="F2F2F2" w:themeFill="background1" w:themeFillShade="F2"/>
            <w:vAlign w:val="center"/>
          </w:tcPr>
          <w:p w:rsidR="0002509B" w:rsidRPr="002D2EB1" w:rsidRDefault="0002509B" w:rsidP="005A3BDD">
            <w:pPr>
              <w:pStyle w:val="ListParagraph"/>
              <w:suppressAutoHyphens/>
              <w:spacing w:line="240" w:lineRule="atLeast"/>
              <w:ind w:left="0" w:right="-105"/>
              <w:rPr>
                <w:b/>
              </w:rPr>
            </w:pPr>
            <w:r w:rsidRPr="002D2EB1">
              <w:rPr>
                <w:b/>
              </w:rPr>
              <w:t>Meal</w:t>
            </w:r>
            <w:r>
              <w:rPr>
                <w:b/>
              </w:rPr>
              <w:t xml:space="preserve"> type and ethoxyquin concentration added either at factory or in laboratory</w:t>
            </w:r>
          </w:p>
        </w:tc>
        <w:tc>
          <w:tcPr>
            <w:tcW w:w="709" w:type="dxa"/>
            <w:shd w:val="clear" w:color="auto" w:fill="F2F2F2" w:themeFill="background1" w:themeFillShade="F2"/>
            <w:vAlign w:val="center"/>
          </w:tcPr>
          <w:p w:rsidR="0002509B" w:rsidRDefault="0002509B" w:rsidP="005A3BDD">
            <w:pPr>
              <w:pStyle w:val="ListParagraph"/>
              <w:suppressAutoHyphens/>
              <w:spacing w:line="240" w:lineRule="atLeast"/>
              <w:ind w:left="-113" w:right="-105"/>
              <w:jc w:val="center"/>
              <w:rPr>
                <w:b/>
              </w:rPr>
            </w:pPr>
            <w:r w:rsidRPr="002D2EB1">
              <w:rPr>
                <w:b/>
              </w:rPr>
              <w:t xml:space="preserve">Storage time </w:t>
            </w:r>
          </w:p>
          <w:p w:rsidR="0002509B" w:rsidRPr="002D2EB1" w:rsidRDefault="0002509B" w:rsidP="005A3BDD">
            <w:pPr>
              <w:pStyle w:val="ListParagraph"/>
              <w:suppressAutoHyphens/>
              <w:spacing w:line="240" w:lineRule="atLeast"/>
              <w:ind w:left="-113" w:right="-105"/>
              <w:jc w:val="center"/>
              <w:rPr>
                <w:b/>
              </w:rPr>
            </w:pPr>
            <w:r w:rsidRPr="002D2EB1">
              <w:rPr>
                <w:b/>
              </w:rPr>
              <w:t>(days)</w:t>
            </w:r>
          </w:p>
        </w:tc>
        <w:tc>
          <w:tcPr>
            <w:tcW w:w="1134" w:type="dxa"/>
            <w:shd w:val="clear" w:color="auto" w:fill="F2F2F2" w:themeFill="background1" w:themeFillShade="F2"/>
            <w:vAlign w:val="center"/>
          </w:tcPr>
          <w:p w:rsidR="0002509B" w:rsidRPr="002D2EB1" w:rsidRDefault="0002509B" w:rsidP="005A3BDD">
            <w:pPr>
              <w:pStyle w:val="ListParagraph"/>
              <w:suppressAutoHyphens/>
              <w:spacing w:line="240" w:lineRule="atLeast"/>
              <w:ind w:left="-112" w:right="-105"/>
              <w:jc w:val="center"/>
              <w:rPr>
                <w:b/>
              </w:rPr>
            </w:pPr>
            <w:r w:rsidRPr="002D2EB1">
              <w:rPr>
                <w:b/>
              </w:rPr>
              <w:t>Ethoxyquin mg/kg</w:t>
            </w:r>
          </w:p>
        </w:tc>
        <w:tc>
          <w:tcPr>
            <w:tcW w:w="904" w:type="dxa"/>
            <w:shd w:val="clear" w:color="auto" w:fill="F2F2F2" w:themeFill="background1" w:themeFillShade="F2"/>
            <w:vAlign w:val="center"/>
          </w:tcPr>
          <w:p w:rsidR="0002509B" w:rsidRPr="002D2EB1" w:rsidRDefault="0002509B" w:rsidP="005A3BDD">
            <w:pPr>
              <w:pStyle w:val="ListParagraph"/>
              <w:suppressAutoHyphens/>
              <w:spacing w:line="240" w:lineRule="atLeast"/>
              <w:ind w:left="-110" w:right="-105"/>
              <w:jc w:val="center"/>
              <w:rPr>
                <w:b/>
              </w:rPr>
            </w:pPr>
            <w:r w:rsidRPr="002D2EB1">
              <w:rPr>
                <w:b/>
              </w:rPr>
              <w:t>Quinolone mg/kg</w:t>
            </w:r>
          </w:p>
        </w:tc>
        <w:tc>
          <w:tcPr>
            <w:tcW w:w="868" w:type="dxa"/>
            <w:shd w:val="clear" w:color="auto" w:fill="F2F2F2" w:themeFill="background1" w:themeFillShade="F2"/>
            <w:vAlign w:val="center"/>
          </w:tcPr>
          <w:p w:rsidR="0002509B" w:rsidRPr="002D2EB1" w:rsidRDefault="0002509B" w:rsidP="005A3BDD">
            <w:pPr>
              <w:pStyle w:val="ListParagraph"/>
              <w:suppressAutoHyphens/>
              <w:spacing w:line="240" w:lineRule="atLeast"/>
              <w:ind w:left="-182" w:right="-24"/>
              <w:jc w:val="center"/>
              <w:rPr>
                <w:b/>
              </w:rPr>
            </w:pPr>
            <w:r w:rsidRPr="002D2EB1">
              <w:rPr>
                <w:b/>
              </w:rPr>
              <w:t>EQ-</w:t>
            </w:r>
            <w:r>
              <w:rPr>
                <w:b/>
              </w:rPr>
              <w:t xml:space="preserve">  </w:t>
            </w:r>
            <w:r w:rsidRPr="002D2EB1">
              <w:rPr>
                <w:b/>
              </w:rPr>
              <w:t>dimer</w:t>
            </w:r>
          </w:p>
          <w:p w:rsidR="0002509B" w:rsidRPr="002D2EB1" w:rsidRDefault="0002509B" w:rsidP="005A3BDD">
            <w:pPr>
              <w:pStyle w:val="ListParagraph"/>
              <w:suppressAutoHyphens/>
              <w:spacing w:line="240" w:lineRule="atLeast"/>
              <w:ind w:left="0" w:right="-24"/>
              <w:jc w:val="center"/>
              <w:rPr>
                <w:b/>
              </w:rPr>
            </w:pPr>
            <w:r w:rsidRPr="002D2EB1">
              <w:rPr>
                <w:b/>
              </w:rPr>
              <w:t>mg/kg</w:t>
            </w:r>
          </w:p>
        </w:tc>
        <w:tc>
          <w:tcPr>
            <w:tcW w:w="1204" w:type="dxa"/>
            <w:shd w:val="clear" w:color="auto" w:fill="F2F2F2" w:themeFill="background1" w:themeFillShade="F2"/>
            <w:vAlign w:val="center"/>
          </w:tcPr>
          <w:p w:rsidR="0002509B" w:rsidRDefault="0002509B" w:rsidP="005A3BDD">
            <w:pPr>
              <w:pStyle w:val="ListParagraph"/>
              <w:suppressAutoHyphens/>
              <w:spacing w:line="240" w:lineRule="atLeast"/>
              <w:ind w:left="-173" w:right="-24"/>
              <w:jc w:val="center"/>
              <w:rPr>
                <w:b/>
                <w:sz w:val="18"/>
                <w:szCs w:val="18"/>
              </w:rPr>
            </w:pPr>
            <w:r w:rsidRPr="002D2EB1">
              <w:rPr>
                <w:b/>
              </w:rPr>
              <w:t>Total EQ equivalents</w:t>
            </w:r>
            <w:r>
              <w:rPr>
                <w:b/>
              </w:rPr>
              <w:t xml:space="preserve"> </w:t>
            </w:r>
            <w:r w:rsidRPr="00374F2B">
              <w:rPr>
                <w:b/>
                <w:sz w:val="18"/>
                <w:szCs w:val="18"/>
              </w:rPr>
              <w:t xml:space="preserve">(based on efficacy in </w:t>
            </w:r>
          </w:p>
          <w:p w:rsidR="0002509B" w:rsidRDefault="0002509B" w:rsidP="005A3BDD">
            <w:pPr>
              <w:pStyle w:val="ListParagraph"/>
              <w:suppressAutoHyphens/>
              <w:spacing w:line="240" w:lineRule="atLeast"/>
              <w:ind w:left="-173" w:right="-24"/>
              <w:jc w:val="center"/>
              <w:rPr>
                <w:b/>
              </w:rPr>
            </w:pPr>
            <w:r w:rsidRPr="00374F2B">
              <w:rPr>
                <w:b/>
                <w:sz w:val="18"/>
                <w:szCs w:val="18"/>
              </w:rPr>
              <w:t>fish oil)</w:t>
            </w:r>
            <w:r w:rsidRPr="002D2EB1">
              <w:rPr>
                <w:b/>
              </w:rPr>
              <w:t xml:space="preserve"> </w:t>
            </w:r>
          </w:p>
          <w:p w:rsidR="0002509B" w:rsidRPr="002D2EB1" w:rsidRDefault="0002509B" w:rsidP="005A3BDD">
            <w:pPr>
              <w:pStyle w:val="ListParagraph"/>
              <w:suppressAutoHyphens/>
              <w:spacing w:line="240" w:lineRule="atLeast"/>
              <w:ind w:left="-173" w:right="-24"/>
              <w:jc w:val="center"/>
              <w:rPr>
                <w:b/>
              </w:rPr>
            </w:pPr>
            <w:r w:rsidRPr="002D2EB1">
              <w:rPr>
                <w:b/>
              </w:rPr>
              <w:t>mg/kg</w:t>
            </w:r>
          </w:p>
        </w:tc>
        <w:tc>
          <w:tcPr>
            <w:tcW w:w="1134" w:type="dxa"/>
            <w:shd w:val="clear" w:color="auto" w:fill="F2F2F2" w:themeFill="background1" w:themeFillShade="F2"/>
            <w:vAlign w:val="center"/>
          </w:tcPr>
          <w:p w:rsidR="0002509B" w:rsidRPr="00790328" w:rsidRDefault="0002509B" w:rsidP="005A3BDD">
            <w:pPr>
              <w:pStyle w:val="ListParagraph"/>
              <w:suppressAutoHyphens/>
              <w:spacing w:line="240" w:lineRule="atLeast"/>
              <w:ind w:left="-173" w:right="-24"/>
              <w:jc w:val="center"/>
              <w:rPr>
                <w:b/>
                <w:color w:val="244061" w:themeColor="accent1" w:themeShade="80"/>
              </w:rPr>
            </w:pPr>
            <w:r w:rsidRPr="00790328">
              <w:rPr>
                <w:b/>
                <w:color w:val="244061" w:themeColor="accent1" w:themeShade="80"/>
              </w:rPr>
              <w:t xml:space="preserve">Total EQ equivalents </w:t>
            </w:r>
            <w:r w:rsidRPr="00790328">
              <w:rPr>
                <w:b/>
                <w:color w:val="244061" w:themeColor="accent1" w:themeShade="80"/>
                <w:sz w:val="18"/>
                <w:szCs w:val="18"/>
              </w:rPr>
              <w:t xml:space="preserve">(based on efficacy in </w:t>
            </w:r>
            <w:r w:rsidRPr="0043777D">
              <w:rPr>
                <w:b/>
                <w:color w:val="244061" w:themeColor="accent1" w:themeShade="80"/>
                <w:sz w:val="18"/>
                <w:szCs w:val="18"/>
                <w:u w:val="single"/>
              </w:rPr>
              <w:t>fishmeal</w:t>
            </w:r>
            <w:r w:rsidRPr="00790328">
              <w:rPr>
                <w:b/>
                <w:color w:val="244061" w:themeColor="accent1" w:themeShade="80"/>
                <w:sz w:val="18"/>
                <w:szCs w:val="18"/>
              </w:rPr>
              <w:t>)</w:t>
            </w:r>
          </w:p>
          <w:p w:rsidR="0002509B" w:rsidRPr="00790328" w:rsidRDefault="0002509B" w:rsidP="005A3BDD">
            <w:pPr>
              <w:pStyle w:val="ListParagraph"/>
              <w:suppressAutoHyphens/>
              <w:spacing w:line="240" w:lineRule="atLeast"/>
              <w:ind w:left="-173" w:right="-24"/>
              <w:jc w:val="center"/>
              <w:rPr>
                <w:b/>
                <w:color w:val="244061" w:themeColor="accent1" w:themeShade="80"/>
              </w:rPr>
            </w:pPr>
            <w:r w:rsidRPr="00790328">
              <w:rPr>
                <w:b/>
                <w:color w:val="244061" w:themeColor="accent1" w:themeShade="80"/>
              </w:rPr>
              <w:t>mg/kg</w:t>
            </w:r>
          </w:p>
        </w:tc>
      </w:tr>
      <w:tr w:rsidR="0002509B" w:rsidTr="0002509B">
        <w:trPr>
          <w:jc w:val="center"/>
        </w:trPr>
        <w:tc>
          <w:tcPr>
            <w:tcW w:w="1980" w:type="dxa"/>
          </w:tcPr>
          <w:p w:rsidR="0002509B" w:rsidRDefault="0002509B" w:rsidP="005A3BDD">
            <w:pPr>
              <w:pStyle w:val="ListParagraph"/>
              <w:suppressAutoHyphens/>
              <w:spacing w:line="240" w:lineRule="atLeast"/>
              <w:ind w:left="0" w:right="-105"/>
            </w:pPr>
            <w:r>
              <w:t xml:space="preserve">Anchovy/pilchard: </w:t>
            </w:r>
          </w:p>
          <w:p w:rsidR="0002509B" w:rsidRPr="004B58BF" w:rsidRDefault="0002509B" w:rsidP="005A3BDD">
            <w:pPr>
              <w:pStyle w:val="ListParagraph"/>
              <w:suppressAutoHyphens/>
              <w:spacing w:line="240" w:lineRule="atLeast"/>
              <w:ind w:left="0" w:right="-105"/>
            </w:pPr>
            <w:r>
              <w:t xml:space="preserve">± 400 ppm EQ </w:t>
            </w:r>
          </w:p>
        </w:tc>
        <w:tc>
          <w:tcPr>
            <w:tcW w:w="709" w:type="dxa"/>
            <w:vAlign w:val="center"/>
          </w:tcPr>
          <w:p w:rsidR="0002509B" w:rsidRPr="00F56F49" w:rsidRDefault="0002509B" w:rsidP="005A3BDD">
            <w:pPr>
              <w:pStyle w:val="ListParagraph"/>
              <w:suppressAutoHyphens/>
              <w:spacing w:line="240" w:lineRule="atLeast"/>
              <w:ind w:left="-113" w:right="-105"/>
              <w:jc w:val="center"/>
            </w:pPr>
            <w:r w:rsidRPr="00F56F49">
              <w:t>573</w:t>
            </w:r>
          </w:p>
        </w:tc>
        <w:tc>
          <w:tcPr>
            <w:tcW w:w="1134" w:type="dxa"/>
            <w:vAlign w:val="center"/>
          </w:tcPr>
          <w:p w:rsidR="0002509B" w:rsidRPr="004B58BF" w:rsidRDefault="0002509B" w:rsidP="005A3BDD">
            <w:pPr>
              <w:pStyle w:val="ListParagraph"/>
              <w:suppressAutoHyphens/>
              <w:spacing w:line="240" w:lineRule="atLeast"/>
              <w:ind w:left="0" w:right="-105"/>
              <w:jc w:val="center"/>
            </w:pPr>
            <w:r>
              <w:t>61</w:t>
            </w:r>
          </w:p>
        </w:tc>
        <w:tc>
          <w:tcPr>
            <w:tcW w:w="904" w:type="dxa"/>
            <w:vAlign w:val="center"/>
          </w:tcPr>
          <w:p w:rsidR="0002509B" w:rsidRPr="004B58BF" w:rsidRDefault="0002509B" w:rsidP="005A3BDD">
            <w:pPr>
              <w:pStyle w:val="ListParagraph"/>
              <w:suppressAutoHyphens/>
              <w:spacing w:line="240" w:lineRule="atLeast"/>
              <w:ind w:left="-103" w:right="-105"/>
              <w:jc w:val="center"/>
            </w:pPr>
            <w:r>
              <w:t>4</w:t>
            </w:r>
          </w:p>
        </w:tc>
        <w:tc>
          <w:tcPr>
            <w:tcW w:w="868" w:type="dxa"/>
            <w:vAlign w:val="center"/>
          </w:tcPr>
          <w:p w:rsidR="0002509B" w:rsidRPr="004B58BF" w:rsidRDefault="0002509B" w:rsidP="005A3BDD">
            <w:pPr>
              <w:pStyle w:val="ListParagraph"/>
              <w:suppressAutoHyphens/>
              <w:spacing w:line="240" w:lineRule="atLeast"/>
              <w:ind w:left="-182" w:right="-105"/>
              <w:jc w:val="center"/>
            </w:pPr>
            <w:r>
              <w:t>120</w:t>
            </w:r>
          </w:p>
        </w:tc>
        <w:tc>
          <w:tcPr>
            <w:tcW w:w="1204" w:type="dxa"/>
            <w:vAlign w:val="center"/>
          </w:tcPr>
          <w:p w:rsidR="0002509B" w:rsidRPr="004B58BF" w:rsidRDefault="0002509B" w:rsidP="005A3BDD">
            <w:pPr>
              <w:pStyle w:val="ListParagraph"/>
              <w:suppressAutoHyphens/>
              <w:spacing w:line="240" w:lineRule="atLeast"/>
              <w:ind w:left="0" w:right="-105"/>
              <w:jc w:val="center"/>
            </w:pPr>
            <w:r>
              <w:t>104</w:t>
            </w:r>
          </w:p>
        </w:tc>
        <w:tc>
          <w:tcPr>
            <w:tcW w:w="1134" w:type="dxa"/>
            <w:vAlign w:val="center"/>
          </w:tcPr>
          <w:p w:rsidR="0002509B" w:rsidRPr="00790328" w:rsidRDefault="0002509B" w:rsidP="005A3BDD">
            <w:pPr>
              <w:pStyle w:val="ListParagraph"/>
              <w:suppressAutoHyphens/>
              <w:spacing w:line="240" w:lineRule="atLeast"/>
              <w:ind w:left="-110" w:right="-105"/>
              <w:jc w:val="center"/>
              <w:rPr>
                <w:color w:val="244061" w:themeColor="accent1" w:themeShade="80"/>
              </w:rPr>
            </w:pPr>
            <w:r w:rsidRPr="00790328">
              <w:rPr>
                <w:color w:val="244061" w:themeColor="accent1" w:themeShade="80"/>
              </w:rPr>
              <w:t>1</w:t>
            </w:r>
            <w:r>
              <w:rPr>
                <w:color w:val="244061" w:themeColor="accent1" w:themeShade="80"/>
              </w:rPr>
              <w:t>16</w:t>
            </w:r>
          </w:p>
        </w:tc>
      </w:tr>
      <w:tr w:rsidR="0002509B" w:rsidTr="0002509B">
        <w:trPr>
          <w:jc w:val="center"/>
        </w:trPr>
        <w:tc>
          <w:tcPr>
            <w:tcW w:w="1980" w:type="dxa"/>
          </w:tcPr>
          <w:p w:rsidR="0002509B" w:rsidRDefault="0002509B" w:rsidP="005A3BDD">
            <w:pPr>
              <w:pStyle w:val="ListParagraph"/>
              <w:suppressAutoHyphens/>
              <w:spacing w:line="240" w:lineRule="atLeast"/>
              <w:ind w:left="0" w:right="-105"/>
            </w:pPr>
            <w:r w:rsidRPr="004B58BF">
              <w:t xml:space="preserve">Maasbanker </w:t>
            </w:r>
            <w:r>
              <w:t xml:space="preserve">meal: </w:t>
            </w:r>
          </w:p>
          <w:p w:rsidR="0002509B" w:rsidRPr="004B58BF" w:rsidRDefault="0002509B" w:rsidP="005A3BDD">
            <w:pPr>
              <w:pStyle w:val="ListParagraph"/>
              <w:suppressAutoHyphens/>
              <w:spacing w:line="240" w:lineRule="atLeast"/>
              <w:ind w:left="0" w:right="-105"/>
            </w:pPr>
            <w:r>
              <w:t xml:space="preserve">± 1,000 ppm EQ </w:t>
            </w:r>
          </w:p>
        </w:tc>
        <w:tc>
          <w:tcPr>
            <w:tcW w:w="709" w:type="dxa"/>
            <w:vAlign w:val="center"/>
          </w:tcPr>
          <w:p w:rsidR="0002509B" w:rsidRPr="00F56F49" w:rsidRDefault="0002509B" w:rsidP="005A3BDD">
            <w:pPr>
              <w:pStyle w:val="ListParagraph"/>
              <w:suppressAutoHyphens/>
              <w:spacing w:line="240" w:lineRule="atLeast"/>
              <w:ind w:left="-113" w:right="-105"/>
              <w:jc w:val="center"/>
            </w:pPr>
            <w:r>
              <w:t>453</w:t>
            </w:r>
          </w:p>
        </w:tc>
        <w:tc>
          <w:tcPr>
            <w:tcW w:w="1134" w:type="dxa"/>
            <w:vAlign w:val="center"/>
          </w:tcPr>
          <w:p w:rsidR="0002509B" w:rsidRPr="004B58BF" w:rsidRDefault="0002509B" w:rsidP="005A3BDD">
            <w:pPr>
              <w:pStyle w:val="ListParagraph"/>
              <w:suppressAutoHyphens/>
              <w:spacing w:line="240" w:lineRule="atLeast"/>
              <w:ind w:left="0" w:right="-105"/>
              <w:jc w:val="center"/>
            </w:pPr>
            <w:r>
              <w:t>150</w:t>
            </w:r>
          </w:p>
        </w:tc>
        <w:tc>
          <w:tcPr>
            <w:tcW w:w="904" w:type="dxa"/>
            <w:vAlign w:val="center"/>
          </w:tcPr>
          <w:p w:rsidR="0002509B" w:rsidRPr="004B58BF" w:rsidRDefault="0002509B" w:rsidP="005A3BDD">
            <w:pPr>
              <w:pStyle w:val="ListParagraph"/>
              <w:suppressAutoHyphens/>
              <w:spacing w:line="240" w:lineRule="atLeast"/>
              <w:ind w:left="-103" w:right="-105"/>
              <w:jc w:val="center"/>
            </w:pPr>
            <w:r>
              <w:t>5</w:t>
            </w:r>
          </w:p>
        </w:tc>
        <w:tc>
          <w:tcPr>
            <w:tcW w:w="868" w:type="dxa"/>
            <w:vAlign w:val="center"/>
          </w:tcPr>
          <w:p w:rsidR="0002509B" w:rsidRPr="004B58BF" w:rsidRDefault="0002509B" w:rsidP="005A3BDD">
            <w:pPr>
              <w:pStyle w:val="ListParagraph"/>
              <w:suppressAutoHyphens/>
              <w:spacing w:line="240" w:lineRule="atLeast"/>
              <w:ind w:left="-182" w:right="-105"/>
              <w:jc w:val="center"/>
            </w:pPr>
            <w:r>
              <w:t>102</w:t>
            </w:r>
          </w:p>
        </w:tc>
        <w:tc>
          <w:tcPr>
            <w:tcW w:w="1204" w:type="dxa"/>
            <w:vAlign w:val="center"/>
          </w:tcPr>
          <w:p w:rsidR="0002509B" w:rsidRPr="004B58BF" w:rsidRDefault="0002509B" w:rsidP="005A3BDD">
            <w:pPr>
              <w:pStyle w:val="ListParagraph"/>
              <w:suppressAutoHyphens/>
              <w:spacing w:line="240" w:lineRule="atLeast"/>
              <w:ind w:left="0" w:right="-105"/>
              <w:jc w:val="center"/>
            </w:pPr>
            <w:r>
              <w:t>188</w:t>
            </w:r>
          </w:p>
        </w:tc>
        <w:tc>
          <w:tcPr>
            <w:tcW w:w="1134" w:type="dxa"/>
            <w:vAlign w:val="center"/>
          </w:tcPr>
          <w:p w:rsidR="0002509B" w:rsidRPr="00790328" w:rsidRDefault="0002509B" w:rsidP="005A3BDD">
            <w:pPr>
              <w:pStyle w:val="ListParagraph"/>
              <w:suppressAutoHyphens/>
              <w:spacing w:line="240" w:lineRule="atLeast"/>
              <w:ind w:left="-110" w:right="-105"/>
              <w:jc w:val="center"/>
              <w:rPr>
                <w:color w:val="244061" w:themeColor="accent1" w:themeShade="80"/>
              </w:rPr>
            </w:pPr>
            <w:r>
              <w:rPr>
                <w:color w:val="244061" w:themeColor="accent1" w:themeShade="80"/>
              </w:rPr>
              <w:t>198</w:t>
            </w:r>
          </w:p>
        </w:tc>
      </w:tr>
      <w:tr w:rsidR="0002509B" w:rsidTr="0002509B">
        <w:trPr>
          <w:jc w:val="center"/>
        </w:trPr>
        <w:tc>
          <w:tcPr>
            <w:tcW w:w="1980" w:type="dxa"/>
          </w:tcPr>
          <w:p w:rsidR="0002509B" w:rsidRPr="004B58BF" w:rsidRDefault="0002509B" w:rsidP="005A3BDD">
            <w:pPr>
              <w:pStyle w:val="ListParagraph"/>
              <w:suppressAutoHyphens/>
              <w:spacing w:line="240" w:lineRule="atLeast"/>
              <w:ind w:left="0" w:right="-105"/>
            </w:pPr>
            <w:r>
              <w:t>Anchovy: 400 ppm EQ</w:t>
            </w:r>
          </w:p>
        </w:tc>
        <w:tc>
          <w:tcPr>
            <w:tcW w:w="709" w:type="dxa"/>
            <w:vAlign w:val="center"/>
          </w:tcPr>
          <w:p w:rsidR="0002509B" w:rsidRPr="00F56F49" w:rsidRDefault="0002509B" w:rsidP="005A3BDD">
            <w:pPr>
              <w:pStyle w:val="ListParagraph"/>
              <w:suppressAutoHyphens/>
              <w:spacing w:line="240" w:lineRule="atLeast"/>
              <w:ind w:left="-113" w:right="-105"/>
              <w:jc w:val="center"/>
            </w:pPr>
            <w:r>
              <w:t>244</w:t>
            </w:r>
          </w:p>
        </w:tc>
        <w:tc>
          <w:tcPr>
            <w:tcW w:w="1134" w:type="dxa"/>
            <w:vAlign w:val="center"/>
          </w:tcPr>
          <w:p w:rsidR="0002509B" w:rsidRPr="004B58BF" w:rsidRDefault="0002509B" w:rsidP="005A3BDD">
            <w:pPr>
              <w:pStyle w:val="ListParagraph"/>
              <w:suppressAutoHyphens/>
              <w:spacing w:line="240" w:lineRule="atLeast"/>
              <w:ind w:left="0" w:right="-105"/>
              <w:jc w:val="center"/>
            </w:pPr>
            <w:r>
              <w:t>323</w:t>
            </w:r>
          </w:p>
        </w:tc>
        <w:tc>
          <w:tcPr>
            <w:tcW w:w="904" w:type="dxa"/>
            <w:vAlign w:val="center"/>
          </w:tcPr>
          <w:p w:rsidR="0002509B" w:rsidRPr="004B58BF" w:rsidRDefault="0002509B" w:rsidP="005A3BDD">
            <w:pPr>
              <w:pStyle w:val="ListParagraph"/>
              <w:suppressAutoHyphens/>
              <w:spacing w:line="240" w:lineRule="atLeast"/>
              <w:ind w:left="-103" w:right="-105"/>
              <w:jc w:val="center"/>
            </w:pPr>
            <w:r>
              <w:t>14</w:t>
            </w:r>
          </w:p>
        </w:tc>
        <w:tc>
          <w:tcPr>
            <w:tcW w:w="868" w:type="dxa"/>
            <w:vAlign w:val="center"/>
          </w:tcPr>
          <w:p w:rsidR="0002509B" w:rsidRPr="004B58BF" w:rsidRDefault="0002509B" w:rsidP="005A3BDD">
            <w:pPr>
              <w:pStyle w:val="ListParagraph"/>
              <w:suppressAutoHyphens/>
              <w:spacing w:line="240" w:lineRule="atLeast"/>
              <w:ind w:left="-182" w:right="-105"/>
              <w:jc w:val="center"/>
            </w:pPr>
            <w:r>
              <w:t>74</w:t>
            </w:r>
          </w:p>
        </w:tc>
        <w:tc>
          <w:tcPr>
            <w:tcW w:w="1204" w:type="dxa"/>
            <w:vAlign w:val="center"/>
          </w:tcPr>
          <w:p w:rsidR="0002509B" w:rsidRPr="004B58BF" w:rsidRDefault="0002509B" w:rsidP="005A3BDD">
            <w:pPr>
              <w:pStyle w:val="ListParagraph"/>
              <w:suppressAutoHyphens/>
              <w:spacing w:line="240" w:lineRule="atLeast"/>
              <w:ind w:left="0" w:right="-105"/>
              <w:jc w:val="center"/>
            </w:pPr>
            <w:r>
              <w:t>358</w:t>
            </w:r>
          </w:p>
        </w:tc>
        <w:tc>
          <w:tcPr>
            <w:tcW w:w="1134" w:type="dxa"/>
            <w:vAlign w:val="center"/>
          </w:tcPr>
          <w:p w:rsidR="0002509B" w:rsidRPr="00790328" w:rsidRDefault="0002509B" w:rsidP="005A3BDD">
            <w:pPr>
              <w:pStyle w:val="ListParagraph"/>
              <w:suppressAutoHyphens/>
              <w:spacing w:line="240" w:lineRule="atLeast"/>
              <w:ind w:left="-110" w:right="-105"/>
              <w:jc w:val="center"/>
              <w:rPr>
                <w:color w:val="244061" w:themeColor="accent1" w:themeShade="80"/>
              </w:rPr>
            </w:pPr>
            <w:r>
              <w:rPr>
                <w:color w:val="244061" w:themeColor="accent1" w:themeShade="80"/>
              </w:rPr>
              <w:t>364</w:t>
            </w:r>
          </w:p>
        </w:tc>
      </w:tr>
      <w:tr w:rsidR="0002509B" w:rsidTr="0002509B">
        <w:trPr>
          <w:jc w:val="center"/>
        </w:trPr>
        <w:tc>
          <w:tcPr>
            <w:tcW w:w="1980" w:type="dxa"/>
          </w:tcPr>
          <w:p w:rsidR="0002509B" w:rsidRPr="004B58BF" w:rsidRDefault="0002509B" w:rsidP="005A3BDD">
            <w:pPr>
              <w:pStyle w:val="ListParagraph"/>
              <w:suppressAutoHyphens/>
              <w:spacing w:line="240" w:lineRule="atLeast"/>
              <w:ind w:left="0" w:right="-105"/>
            </w:pPr>
            <w:r>
              <w:t>Anchovy: 400 ppm EQ</w:t>
            </w:r>
          </w:p>
        </w:tc>
        <w:tc>
          <w:tcPr>
            <w:tcW w:w="709" w:type="dxa"/>
            <w:vAlign w:val="center"/>
          </w:tcPr>
          <w:p w:rsidR="0002509B" w:rsidRPr="00F56F49" w:rsidRDefault="0002509B" w:rsidP="005A3BDD">
            <w:pPr>
              <w:pStyle w:val="ListParagraph"/>
              <w:suppressAutoHyphens/>
              <w:spacing w:line="240" w:lineRule="atLeast"/>
              <w:ind w:left="-113" w:right="-105"/>
              <w:jc w:val="center"/>
            </w:pPr>
            <w:r>
              <w:t>347</w:t>
            </w:r>
          </w:p>
        </w:tc>
        <w:tc>
          <w:tcPr>
            <w:tcW w:w="1134" w:type="dxa"/>
            <w:vAlign w:val="center"/>
          </w:tcPr>
          <w:p w:rsidR="0002509B" w:rsidRPr="004B58BF" w:rsidRDefault="0002509B" w:rsidP="005A3BDD">
            <w:pPr>
              <w:pStyle w:val="ListParagraph"/>
              <w:suppressAutoHyphens/>
              <w:spacing w:line="240" w:lineRule="atLeast"/>
              <w:ind w:left="0" w:right="-105"/>
              <w:jc w:val="center"/>
            </w:pPr>
            <w:r>
              <w:t>87</w:t>
            </w:r>
          </w:p>
        </w:tc>
        <w:tc>
          <w:tcPr>
            <w:tcW w:w="904" w:type="dxa"/>
            <w:vAlign w:val="center"/>
          </w:tcPr>
          <w:p w:rsidR="0002509B" w:rsidRPr="004B58BF" w:rsidRDefault="0002509B" w:rsidP="005A3BDD">
            <w:pPr>
              <w:pStyle w:val="ListParagraph"/>
              <w:suppressAutoHyphens/>
              <w:spacing w:line="240" w:lineRule="atLeast"/>
              <w:ind w:left="-103" w:right="-105"/>
              <w:jc w:val="center"/>
            </w:pPr>
            <w:r>
              <w:t>22</w:t>
            </w:r>
          </w:p>
        </w:tc>
        <w:tc>
          <w:tcPr>
            <w:tcW w:w="868" w:type="dxa"/>
            <w:vAlign w:val="center"/>
          </w:tcPr>
          <w:p w:rsidR="0002509B" w:rsidRPr="004B58BF" w:rsidRDefault="0002509B" w:rsidP="005A3BDD">
            <w:pPr>
              <w:pStyle w:val="ListParagraph"/>
              <w:suppressAutoHyphens/>
              <w:spacing w:line="240" w:lineRule="atLeast"/>
              <w:ind w:left="-182" w:right="-105"/>
              <w:jc w:val="center"/>
            </w:pPr>
            <w:r>
              <w:t>96</w:t>
            </w:r>
          </w:p>
        </w:tc>
        <w:tc>
          <w:tcPr>
            <w:tcW w:w="1204" w:type="dxa"/>
            <w:vAlign w:val="center"/>
          </w:tcPr>
          <w:p w:rsidR="0002509B" w:rsidRPr="004B58BF" w:rsidRDefault="0002509B" w:rsidP="005A3BDD">
            <w:pPr>
              <w:pStyle w:val="ListParagraph"/>
              <w:suppressAutoHyphens/>
              <w:spacing w:line="240" w:lineRule="atLeast"/>
              <w:ind w:left="0" w:right="-105"/>
              <w:jc w:val="center"/>
            </w:pPr>
            <w:r>
              <w:t>136</w:t>
            </w:r>
          </w:p>
        </w:tc>
        <w:tc>
          <w:tcPr>
            <w:tcW w:w="1134" w:type="dxa"/>
            <w:vAlign w:val="center"/>
          </w:tcPr>
          <w:p w:rsidR="0002509B" w:rsidRPr="00790328" w:rsidRDefault="0002509B" w:rsidP="005A3BDD">
            <w:pPr>
              <w:pStyle w:val="ListParagraph"/>
              <w:suppressAutoHyphens/>
              <w:spacing w:line="240" w:lineRule="atLeast"/>
              <w:ind w:left="-110" w:right="-105"/>
              <w:jc w:val="center"/>
              <w:rPr>
                <w:color w:val="244061" w:themeColor="accent1" w:themeShade="80"/>
              </w:rPr>
            </w:pPr>
            <w:r>
              <w:rPr>
                <w:color w:val="244061" w:themeColor="accent1" w:themeShade="80"/>
              </w:rPr>
              <w:t>133</w:t>
            </w:r>
          </w:p>
        </w:tc>
      </w:tr>
      <w:tr w:rsidR="0002509B" w:rsidTr="0002509B">
        <w:trPr>
          <w:jc w:val="center"/>
        </w:trPr>
        <w:tc>
          <w:tcPr>
            <w:tcW w:w="1980" w:type="dxa"/>
          </w:tcPr>
          <w:p w:rsidR="0002509B" w:rsidRPr="004B58BF" w:rsidRDefault="0002509B" w:rsidP="005A3BDD">
            <w:pPr>
              <w:pStyle w:val="ListParagraph"/>
              <w:suppressAutoHyphens/>
              <w:spacing w:line="240" w:lineRule="atLeast"/>
              <w:ind w:left="0" w:right="-105"/>
            </w:pPr>
            <w:r>
              <w:t>Anchovy: 400 ppm EQ</w:t>
            </w:r>
          </w:p>
        </w:tc>
        <w:tc>
          <w:tcPr>
            <w:tcW w:w="709" w:type="dxa"/>
            <w:vAlign w:val="center"/>
          </w:tcPr>
          <w:p w:rsidR="0002509B" w:rsidRPr="00F56F49" w:rsidRDefault="0002509B" w:rsidP="005A3BDD">
            <w:pPr>
              <w:pStyle w:val="ListParagraph"/>
              <w:suppressAutoHyphens/>
              <w:spacing w:line="240" w:lineRule="atLeast"/>
              <w:ind w:left="-113" w:right="-105"/>
              <w:jc w:val="center"/>
            </w:pPr>
            <w:r>
              <w:t>365</w:t>
            </w:r>
          </w:p>
        </w:tc>
        <w:tc>
          <w:tcPr>
            <w:tcW w:w="1134" w:type="dxa"/>
            <w:vAlign w:val="center"/>
          </w:tcPr>
          <w:p w:rsidR="0002509B" w:rsidRPr="004B58BF" w:rsidRDefault="0002509B" w:rsidP="005A3BDD">
            <w:pPr>
              <w:pStyle w:val="ListParagraph"/>
              <w:suppressAutoHyphens/>
              <w:spacing w:line="240" w:lineRule="atLeast"/>
              <w:ind w:left="0" w:right="-105"/>
              <w:jc w:val="center"/>
            </w:pPr>
            <w:r>
              <w:t>20</w:t>
            </w:r>
          </w:p>
        </w:tc>
        <w:tc>
          <w:tcPr>
            <w:tcW w:w="904" w:type="dxa"/>
            <w:vAlign w:val="center"/>
          </w:tcPr>
          <w:p w:rsidR="0002509B" w:rsidRPr="004B58BF" w:rsidRDefault="0002509B" w:rsidP="005A3BDD">
            <w:pPr>
              <w:pStyle w:val="ListParagraph"/>
              <w:suppressAutoHyphens/>
              <w:spacing w:line="240" w:lineRule="atLeast"/>
              <w:ind w:left="-103" w:right="-105"/>
              <w:jc w:val="center"/>
            </w:pPr>
            <w:r>
              <w:t>2</w:t>
            </w:r>
          </w:p>
        </w:tc>
        <w:tc>
          <w:tcPr>
            <w:tcW w:w="868" w:type="dxa"/>
            <w:vAlign w:val="center"/>
          </w:tcPr>
          <w:p w:rsidR="0002509B" w:rsidRPr="004B58BF" w:rsidRDefault="0002509B" w:rsidP="005A3BDD">
            <w:pPr>
              <w:pStyle w:val="ListParagraph"/>
              <w:suppressAutoHyphens/>
              <w:spacing w:line="240" w:lineRule="atLeast"/>
              <w:ind w:left="-182" w:right="-105"/>
              <w:jc w:val="center"/>
            </w:pPr>
            <w:r>
              <w:t>76</w:t>
            </w:r>
          </w:p>
        </w:tc>
        <w:tc>
          <w:tcPr>
            <w:tcW w:w="1204" w:type="dxa"/>
            <w:vAlign w:val="center"/>
          </w:tcPr>
          <w:p w:rsidR="0002509B" w:rsidRPr="004B58BF" w:rsidRDefault="0002509B" w:rsidP="005A3BDD">
            <w:pPr>
              <w:pStyle w:val="ListParagraph"/>
              <w:suppressAutoHyphens/>
              <w:spacing w:line="240" w:lineRule="atLeast"/>
              <w:ind w:left="0" w:right="-105"/>
              <w:jc w:val="center"/>
            </w:pPr>
            <w:r>
              <w:t>47</w:t>
            </w:r>
          </w:p>
        </w:tc>
        <w:tc>
          <w:tcPr>
            <w:tcW w:w="1134" w:type="dxa"/>
            <w:vAlign w:val="center"/>
          </w:tcPr>
          <w:p w:rsidR="0002509B" w:rsidRPr="00790328" w:rsidRDefault="0002509B" w:rsidP="005A3BDD">
            <w:pPr>
              <w:pStyle w:val="ListParagraph"/>
              <w:suppressAutoHyphens/>
              <w:spacing w:line="240" w:lineRule="atLeast"/>
              <w:ind w:left="-110" w:right="-105"/>
              <w:jc w:val="center"/>
              <w:rPr>
                <w:color w:val="244061" w:themeColor="accent1" w:themeShade="80"/>
              </w:rPr>
            </w:pPr>
            <w:r>
              <w:rPr>
                <w:color w:val="244061" w:themeColor="accent1" w:themeShade="80"/>
              </w:rPr>
              <w:t>55</w:t>
            </w:r>
          </w:p>
        </w:tc>
      </w:tr>
    </w:tbl>
    <w:p w:rsidR="000664C7" w:rsidRDefault="00FE7AEE" w:rsidP="000664C7">
      <w:pPr>
        <w:pStyle w:val="SingleTxtG"/>
        <w:spacing w:before="120"/>
      </w:pPr>
      <w:r>
        <w:t>25</w:t>
      </w:r>
      <w:r w:rsidR="000664C7">
        <w:t>.</w:t>
      </w:r>
      <w:r w:rsidR="000664C7">
        <w:tab/>
        <w:t>As shown earlier the efficacy values of antioxidants differ in fish oil and fishmeal. The total EQ equivalents (based on efficacy in fish oil) in Table 5 were calculated based on information available at the time that calculated the relative antioxidant activities of the oxidation products to ethoxyquin in fish oil. Later work</w:t>
      </w:r>
      <w:r w:rsidR="000664C7">
        <w:rPr>
          <w:vertAlign w:val="superscript"/>
        </w:rPr>
        <w:t>5</w:t>
      </w:r>
      <w:r w:rsidR="000664C7">
        <w:t xml:space="preserve"> determined the antioxidant activities based on fish meal and this was used to calculate the total EQ equivalents (based on efficacy in fish meal) on the final day of storage. </w:t>
      </w:r>
      <w:r w:rsidR="000664C7" w:rsidRPr="00DA5E5E">
        <w:t>To allow for variation in efficacy fro</w:t>
      </w:r>
      <w:r w:rsidR="000664C7">
        <w:t xml:space="preserve">m </w:t>
      </w:r>
    </w:p>
    <w:p w:rsidR="000664C7" w:rsidRDefault="000664C7">
      <w:pPr>
        <w:suppressAutoHyphens w:val="0"/>
        <w:spacing w:line="240" w:lineRule="auto"/>
      </w:pPr>
      <w:r>
        <w:br w:type="page"/>
      </w:r>
    </w:p>
    <w:p w:rsidR="000664C7" w:rsidRDefault="000664C7" w:rsidP="000664C7">
      <w:pPr>
        <w:pStyle w:val="SingleTxtG"/>
        <w:spacing w:before="120"/>
      </w:pPr>
      <w:r>
        <w:lastRenderedPageBreak/>
        <w:t xml:space="preserve">one meal to another, a safety </w:t>
      </w:r>
      <w:r w:rsidRPr="00DA5E5E">
        <w:t>margin was calculated from the statistical variation in results (90% lower</w:t>
      </w:r>
      <w:r>
        <w:t xml:space="preserve"> </w:t>
      </w:r>
      <w:r w:rsidRPr="00DA5E5E">
        <w:t>confidence limit for an individual meal as used, giving relative efficacies of 63% for</w:t>
      </w:r>
      <w:r>
        <w:t xml:space="preserve"> </w:t>
      </w:r>
      <w:r w:rsidRPr="00DA5E5E">
        <w:t xml:space="preserve">quinolone and 44% for the dimer). </w:t>
      </w:r>
      <w:r>
        <w:t xml:space="preserve"> The formula used to calculate the ethoxyquin equivalents was: </w:t>
      </w:r>
    </w:p>
    <w:p w:rsidR="005A3BDD" w:rsidRPr="005A3BDD" w:rsidRDefault="005A3BDD" w:rsidP="005A3BDD">
      <w:pPr>
        <w:pStyle w:val="SingleTxtG"/>
        <w:jc w:val="center"/>
        <w:rPr>
          <w:b/>
          <w:lang w:val="es-ES"/>
        </w:rPr>
      </w:pPr>
      <w:r w:rsidRPr="005A3BDD">
        <w:rPr>
          <w:b/>
          <w:lang w:val="es-ES"/>
        </w:rPr>
        <w:t>Total EQ equivalence = EQ + (0.63 x Quinolone) + (0.44 x EQ-dimer)</w:t>
      </w:r>
    </w:p>
    <w:p w:rsidR="008A59C7" w:rsidRDefault="00FE7AEE" w:rsidP="008A59C7">
      <w:pPr>
        <w:pStyle w:val="SingleTxtG"/>
      </w:pPr>
      <w:r>
        <w:t>26</w:t>
      </w:r>
      <w:r w:rsidR="008A59C7">
        <w:t>.</w:t>
      </w:r>
      <w:r w:rsidR="008A59C7">
        <w:tab/>
      </w:r>
      <w:r w:rsidR="008A59C7" w:rsidRPr="00DA5E5E">
        <w:t>It is clear that the oxidation products contribute significantly to the efficacy of ethoxyquin and these additional antioxidants should be taken into account when the ethoxyquin content at the time of shipment is considered.  The oxidation products can add from 16% (fishmeal that has been stored for shortest period) to 73% additional antioxidant protection over and above that of ethoxyquin on its own.  The stipulated antioxidant content of 100 ppm at the time of consignment could therefore be adjusted to allow for the additional antioxidant activity of ethoxyquin and its oxidation products compared to alternative antioxidants.</w:t>
      </w:r>
    </w:p>
    <w:p w:rsidR="008A59C7" w:rsidRDefault="00FE7AEE" w:rsidP="008A59C7">
      <w:pPr>
        <w:pStyle w:val="SingleTxtG"/>
      </w:pPr>
      <w:r>
        <w:t>27</w:t>
      </w:r>
      <w:r w:rsidR="008A59C7">
        <w:t>.</w:t>
      </w:r>
      <w:r w:rsidR="008A59C7">
        <w:tab/>
      </w:r>
      <w:r w:rsidR="008A59C7" w:rsidRPr="00AD1818">
        <w:t>The current 100ppm residual ethoxyquin requirement in fishmeal works out to be 25-10% respectively, of the 400-1000ppm ethoxyquin IMDG dosage requirement.  According to the data in Table 5 the residual ethoxyquin accounts for between 40 – 88% of the total antioxidant activity after a long storage period (8.5 – 20.5 months).  Therefore 60 ppm residual ethoxyquin would in effect be 68 – 150 ppm of active antioxidant. This range of total residual antioxidant will therefore be 23 – 50% remaining of the proven effective lower dosage level of EQ of 300ppm. In addition, the low 50ppm ethoxyquin dosage has shown to actively protect fishmeal against oxidation as can be seen by the similar induction period to BHT in the oxygen bomb test and the limited decrease in omega-3 fatty acids similar to the 300ppm ethoxyquin. A residual of 60 ppm ethoxyquin</w:t>
      </w:r>
      <w:r w:rsidR="008A59C7">
        <w:t>,</w:t>
      </w:r>
      <w:r w:rsidR="008A59C7" w:rsidRPr="00AD1818">
        <w:t xml:space="preserve"> </w:t>
      </w:r>
      <w:r w:rsidR="008A59C7">
        <w:t>which</w:t>
      </w:r>
      <w:r w:rsidR="008A59C7" w:rsidRPr="00AD1818">
        <w:t xml:space="preserve"> is nearly 2/3 of the amount of less active alternative antioxidants such as BHT</w:t>
      </w:r>
      <w:r w:rsidR="008A59C7">
        <w:t xml:space="preserve">, </w:t>
      </w:r>
      <w:r w:rsidR="008A59C7" w:rsidRPr="00AD1818">
        <w:t>would therefore provide safe protection against further oxidation.</w:t>
      </w:r>
      <w:r w:rsidR="008A59C7">
        <w:t xml:space="preserve"> </w:t>
      </w:r>
      <w:r w:rsidR="008A59C7" w:rsidRPr="00AD1818">
        <w:t>BHT has shown to have roughly 2/3 (Table 5) of the activity of ethoxyquin and requires 100ppm residual in fishmeal at time of shipment</w:t>
      </w:r>
      <w:r w:rsidR="008A59C7">
        <w:t>. Therefore, lower residual level for ethoxyquin in line with its comparable efficacy should be allowed for</w:t>
      </w:r>
      <w:r w:rsidR="008A59C7" w:rsidRPr="00AD1818">
        <w:t xml:space="preserve">.  </w:t>
      </w:r>
    </w:p>
    <w:p w:rsidR="008A59C7" w:rsidRPr="00C3241C" w:rsidRDefault="00FE7AEE" w:rsidP="008A59C7">
      <w:pPr>
        <w:pStyle w:val="SingleTxtG"/>
      </w:pPr>
      <w:r>
        <w:t>28</w:t>
      </w:r>
      <w:r w:rsidR="008A59C7">
        <w:t>.</w:t>
      </w:r>
      <w:r w:rsidR="008A59C7">
        <w:tab/>
      </w:r>
      <w:r w:rsidR="008A59C7" w:rsidRPr="00C3241C">
        <w:t>Natural antioxidant alternatives are increasingly demanded by pet food and feed manufacturers and is used in the growing organic aquaculture industry as well as in pet food for animals’ sensitive to ethoxyquin.</w:t>
      </w:r>
    </w:p>
    <w:p w:rsidR="008A59C7" w:rsidRPr="00C3241C" w:rsidRDefault="008A59C7" w:rsidP="008A59C7">
      <w:pPr>
        <w:pStyle w:val="SingleTxtG"/>
      </w:pPr>
      <w:r w:rsidRPr="00C3241C">
        <w:t xml:space="preserve">Tocopherols have successfully been used with Special Exemptions since 1995 to ship and store stabilise fishmeal. </w:t>
      </w:r>
    </w:p>
    <w:p w:rsidR="008A59C7" w:rsidRPr="00C3241C" w:rsidRDefault="008A59C7" w:rsidP="008A59C7">
      <w:pPr>
        <w:pStyle w:val="Bullet1G"/>
      </w:pPr>
      <w:r w:rsidRPr="00C3241C">
        <w:t>Self-heating test data on the stabilisation of fishmeal by the application of tocopherol products have indicated their safety</w:t>
      </w:r>
      <w:r>
        <w:t xml:space="preserve"> (the evidence will be submitted at a later date once available)</w:t>
      </w:r>
      <w:r w:rsidRPr="00C3241C">
        <w:t>.</w:t>
      </w:r>
    </w:p>
    <w:p w:rsidR="002C495A" w:rsidRDefault="008A59C7" w:rsidP="008A59C7">
      <w:pPr>
        <w:pStyle w:val="Bullet1G"/>
      </w:pPr>
      <w:r w:rsidRPr="00C3241C">
        <w:t>Special exemptions (Permits) have been issued by the following authorities allowing tocopherol products instead of synthetic antioxidants to stabilise fishmeal</w:t>
      </w:r>
      <w:r>
        <w:t>:</w:t>
      </w:r>
    </w:p>
    <w:p w:rsidR="002C495A" w:rsidRDefault="008A59C7" w:rsidP="008A59C7">
      <w:pPr>
        <w:pStyle w:val="SingleTxtG"/>
        <w:ind w:firstLine="397"/>
      </w:pPr>
      <w:r>
        <w:tab/>
      </w:r>
      <w:r w:rsidRPr="008A59C7">
        <w:t>Australian</w:t>
      </w:r>
      <w:r w:rsidRPr="00C3241C">
        <w:t xml:space="preserve"> Maritime Safety Authorization</w:t>
      </w:r>
    </w:p>
    <w:p w:rsidR="008A59C7" w:rsidRDefault="008A59C7" w:rsidP="008A59C7">
      <w:pPr>
        <w:pStyle w:val="SingleTxtG"/>
        <w:ind w:firstLine="567"/>
        <w:jc w:val="left"/>
      </w:pPr>
      <w:r>
        <w:t xml:space="preserve">Armada de Chile </w:t>
      </w:r>
    </w:p>
    <w:p w:rsidR="008A59C7" w:rsidRDefault="008A59C7" w:rsidP="008A59C7">
      <w:pPr>
        <w:pStyle w:val="SingleTxtG"/>
        <w:ind w:firstLine="567"/>
        <w:jc w:val="left"/>
      </w:pPr>
      <w:r w:rsidRPr="00C3241C">
        <w:t xml:space="preserve">Bremen Port Authority (Germany) </w:t>
      </w:r>
    </w:p>
    <w:p w:rsidR="008A59C7" w:rsidRDefault="008A59C7" w:rsidP="008A59C7">
      <w:pPr>
        <w:pStyle w:val="SingleTxtG"/>
        <w:ind w:firstLine="567"/>
        <w:jc w:val="left"/>
      </w:pPr>
      <w:r w:rsidRPr="00C3241C">
        <w:t>Federale Overhe</w:t>
      </w:r>
      <w:r>
        <w:t>idsdienst Mobiliteit en Vervoer</w:t>
      </w:r>
      <w:r w:rsidRPr="00C3241C">
        <w:t xml:space="preserve"> </w:t>
      </w:r>
    </w:p>
    <w:p w:rsidR="008A59C7" w:rsidRDefault="008A59C7" w:rsidP="008A59C7">
      <w:pPr>
        <w:pStyle w:val="SingleTxtG"/>
        <w:ind w:firstLine="567"/>
        <w:jc w:val="left"/>
      </w:pPr>
      <w:r w:rsidRPr="00C3241C">
        <w:t xml:space="preserve">Scheepvaartcontrole </w:t>
      </w:r>
      <w:r w:rsidRPr="00C3241C">
        <w:tab/>
        <w:t xml:space="preserve"> (Belgium)</w:t>
      </w:r>
    </w:p>
    <w:p w:rsidR="008A59C7" w:rsidRDefault="008A59C7" w:rsidP="008A59C7">
      <w:pPr>
        <w:pStyle w:val="SingleTxtG"/>
        <w:ind w:firstLine="567"/>
        <w:jc w:val="left"/>
      </w:pPr>
      <w:r w:rsidRPr="00C3241C">
        <w:t xml:space="preserve">United States Department of Transportation </w:t>
      </w:r>
    </w:p>
    <w:p w:rsidR="002C495A" w:rsidRDefault="008A59C7" w:rsidP="008A59C7">
      <w:pPr>
        <w:pStyle w:val="SingleTxtG"/>
        <w:ind w:firstLine="567"/>
        <w:jc w:val="left"/>
      </w:pPr>
      <w:r w:rsidRPr="00C3241C">
        <w:t>United States Coast Guard</w:t>
      </w:r>
    </w:p>
    <w:p w:rsidR="002C495A" w:rsidRDefault="002C495A" w:rsidP="008A59C7">
      <w:pPr>
        <w:pStyle w:val="SingleTxtG"/>
      </w:pPr>
    </w:p>
    <w:p w:rsidR="00B46165" w:rsidRDefault="00B46165" w:rsidP="00B46165">
      <w:pPr>
        <w:pStyle w:val="HChG"/>
        <w:rPr>
          <w:lang w:val="en-US"/>
        </w:rPr>
      </w:pPr>
      <w:r>
        <w:rPr>
          <w:lang w:val="en-US"/>
        </w:rPr>
        <w:lastRenderedPageBreak/>
        <w:tab/>
      </w:r>
      <w:r>
        <w:rPr>
          <w:lang w:val="en-US"/>
        </w:rPr>
        <w:tab/>
      </w:r>
      <w:r w:rsidRPr="00AD28B3">
        <w:rPr>
          <w:lang w:val="en-US"/>
        </w:rPr>
        <w:t>Proposal</w:t>
      </w:r>
    </w:p>
    <w:p w:rsidR="00B46165" w:rsidRPr="00D025B0" w:rsidRDefault="00B46165" w:rsidP="00B46165">
      <w:pPr>
        <w:pStyle w:val="SingleTxtG"/>
      </w:pPr>
      <w:r w:rsidRPr="00D025B0">
        <w:t>The</w:t>
      </w:r>
      <w:r>
        <w:t xml:space="preserve"> following Special P</w:t>
      </w:r>
      <w:r w:rsidRPr="00D025B0">
        <w:t>rovisions</w:t>
      </w:r>
      <w:r>
        <w:t xml:space="preserve"> for fishmeal (UN 2216) are written into the </w:t>
      </w:r>
      <w:r w:rsidRPr="00D025B0">
        <w:t xml:space="preserve">current UN Model Regulations </w:t>
      </w:r>
      <w:r>
        <w:t xml:space="preserve">(Rev 19): </w:t>
      </w:r>
    </w:p>
    <w:p w:rsidR="00B46165" w:rsidRPr="00D025B0" w:rsidRDefault="00B46165" w:rsidP="00B46165">
      <w:pPr>
        <w:pStyle w:val="SingleTxtG"/>
      </w:pPr>
      <w:r w:rsidRPr="00D025B0">
        <w:t>29</w:t>
      </w:r>
      <w:r w:rsidRPr="00D025B0">
        <w:tab/>
        <w:t xml:space="preserve">This substance is exempt from labelling, but shall be marked with the appropriate </w:t>
      </w:r>
      <w:r>
        <w:tab/>
      </w:r>
      <w:r w:rsidRPr="00D025B0">
        <w:t xml:space="preserve">class or division. </w:t>
      </w:r>
    </w:p>
    <w:p w:rsidR="00B46165" w:rsidRPr="00D025B0" w:rsidRDefault="00B46165" w:rsidP="00B46165">
      <w:pPr>
        <w:pStyle w:val="SingleTxtG"/>
      </w:pPr>
      <w:r w:rsidRPr="00D025B0">
        <w:t>117</w:t>
      </w:r>
      <w:r w:rsidRPr="00D025B0">
        <w:tab/>
        <w:t>Subject to these Regulations only when transported by sea.</w:t>
      </w:r>
    </w:p>
    <w:p w:rsidR="00B46165" w:rsidRPr="00D025B0" w:rsidRDefault="00B46165" w:rsidP="00B46165">
      <w:pPr>
        <w:pStyle w:val="SingleTxtG"/>
      </w:pPr>
      <w:r w:rsidRPr="00D025B0">
        <w:t>300</w:t>
      </w:r>
      <w:r w:rsidRPr="00D025B0">
        <w:tab/>
        <w:t xml:space="preserve">Fish meal, fish scrap and krill meal shall not be transported if the temperature at the </w:t>
      </w:r>
      <w:r>
        <w:tab/>
      </w:r>
      <w:r w:rsidRPr="00D025B0">
        <w:t xml:space="preserve">time of loading exceeds 35°C or 5°C above ambient temperature whichever is </w:t>
      </w:r>
      <w:r>
        <w:tab/>
      </w:r>
      <w:r w:rsidRPr="00D025B0">
        <w:t>higher.</w:t>
      </w:r>
    </w:p>
    <w:p w:rsidR="00B46165" w:rsidRPr="00D025B0" w:rsidRDefault="00B46165" w:rsidP="00B46165">
      <w:pPr>
        <w:pStyle w:val="SingleTxtG"/>
      </w:pPr>
      <w:r w:rsidRPr="00D025B0">
        <w:t>308</w:t>
      </w:r>
      <w:r w:rsidRPr="00D025B0">
        <w:tab/>
        <w:t xml:space="preserve">Fish meal or fish scrap shall contain at least 100 ppm (mg/kg) of antioxidant </w:t>
      </w:r>
      <w:r>
        <w:tab/>
      </w:r>
      <w:r w:rsidRPr="00D025B0">
        <w:t>(ethoxyquin) at the time of consignment.</w:t>
      </w:r>
    </w:p>
    <w:p w:rsidR="00B46165" w:rsidRDefault="00B46165" w:rsidP="00B46165">
      <w:pPr>
        <w:pStyle w:val="SingleTxtG"/>
      </w:pPr>
      <w:r w:rsidRPr="00D025B0">
        <w:t>The</w:t>
      </w:r>
      <w:r>
        <w:t xml:space="preserve"> IMDG code has apart from the SPs above the following additional SPs:</w:t>
      </w:r>
    </w:p>
    <w:p w:rsidR="00B46165" w:rsidRPr="00D025B0" w:rsidRDefault="00B46165" w:rsidP="00B46165">
      <w:pPr>
        <w:pStyle w:val="SingleTxtG"/>
        <w:ind w:left="1701" w:hanging="567"/>
      </w:pPr>
      <w:r w:rsidRPr="00D025B0">
        <w:t>907</w:t>
      </w:r>
      <w:r w:rsidRPr="00D025B0">
        <w:tab/>
        <w:t>The consignment shall be accompanied by a certificate from a recognized authority stating:</w:t>
      </w:r>
      <w:r>
        <w:t xml:space="preserve"> </w:t>
      </w:r>
      <w:r w:rsidRPr="00D025B0">
        <w:t>moisture content;</w:t>
      </w:r>
      <w:r>
        <w:t xml:space="preserve"> </w:t>
      </w:r>
      <w:r w:rsidRPr="00D025B0">
        <w:t>fat content;</w:t>
      </w:r>
      <w:r>
        <w:t xml:space="preserve"> </w:t>
      </w:r>
      <w:r w:rsidRPr="00D025B0">
        <w:t>details of anti-oxidant treatment for meals older than 6 months (for UN 2216 only);</w:t>
      </w:r>
      <w:r>
        <w:t xml:space="preserve"> </w:t>
      </w:r>
      <w:r w:rsidRPr="00D025B0">
        <w:t>anti-oxidant concentration at the time of shipment, which must exceed 100 mg/kg (for UN 2216 only);</w:t>
      </w:r>
      <w:r>
        <w:t xml:space="preserve"> </w:t>
      </w:r>
      <w:r w:rsidRPr="00D025B0">
        <w:t>packing, number of bags and total mass of the consignment;</w:t>
      </w:r>
      <w:r>
        <w:t xml:space="preserve"> </w:t>
      </w:r>
      <w:r w:rsidRPr="00D025B0">
        <w:t>temperature of fishmeal at the time of despatch from the factory;</w:t>
      </w:r>
      <w:r>
        <w:t xml:space="preserve"> </w:t>
      </w:r>
      <w:r w:rsidRPr="00D025B0">
        <w:t>date of production.</w:t>
      </w:r>
    </w:p>
    <w:p w:rsidR="00B46165" w:rsidRPr="00D025B0" w:rsidRDefault="00B46165" w:rsidP="00B46165">
      <w:pPr>
        <w:pStyle w:val="SingleTxtG"/>
        <w:ind w:left="1701" w:hanging="567"/>
      </w:pPr>
      <w:r>
        <w:tab/>
      </w:r>
      <w:r w:rsidRPr="00D025B0">
        <w:t>No weathering/curing is required prior to loading. Fishmeal under UN 1374 shall have been weathered for not less than 28 days before shipment. When fishmeal is packed into containers, the containers shall be packed in such a way that the free air space has been restricted to the minimum.</w:t>
      </w:r>
    </w:p>
    <w:p w:rsidR="00B46165" w:rsidRPr="00D025B0" w:rsidRDefault="00B46165" w:rsidP="00B46165">
      <w:pPr>
        <w:pStyle w:val="SingleTxtG"/>
      </w:pPr>
      <w:r w:rsidRPr="00D025B0">
        <w:t xml:space="preserve">928 </w:t>
      </w:r>
      <w:r w:rsidRPr="00D025B0">
        <w:tab/>
        <w:t>The provisions of this Code shall not apply to:</w:t>
      </w:r>
    </w:p>
    <w:p w:rsidR="00B46165" w:rsidRPr="00D025B0" w:rsidRDefault="00B46165" w:rsidP="00B46165">
      <w:pPr>
        <w:pStyle w:val="SingleTxtG"/>
        <w:ind w:left="1701" w:hanging="567"/>
      </w:pPr>
      <w:r>
        <w:tab/>
      </w:r>
      <w:r w:rsidRPr="00D025B0">
        <w:t>fishmeal when acidified and wetted with more than 40% water, by mass, irrespective of other factors;</w:t>
      </w:r>
      <w:r>
        <w:t xml:space="preserve"> </w:t>
      </w:r>
      <w:r w:rsidRPr="00D025B0">
        <w:t>consignments of fishmeal which are accompanied by a certificate issued by a recognized competent authority of the country of shipment or other recognized authority stating that the product has no self-heating properties when transported in packaged form; or</w:t>
      </w:r>
      <w:r>
        <w:t xml:space="preserve"> </w:t>
      </w:r>
      <w:r w:rsidRPr="00D025B0">
        <w:t xml:space="preserve">fishmeal manufactured from </w:t>
      </w:r>
      <w:r w:rsidRPr="00D025B0">
        <w:rPr>
          <w:rFonts w:hint="eastAsia"/>
        </w:rPr>
        <w:t>“</w:t>
      </w:r>
      <w:r w:rsidRPr="00D025B0">
        <w:t>white</w:t>
      </w:r>
      <w:r w:rsidRPr="00D025B0">
        <w:rPr>
          <w:rFonts w:hint="eastAsia"/>
        </w:rPr>
        <w:t>”</w:t>
      </w:r>
      <w:r w:rsidRPr="00D025B0">
        <w:t xml:space="preserve"> fish with a moisture content of not more than 12% and a fat content of not more than 5% by mass.</w:t>
      </w:r>
    </w:p>
    <w:p w:rsidR="00B46165" w:rsidRPr="00D025B0" w:rsidRDefault="00B46165" w:rsidP="00B46165">
      <w:pPr>
        <w:pStyle w:val="SingleTxtG"/>
        <w:ind w:left="1701" w:hanging="567"/>
      </w:pPr>
      <w:r w:rsidRPr="00D025B0">
        <w:t>945</w:t>
      </w:r>
      <w:r w:rsidRPr="00D025B0">
        <w:tab/>
        <w:t>Stabilization of fishmeal shall be achieved to prevent spontaneous combustion by effective application of between 400 and 1000 mg/kg (ppm) ethoxyquin, or liquid BHT (butylated hydroxytoluene) or between 1000 and 4000 mg/kg (ppm) BHT in powder form at the time of production. The said application shall occur no longer than twelve months prior to shipment.</w:t>
      </w:r>
    </w:p>
    <w:p w:rsidR="00B46165" w:rsidRDefault="00B46165" w:rsidP="00B46165">
      <w:pPr>
        <w:pStyle w:val="SingleTxtG"/>
      </w:pPr>
      <w:r>
        <w:t>IFFO</w:t>
      </w:r>
      <w:r w:rsidRPr="00AB2BDF">
        <w:t xml:space="preserve"> recommends to </w:t>
      </w:r>
      <w:r>
        <w:t>provisionally modify</w:t>
      </w:r>
      <w:r w:rsidRPr="00AB2BDF">
        <w:t xml:space="preserve"> SP 3</w:t>
      </w:r>
      <w:r>
        <w:t>08</w:t>
      </w:r>
      <w:r w:rsidRPr="00AB2BDF">
        <w:t xml:space="preserve"> </w:t>
      </w:r>
      <w:r>
        <w:t>as</w:t>
      </w:r>
      <w:r w:rsidRPr="00AB2BDF">
        <w:t xml:space="preserve"> follow</w:t>
      </w:r>
      <w:r>
        <w:t>s to be in line with SP 945 from the IMDG</w:t>
      </w:r>
      <w:r w:rsidRPr="00AB2BDF">
        <w:t>:</w:t>
      </w:r>
    </w:p>
    <w:p w:rsidR="00B46165" w:rsidRPr="00AB2BDF" w:rsidRDefault="00B46165" w:rsidP="00B46165">
      <w:pPr>
        <w:pStyle w:val="SingleTxtG"/>
        <w:ind w:left="1843" w:hanging="709"/>
      </w:pPr>
      <w:r>
        <w:t xml:space="preserve">SP 308 </w:t>
      </w:r>
      <w:r>
        <w:tab/>
      </w:r>
      <w:r w:rsidRPr="007A634C">
        <w:t xml:space="preserve">Stabilization of fishmeal shall be achieved to prevent spontaneous combustion by effective application of </w:t>
      </w:r>
      <w:r>
        <w:t>ethoxyquin,</w:t>
      </w:r>
      <w:r w:rsidRPr="007A634C">
        <w:t xml:space="preserve"> BHT (butylated h</w:t>
      </w:r>
      <w:r>
        <w:t xml:space="preserve">ydroxytoluene) or </w:t>
      </w:r>
      <w:r w:rsidRPr="007A634C">
        <w:t>tocopherol</w:t>
      </w:r>
      <w:r>
        <w:t>s</w:t>
      </w:r>
      <w:r w:rsidRPr="007A634C">
        <w:t xml:space="preserve"> (also used in a blend with rosemary extract) at the time of production.</w:t>
      </w:r>
      <w:r>
        <w:t xml:space="preserve"> </w:t>
      </w:r>
      <w:r w:rsidRPr="007A634C">
        <w:t xml:space="preserve"> The said application shall occur </w:t>
      </w:r>
      <w:r>
        <w:t xml:space="preserve">within </w:t>
      </w:r>
      <w:r w:rsidRPr="007A634C">
        <w:t xml:space="preserve">twelve months prior to shipment. </w:t>
      </w:r>
      <w:r>
        <w:t xml:space="preserve"> </w:t>
      </w:r>
      <w:r w:rsidRPr="007A634C">
        <w:t xml:space="preserve">Fish scrap or fish meal shall contain at least </w:t>
      </w:r>
      <w:r>
        <w:t xml:space="preserve">60 ppm (mg/kg) of ethoxyquin and </w:t>
      </w:r>
      <w:r w:rsidRPr="008101BC">
        <w:t xml:space="preserve">100 ppm (mg/kg) </w:t>
      </w:r>
      <w:r w:rsidRPr="007A634C">
        <w:t xml:space="preserve">of </w:t>
      </w:r>
      <w:r>
        <w:t xml:space="preserve">other alternative </w:t>
      </w:r>
      <w:r w:rsidRPr="007A634C">
        <w:t>antioxidant</w:t>
      </w:r>
      <w:r>
        <w:t>s</w:t>
      </w:r>
      <w:r w:rsidRPr="007A634C">
        <w:t xml:space="preserve"> at the time of consignment. </w:t>
      </w:r>
    </w:p>
    <w:p w:rsidR="00823F92" w:rsidRPr="00B926B1" w:rsidRDefault="00F544B9" w:rsidP="00F544B9">
      <w:pPr>
        <w:pStyle w:val="SingleTxtG"/>
        <w:spacing w:before="240" w:after="0"/>
        <w:jc w:val="center"/>
      </w:pPr>
      <w:r>
        <w:rPr>
          <w:u w:val="single"/>
        </w:rPr>
        <w:tab/>
      </w:r>
      <w:r>
        <w:rPr>
          <w:u w:val="single"/>
        </w:rPr>
        <w:tab/>
      </w:r>
      <w:r>
        <w:rPr>
          <w:u w:val="single"/>
        </w:rPr>
        <w:tab/>
      </w:r>
    </w:p>
    <w:sectPr w:rsidR="00823F92" w:rsidRPr="00B926B1" w:rsidSect="00181506">
      <w:headerReference w:type="even" r:id="rId13"/>
      <w:headerReference w:type="default" r:id="rId14"/>
      <w:footerReference w:type="even" r:id="rId15"/>
      <w:footerReference w:type="default" r:id="rId16"/>
      <w:headerReference w:type="first" r:id="rId17"/>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7109" w:rsidRDefault="00387109"/>
  </w:endnote>
  <w:endnote w:type="continuationSeparator" w:id="0">
    <w:p w:rsidR="00387109" w:rsidRDefault="00387109"/>
  </w:endnote>
  <w:endnote w:type="continuationNotice" w:id="1">
    <w:p w:rsidR="00387109" w:rsidRDefault="0038710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109" w:rsidRPr="009D2A5B" w:rsidRDefault="00387109" w:rsidP="009D2A5B">
    <w:pPr>
      <w:pStyle w:val="Footer"/>
      <w:tabs>
        <w:tab w:val="right" w:pos="9598"/>
      </w:tabs>
    </w:pPr>
    <w:r w:rsidRPr="009D2A5B">
      <w:rPr>
        <w:b/>
        <w:sz w:val="18"/>
      </w:rPr>
      <w:fldChar w:fldCharType="begin"/>
    </w:r>
    <w:r w:rsidRPr="009D2A5B">
      <w:rPr>
        <w:b/>
        <w:sz w:val="18"/>
      </w:rPr>
      <w:instrText xml:space="preserve"> PAGE  \* MERGEFORMAT </w:instrText>
    </w:r>
    <w:r w:rsidRPr="009D2A5B">
      <w:rPr>
        <w:b/>
        <w:sz w:val="18"/>
      </w:rPr>
      <w:fldChar w:fldCharType="separate"/>
    </w:r>
    <w:r w:rsidR="00D648C1">
      <w:rPr>
        <w:b/>
        <w:noProof/>
        <w:sz w:val="18"/>
      </w:rPr>
      <w:t>10</w:t>
    </w:r>
    <w:r w:rsidRPr="009D2A5B">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109" w:rsidRPr="009D2A5B" w:rsidRDefault="00387109" w:rsidP="009D2A5B">
    <w:pPr>
      <w:pStyle w:val="Footer"/>
      <w:tabs>
        <w:tab w:val="right" w:pos="9598"/>
      </w:tabs>
      <w:rPr>
        <w:b/>
        <w:sz w:val="18"/>
      </w:rPr>
    </w:pPr>
    <w:r>
      <w:tab/>
    </w:r>
    <w:r w:rsidRPr="009D2A5B">
      <w:rPr>
        <w:b/>
        <w:sz w:val="18"/>
      </w:rPr>
      <w:fldChar w:fldCharType="begin"/>
    </w:r>
    <w:r w:rsidRPr="009D2A5B">
      <w:rPr>
        <w:b/>
        <w:sz w:val="18"/>
      </w:rPr>
      <w:instrText xml:space="preserve"> PAGE  \* MERGEFORMAT </w:instrText>
    </w:r>
    <w:r w:rsidRPr="009D2A5B">
      <w:rPr>
        <w:b/>
        <w:sz w:val="18"/>
      </w:rPr>
      <w:fldChar w:fldCharType="separate"/>
    </w:r>
    <w:r w:rsidR="00D648C1">
      <w:rPr>
        <w:b/>
        <w:noProof/>
        <w:sz w:val="18"/>
      </w:rPr>
      <w:t>5</w:t>
    </w:r>
    <w:r w:rsidRPr="009D2A5B">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7109" w:rsidRPr="000B175B" w:rsidRDefault="00387109" w:rsidP="000B175B">
      <w:pPr>
        <w:tabs>
          <w:tab w:val="right" w:pos="2155"/>
        </w:tabs>
        <w:spacing w:after="80"/>
        <w:ind w:left="680"/>
        <w:rPr>
          <w:u w:val="single"/>
        </w:rPr>
      </w:pPr>
      <w:r>
        <w:rPr>
          <w:u w:val="single"/>
        </w:rPr>
        <w:tab/>
      </w:r>
    </w:p>
  </w:footnote>
  <w:footnote w:type="continuationSeparator" w:id="0">
    <w:p w:rsidR="00387109" w:rsidRPr="00FC68B7" w:rsidRDefault="00387109" w:rsidP="00FC68B7">
      <w:pPr>
        <w:tabs>
          <w:tab w:val="left" w:pos="2155"/>
        </w:tabs>
        <w:spacing w:after="80"/>
        <w:ind w:left="680"/>
        <w:rPr>
          <w:u w:val="single"/>
        </w:rPr>
      </w:pPr>
      <w:r>
        <w:rPr>
          <w:u w:val="single"/>
        </w:rPr>
        <w:tab/>
      </w:r>
    </w:p>
  </w:footnote>
  <w:footnote w:type="continuationNotice" w:id="1">
    <w:p w:rsidR="00387109" w:rsidRDefault="00387109"/>
  </w:footnote>
  <w:footnote w:id="2">
    <w:p w:rsidR="00387109" w:rsidRPr="005B1970" w:rsidRDefault="00387109" w:rsidP="005B1970">
      <w:pPr>
        <w:pStyle w:val="FootnoteText"/>
        <w:tabs>
          <w:tab w:val="left" w:pos="1418"/>
        </w:tabs>
        <w:ind w:firstLine="0"/>
        <w:rPr>
          <w:lang w:val="fr-CH"/>
        </w:rPr>
      </w:pPr>
      <w:r>
        <w:rPr>
          <w:rStyle w:val="FootnoteReference"/>
        </w:rPr>
        <w:footnoteRef/>
      </w:r>
      <w:r>
        <w:t xml:space="preserve"> </w:t>
      </w:r>
      <w:r>
        <w:rPr>
          <w:lang w:val="fr-CH"/>
        </w:rPr>
        <w:tab/>
      </w:r>
      <w:r w:rsidRPr="00DB63BF">
        <w:t>In accordance with the programme of work of the Sub-Committee for 2015–2016 approved by the Committee at its seventh session (see ST/SG/AC.10/C.3/92, paragraph 95 and ST/SG/AC.10/42, para. 15).</w:t>
      </w:r>
    </w:p>
  </w:footnote>
  <w:footnote w:id="3">
    <w:p w:rsidR="00387109" w:rsidRDefault="00387109" w:rsidP="004D54A2">
      <w:pPr>
        <w:pStyle w:val="FootnoteText"/>
        <w:tabs>
          <w:tab w:val="left" w:pos="1418"/>
        </w:tabs>
        <w:ind w:firstLine="0"/>
      </w:pPr>
      <w:r>
        <w:rPr>
          <w:rStyle w:val="FootnoteReference"/>
        </w:rPr>
        <w:footnoteRef/>
      </w:r>
      <w:r>
        <w:t xml:space="preserve"> </w:t>
      </w:r>
      <w:r>
        <w:rPr>
          <w:lang w:val="fr-CH"/>
        </w:rPr>
        <w:tab/>
      </w:r>
      <w:r>
        <w:t>We hope to be able to provide the data at the meeting on 28 November 2016, should the agenda timing permit this</w:t>
      </w:r>
    </w:p>
  </w:footnote>
  <w:footnote w:id="4">
    <w:p w:rsidR="00387109" w:rsidRPr="008101BC" w:rsidRDefault="00387109" w:rsidP="004D54A2">
      <w:pPr>
        <w:pStyle w:val="FootnoteText"/>
        <w:tabs>
          <w:tab w:val="left" w:pos="1418"/>
        </w:tabs>
        <w:ind w:firstLine="0"/>
      </w:pPr>
      <w:r>
        <w:rPr>
          <w:rStyle w:val="FootnoteReference"/>
        </w:rPr>
        <w:footnoteRef/>
      </w:r>
      <w:r>
        <w:rPr>
          <w:lang w:val="fr-CH"/>
        </w:rPr>
        <w:tab/>
      </w:r>
      <w:r w:rsidRPr="008101BC">
        <w:t xml:space="preserve">Methods to Access Quality and Stability of Oils and fat-containing Foods, </w:t>
      </w:r>
      <w:r>
        <w:t>(</w:t>
      </w:r>
      <w:r w:rsidRPr="008101BC">
        <w:t>1995</w:t>
      </w:r>
      <w:r>
        <w:t>)</w:t>
      </w:r>
      <w:r w:rsidRPr="008101BC">
        <w:t>. Eds: Warner, K and Michael Eskin, N.A., AOCS Press, Champaign, Illinois, pp 183-184</w:t>
      </w:r>
    </w:p>
  </w:footnote>
  <w:footnote w:id="5">
    <w:p w:rsidR="00387109" w:rsidRPr="0073685B" w:rsidRDefault="00387109" w:rsidP="00D55943">
      <w:pPr>
        <w:pStyle w:val="FootnoteText"/>
        <w:tabs>
          <w:tab w:val="left" w:pos="1418"/>
        </w:tabs>
        <w:ind w:firstLine="0"/>
      </w:pPr>
      <w:r w:rsidRPr="0073685B">
        <w:rPr>
          <w:rStyle w:val="FootnoteReference"/>
        </w:rPr>
        <w:footnoteRef/>
      </w:r>
      <w:r w:rsidRPr="0073685B">
        <w:rPr>
          <w:rStyle w:val="FootnoteReference"/>
        </w:rPr>
        <w:t xml:space="preserve"> </w:t>
      </w:r>
      <w:r>
        <w:rPr>
          <w:lang w:val="fr-CH"/>
        </w:rPr>
        <w:tab/>
      </w:r>
      <w:r w:rsidRPr="0073685B">
        <w:t>De Koning, A.J., (1998). A new method for measuring efficac</w:t>
      </w:r>
      <w:r>
        <w:t xml:space="preserve">ies of antioxidants in fishmeal. </w:t>
      </w:r>
      <w:r w:rsidRPr="008B4C34">
        <w:t xml:space="preserve">International Journal of Food Properties, Vol </w:t>
      </w:r>
      <w:r>
        <w:t>1</w:t>
      </w:r>
      <w:r w:rsidRPr="008B4C34">
        <w:t xml:space="preserve">, Issue </w:t>
      </w:r>
      <w:r>
        <w:t>3</w:t>
      </w:r>
      <w:r w:rsidRPr="008B4C34">
        <w:t xml:space="preserve">, pp </w:t>
      </w:r>
      <w:r>
        <w:t>255</w:t>
      </w:r>
      <w:r w:rsidRPr="008B4C34">
        <w:t xml:space="preserve"> - </w:t>
      </w:r>
      <w:r>
        <w:t>261</w:t>
      </w:r>
    </w:p>
  </w:footnote>
  <w:footnote w:id="6">
    <w:p w:rsidR="00387109" w:rsidRPr="00A85614" w:rsidRDefault="00387109" w:rsidP="003E79A7">
      <w:pPr>
        <w:pStyle w:val="FootnoteText"/>
        <w:tabs>
          <w:tab w:val="left" w:pos="1418"/>
        </w:tabs>
        <w:ind w:firstLine="0"/>
      </w:pPr>
      <w:r>
        <w:rPr>
          <w:rStyle w:val="FootnoteReference"/>
        </w:rPr>
        <w:footnoteRef/>
      </w:r>
      <w:r>
        <w:t xml:space="preserve"> </w:t>
      </w:r>
      <w:r>
        <w:rPr>
          <w:lang w:val="fr-CH"/>
        </w:rPr>
        <w:tab/>
      </w:r>
      <w:r w:rsidRPr="00A85614">
        <w:t xml:space="preserve">Aquaculture development and coordination programme, </w:t>
      </w:r>
      <w:r>
        <w:t>(</w:t>
      </w:r>
      <w:r w:rsidRPr="00A85614">
        <w:t>1980</w:t>
      </w:r>
      <w:r>
        <w:t>)</w:t>
      </w:r>
      <w:r w:rsidRPr="00A85614">
        <w:t xml:space="preserve">. Fish feed technology, FAO Fisheries and Aquaculture department. </w:t>
      </w:r>
      <w:r>
        <w:t xml:space="preserve">Downloaded on 23 March 2016 from </w:t>
      </w:r>
      <w:r w:rsidRPr="00A85614">
        <w:t>http://www.fao.org/docrep/x5738e/x5738e0b.htm</w:t>
      </w:r>
    </w:p>
  </w:footnote>
  <w:footnote w:id="7">
    <w:p w:rsidR="00387109" w:rsidRPr="00DC2B99" w:rsidRDefault="00387109" w:rsidP="003E79A7">
      <w:pPr>
        <w:pStyle w:val="FootnoteText"/>
        <w:tabs>
          <w:tab w:val="left" w:pos="1418"/>
        </w:tabs>
        <w:ind w:firstLine="0"/>
      </w:pPr>
      <w:r w:rsidRPr="00DC2B99">
        <w:rPr>
          <w:rStyle w:val="FootnoteReference"/>
        </w:rPr>
        <w:footnoteRef/>
      </w:r>
      <w:r w:rsidRPr="00DC2B99">
        <w:t xml:space="preserve"> </w:t>
      </w:r>
      <w:r>
        <w:rPr>
          <w:lang w:val="fr-CH"/>
        </w:rPr>
        <w:tab/>
      </w:r>
      <w:r w:rsidRPr="00DC2B99">
        <w:t>Blaszcyzyk, A., Augustyniak, A. and Skolimowski, J. Ethoxyquin: An antioxidant used in animal feed., Internationa</w:t>
      </w:r>
      <w:r>
        <w:t>l</w:t>
      </w:r>
      <w:r w:rsidRPr="00DC2B99">
        <w:t xml:space="preserve"> Journal of Food Science, Volu</w:t>
      </w:r>
      <w:r>
        <w:t xml:space="preserve">me 2013 </w:t>
      </w:r>
      <w:r w:rsidRPr="00DC2B99">
        <w:t>(2013), Article ID 585931, 12 pages</w:t>
      </w:r>
      <w:r w:rsidRPr="00DC2B99">
        <w:br/>
      </w:r>
      <w:hyperlink r:id="rId1" w:history="1">
        <w:r w:rsidRPr="00DC2B99">
          <w:rPr>
            <w:rStyle w:val="Hyperlink"/>
          </w:rPr>
          <w:t>http://dx.doi.org/10.1155/2013/585931</w:t>
        </w:r>
      </w:hyperlink>
    </w:p>
  </w:footnote>
  <w:footnote w:id="8">
    <w:p w:rsidR="00387109" w:rsidRPr="00DC2B99" w:rsidRDefault="00387109" w:rsidP="003E79A7">
      <w:pPr>
        <w:pStyle w:val="FootnoteText"/>
        <w:tabs>
          <w:tab w:val="left" w:pos="1418"/>
        </w:tabs>
        <w:ind w:firstLine="0"/>
      </w:pPr>
      <w:r w:rsidRPr="00DC2B99">
        <w:rPr>
          <w:rStyle w:val="FootnoteReference"/>
        </w:rPr>
        <w:footnoteRef/>
      </w:r>
      <w:r w:rsidRPr="00DC2B99">
        <w:rPr>
          <w:lang w:val="de-DE"/>
        </w:rPr>
        <w:t xml:space="preserve"> </w:t>
      </w:r>
      <w:r>
        <w:rPr>
          <w:lang w:val="de-DE"/>
        </w:rPr>
        <w:tab/>
      </w:r>
      <w:r w:rsidRPr="00DC2B99">
        <w:rPr>
          <w:lang w:val="de-DE"/>
        </w:rPr>
        <w:t xml:space="preserve">Lundebye, A.-K., Hovea, H., Mage, A., Bohne, V.J.B.  </w:t>
      </w:r>
      <w:r w:rsidRPr="00DC2B99">
        <w:t xml:space="preserve">and Hamre, K., </w:t>
      </w:r>
      <w:r>
        <w:t>(</w:t>
      </w:r>
      <w:r w:rsidRPr="00DC2B99">
        <w:t>2010</w:t>
      </w:r>
      <w:r>
        <w:t>)</w:t>
      </w:r>
      <w:r w:rsidRPr="00DC2B99">
        <w:t>. Levels of synthetic antioxidants (ethoxyquin, butylated hydroxytoluene and butylated hydroxyanisole) in fish feed and commercially farmed fish. Food Additives and Contaminants, Vol. 27, No. 12, 1652–1657</w:t>
      </w:r>
    </w:p>
  </w:footnote>
  <w:footnote w:id="9">
    <w:p w:rsidR="00387109" w:rsidRPr="00F83C8D" w:rsidRDefault="00387109" w:rsidP="003E79A7">
      <w:pPr>
        <w:pStyle w:val="FootnoteText"/>
        <w:tabs>
          <w:tab w:val="left" w:pos="1418"/>
        </w:tabs>
        <w:ind w:firstLine="0"/>
      </w:pPr>
      <w:r w:rsidRPr="008B4C34">
        <w:rPr>
          <w:rStyle w:val="FootnoteReference"/>
        </w:rPr>
        <w:footnoteRef/>
      </w:r>
      <w:r w:rsidRPr="008B4C34">
        <w:t xml:space="preserve"> </w:t>
      </w:r>
      <w:r>
        <w:rPr>
          <w:lang w:val="fr-CH"/>
        </w:rPr>
        <w:tab/>
      </w:r>
      <w:r w:rsidRPr="008B4C34">
        <w:t xml:space="preserve">De Koning, A.J., </w:t>
      </w:r>
      <w:r>
        <w:t>(</w:t>
      </w:r>
      <w:r w:rsidRPr="008B4C34">
        <w:t>2002</w:t>
      </w:r>
      <w:r>
        <w:t>)</w:t>
      </w:r>
      <w:r w:rsidRPr="008B4C34">
        <w:t>. The antioxidant ethoxyquin and its analogues: A Review. International Journal of Food Properties, Vol 5, Issue 2, pp 451 - 461</w:t>
      </w:r>
    </w:p>
  </w:footnote>
  <w:footnote w:id="10">
    <w:p w:rsidR="00387109" w:rsidRPr="008B4C34" w:rsidRDefault="00387109" w:rsidP="003E79A7">
      <w:pPr>
        <w:pStyle w:val="FootnoteText"/>
        <w:tabs>
          <w:tab w:val="left" w:pos="1418"/>
        </w:tabs>
        <w:ind w:firstLine="0"/>
      </w:pPr>
      <w:r w:rsidRPr="008B4C34">
        <w:rPr>
          <w:rStyle w:val="FootnoteReference"/>
        </w:rPr>
        <w:footnoteRef/>
      </w:r>
      <w:r w:rsidRPr="008B4C34">
        <w:t xml:space="preserve"> </w:t>
      </w:r>
      <w:r>
        <w:rPr>
          <w:lang w:val="fr-CH"/>
        </w:rPr>
        <w:tab/>
      </w:r>
      <w:r w:rsidRPr="008B4C34">
        <w:t xml:space="preserve">Thorrison, S., </w:t>
      </w:r>
      <w:r>
        <w:t>(</w:t>
      </w:r>
      <w:r w:rsidRPr="008B4C34">
        <w:t>1987</w:t>
      </w:r>
      <w:r>
        <w:t>)</w:t>
      </w:r>
      <w:r w:rsidRPr="008B4C34">
        <w:t xml:space="preserve">. Antioxidant properties of ethoxyquin and some of its oxidation products. </w:t>
      </w:r>
      <w:r>
        <w:t>PhD Thesis, Faculty of Science, University of St Andrews, United Kingdom</w:t>
      </w:r>
    </w:p>
  </w:footnote>
  <w:footnote w:id="11">
    <w:p w:rsidR="00387109" w:rsidRPr="00F848A9" w:rsidRDefault="00387109" w:rsidP="003E79A7">
      <w:pPr>
        <w:pStyle w:val="FootnoteText"/>
        <w:tabs>
          <w:tab w:val="left" w:pos="1418"/>
        </w:tabs>
        <w:ind w:firstLine="0"/>
      </w:pPr>
      <w:r>
        <w:rPr>
          <w:rStyle w:val="FootnoteReference"/>
        </w:rPr>
        <w:footnoteRef/>
      </w:r>
      <w:r>
        <w:t xml:space="preserve"> </w:t>
      </w:r>
      <w:r>
        <w:rPr>
          <w:lang w:val="fr-CH"/>
        </w:rPr>
        <w:tab/>
      </w:r>
      <w:r w:rsidRPr="00F848A9">
        <w:t xml:space="preserve">De Koning, A.J., </w:t>
      </w:r>
      <w:r>
        <w:t>(</w:t>
      </w:r>
      <w:r w:rsidRPr="00F848A9">
        <w:t>1996</w:t>
      </w:r>
      <w:r>
        <w:t>)</w:t>
      </w:r>
      <w:r w:rsidRPr="00F848A9">
        <w:t>. Determination of the antioxidant efficacies in fish meal of two oxidation products of ethoxyquin. International Fishmeal and Fish oil manufacture</w:t>
      </w:r>
      <w:r>
        <w:t>rs Association, Research Report</w:t>
      </w:r>
      <w:r w:rsidRPr="00F848A9">
        <w:t xml:space="preserve">, 1996-4. </w:t>
      </w:r>
    </w:p>
  </w:footnote>
  <w:footnote w:id="12">
    <w:p w:rsidR="00387109" w:rsidRPr="00F837E6" w:rsidRDefault="00387109" w:rsidP="000664C7">
      <w:pPr>
        <w:pStyle w:val="FootnoteText"/>
        <w:tabs>
          <w:tab w:val="left" w:pos="1418"/>
        </w:tabs>
        <w:ind w:firstLine="0"/>
      </w:pPr>
      <w:r>
        <w:rPr>
          <w:rStyle w:val="FootnoteReference"/>
        </w:rPr>
        <w:footnoteRef/>
      </w:r>
      <w:r w:rsidRPr="006F4E37">
        <w:t xml:space="preserve"> </w:t>
      </w:r>
      <w:r>
        <w:rPr>
          <w:lang w:val="fr-CH"/>
        </w:rPr>
        <w:tab/>
      </w:r>
      <w:r w:rsidRPr="006F4E37">
        <w:t xml:space="preserve">De Koning, A.J. and Van der Merwe, G.H. (1992). </w:t>
      </w:r>
      <w:r w:rsidRPr="00F837E6">
        <w:t>Determination of ethoxyquin and two of its oxidation products in fishmeal by Gas Chromatography, Analyst, Vol 117, pp 1571 - 1576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109" w:rsidRPr="00023445" w:rsidRDefault="00387109" w:rsidP="00023445">
    <w:pPr>
      <w:pStyle w:val="Header"/>
      <w:rPr>
        <w:szCs w:val="18"/>
      </w:rPr>
    </w:pPr>
    <w:r>
      <w:rPr>
        <w:szCs w:val="18"/>
      </w:rPr>
      <w:t>ST/SG/AC.10/C.3/2016/82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109" w:rsidRPr="00023445" w:rsidRDefault="00387109" w:rsidP="00023445">
    <w:pPr>
      <w:pStyle w:val="Header"/>
      <w:jc w:val="right"/>
      <w:rPr>
        <w:szCs w:val="18"/>
      </w:rPr>
    </w:pPr>
    <w:r w:rsidRPr="00023445">
      <w:rPr>
        <w:szCs w:val="18"/>
      </w:rPr>
      <w:t>ST</w:t>
    </w:r>
    <w:r>
      <w:rPr>
        <w:szCs w:val="18"/>
      </w:rPr>
      <w:t>/SG/AC.10/C.3/2016/82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7109" w:rsidRDefault="00387109" w:rsidP="00F16F65">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A688D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2">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3">
    <w:nsid w:val="FFFFFF7E"/>
    <w:multiLevelType w:val="singleLevel"/>
    <w:tmpl w:val="980EE60A"/>
    <w:lvl w:ilvl="0">
      <w:start w:val="1"/>
      <w:numFmt w:val="decimal"/>
      <w:pStyle w:val="ListNumber3"/>
      <w:lvlText w:val="%1."/>
      <w:lvlJc w:val="left"/>
      <w:pPr>
        <w:tabs>
          <w:tab w:val="num" w:pos="926"/>
        </w:tabs>
        <w:ind w:left="926" w:hanging="360"/>
      </w:pPr>
    </w:lvl>
  </w:abstractNum>
  <w:abstractNum w:abstractNumId="4">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5">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6">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7">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8">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9">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10">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1">
    <w:nsid w:val="010C49F8"/>
    <w:multiLevelType w:val="hybridMultilevel"/>
    <w:tmpl w:val="57E679C2"/>
    <w:lvl w:ilvl="0" w:tplc="075A6416">
      <w:start w:val="1"/>
      <w:numFmt w:val="decimal"/>
      <w:pStyle w:val="ParaNoG"/>
      <w:lvlText w:val="%1."/>
      <w:lvlJc w:val="left"/>
      <w:pPr>
        <w:tabs>
          <w:tab w:val="num" w:pos="1494"/>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
    <w:nsid w:val="0BEF7493"/>
    <w:multiLevelType w:val="hybridMultilevel"/>
    <w:tmpl w:val="06EE591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4">
    <w:nsid w:val="0E212C73"/>
    <w:multiLevelType w:val="multilevel"/>
    <w:tmpl w:val="DF30E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E563686"/>
    <w:multiLevelType w:val="hybridMultilevel"/>
    <w:tmpl w:val="8FC030FC"/>
    <w:lvl w:ilvl="0" w:tplc="EEA2528E">
      <w:start w:val="1"/>
      <w:numFmt w:val="decimal"/>
      <w:lvlText w:val="%1."/>
      <w:lvlJc w:val="left"/>
      <w:pPr>
        <w:ind w:left="1635" w:hanging="555"/>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16">
    <w:nsid w:val="1021633D"/>
    <w:multiLevelType w:val="hybridMultilevel"/>
    <w:tmpl w:val="CF3262E0"/>
    <w:lvl w:ilvl="0" w:tplc="E37A503A">
      <w:start w:val="1"/>
      <w:numFmt w:val="lowerLetter"/>
      <w:lvlText w:val="(%1)"/>
      <w:lvlJc w:val="left"/>
      <w:pPr>
        <w:ind w:left="1689" w:hanging="555"/>
      </w:pPr>
      <w:rPr>
        <w:rFont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7">
    <w:nsid w:val="14E829A7"/>
    <w:multiLevelType w:val="hybridMultilevel"/>
    <w:tmpl w:val="3D346D56"/>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18">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16777C4C"/>
    <w:multiLevelType w:val="hybridMultilevel"/>
    <w:tmpl w:val="859ADD06"/>
    <w:lvl w:ilvl="0" w:tplc="37DA1E08">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0">
    <w:nsid w:val="1A304C78"/>
    <w:multiLevelType w:val="hybridMultilevel"/>
    <w:tmpl w:val="6E808F72"/>
    <w:lvl w:ilvl="0" w:tplc="13CCC4F4">
      <w:start w:val="2"/>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21">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21B014C2"/>
    <w:multiLevelType w:val="hybridMultilevel"/>
    <w:tmpl w:val="CD2EEBDC"/>
    <w:lvl w:ilvl="0" w:tplc="627E00B8">
      <w:numFmt w:val="bullet"/>
      <w:lvlText w:val="•"/>
      <w:lvlJc w:val="left"/>
      <w:pPr>
        <w:ind w:left="1689" w:hanging="555"/>
      </w:pPr>
      <w:rPr>
        <w:rFonts w:ascii="Times New Roman" w:eastAsia="Times New Roman" w:hAnsi="Times New Roman" w:cs="Times New Roman"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23">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B125FFD"/>
    <w:multiLevelType w:val="multilevel"/>
    <w:tmpl w:val="BE16F274"/>
    <w:lvl w:ilvl="0">
      <w:start w:val="1"/>
      <w:numFmt w:val="decimal"/>
      <w:pStyle w:val="Points"/>
      <w:lvlText w:val="%1."/>
      <w:lvlJc w:val="left"/>
      <w:pPr>
        <w:tabs>
          <w:tab w:val="num" w:pos="570"/>
        </w:tabs>
        <w:ind w:left="570" w:hanging="570"/>
      </w:pPr>
      <w:rPr>
        <w:rFonts w:cs="Times New Roman" w:hint="default"/>
      </w:rPr>
    </w:lvl>
    <w:lvl w:ilvl="1">
      <w:start w:val="1"/>
      <w:numFmt w:val="decimal"/>
      <w:isLgl/>
      <w:lvlText w:val="%1.%2"/>
      <w:lvlJc w:val="left"/>
      <w:pPr>
        <w:tabs>
          <w:tab w:val="num" w:pos="360"/>
        </w:tabs>
        <w:ind w:left="360" w:hanging="360"/>
      </w:pPr>
      <w:rPr>
        <w:rFonts w:cs="Times New Roman" w:hint="default"/>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25">
    <w:nsid w:val="3D971706"/>
    <w:multiLevelType w:val="hybridMultilevel"/>
    <w:tmpl w:val="FCC4ABE0"/>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6">
    <w:nsid w:val="4907599B"/>
    <w:multiLevelType w:val="hybridMultilevel"/>
    <w:tmpl w:val="A2262F36"/>
    <w:lvl w:ilvl="0" w:tplc="1CC4EFD0">
      <w:start w:val="1"/>
      <w:numFmt w:val="lowerLetter"/>
      <w:lvlText w:val="(%1)"/>
      <w:lvlJc w:val="left"/>
      <w:pPr>
        <w:ind w:left="444" w:hanging="360"/>
      </w:pPr>
      <w:rPr>
        <w:rFonts w:hint="default"/>
      </w:rPr>
    </w:lvl>
    <w:lvl w:ilvl="1" w:tplc="04090019" w:tentative="1">
      <w:start w:val="1"/>
      <w:numFmt w:val="lowerLetter"/>
      <w:lvlText w:val="%2."/>
      <w:lvlJc w:val="left"/>
      <w:pPr>
        <w:ind w:left="1164" w:hanging="360"/>
      </w:pPr>
    </w:lvl>
    <w:lvl w:ilvl="2" w:tplc="0409001B" w:tentative="1">
      <w:start w:val="1"/>
      <w:numFmt w:val="lowerRoman"/>
      <w:lvlText w:val="%3."/>
      <w:lvlJc w:val="right"/>
      <w:pPr>
        <w:ind w:left="1884" w:hanging="180"/>
      </w:pPr>
    </w:lvl>
    <w:lvl w:ilvl="3" w:tplc="0409000F" w:tentative="1">
      <w:start w:val="1"/>
      <w:numFmt w:val="decimal"/>
      <w:lvlText w:val="%4."/>
      <w:lvlJc w:val="left"/>
      <w:pPr>
        <w:ind w:left="2604" w:hanging="360"/>
      </w:pPr>
    </w:lvl>
    <w:lvl w:ilvl="4" w:tplc="04090019" w:tentative="1">
      <w:start w:val="1"/>
      <w:numFmt w:val="lowerLetter"/>
      <w:lvlText w:val="%5."/>
      <w:lvlJc w:val="left"/>
      <w:pPr>
        <w:ind w:left="3324" w:hanging="360"/>
      </w:pPr>
    </w:lvl>
    <w:lvl w:ilvl="5" w:tplc="0409001B" w:tentative="1">
      <w:start w:val="1"/>
      <w:numFmt w:val="lowerRoman"/>
      <w:lvlText w:val="%6."/>
      <w:lvlJc w:val="right"/>
      <w:pPr>
        <w:ind w:left="4044" w:hanging="180"/>
      </w:pPr>
    </w:lvl>
    <w:lvl w:ilvl="6" w:tplc="0409000F" w:tentative="1">
      <w:start w:val="1"/>
      <w:numFmt w:val="decimal"/>
      <w:lvlText w:val="%7."/>
      <w:lvlJc w:val="left"/>
      <w:pPr>
        <w:ind w:left="4764" w:hanging="360"/>
      </w:pPr>
    </w:lvl>
    <w:lvl w:ilvl="7" w:tplc="04090019" w:tentative="1">
      <w:start w:val="1"/>
      <w:numFmt w:val="lowerLetter"/>
      <w:lvlText w:val="%8."/>
      <w:lvlJc w:val="left"/>
      <w:pPr>
        <w:ind w:left="5484" w:hanging="360"/>
      </w:pPr>
    </w:lvl>
    <w:lvl w:ilvl="8" w:tplc="0409001B" w:tentative="1">
      <w:start w:val="1"/>
      <w:numFmt w:val="lowerRoman"/>
      <w:lvlText w:val="%9."/>
      <w:lvlJc w:val="right"/>
      <w:pPr>
        <w:ind w:left="6204" w:hanging="180"/>
      </w:pPr>
    </w:lvl>
  </w:abstractNum>
  <w:abstractNum w:abstractNumId="27">
    <w:nsid w:val="4D335984"/>
    <w:multiLevelType w:val="hybridMultilevel"/>
    <w:tmpl w:val="B716608A"/>
    <w:lvl w:ilvl="0" w:tplc="08090001">
      <w:start w:val="1"/>
      <w:numFmt w:val="bullet"/>
      <w:lvlText w:val=""/>
      <w:lvlJc w:val="left"/>
      <w:pPr>
        <w:ind w:left="1854" w:hanging="360"/>
      </w:pPr>
      <w:rPr>
        <w:rFonts w:ascii="Symbol" w:hAnsi="Symbol" w:hint="default"/>
      </w:rPr>
    </w:lvl>
    <w:lvl w:ilvl="1" w:tplc="08090003">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28">
    <w:nsid w:val="4E4750A2"/>
    <w:multiLevelType w:val="hybridMultilevel"/>
    <w:tmpl w:val="599AE272"/>
    <w:lvl w:ilvl="0" w:tplc="04090001">
      <w:start w:val="1"/>
      <w:numFmt w:val="bullet"/>
      <w:lvlText w:val=""/>
      <w:lvlJc w:val="left"/>
      <w:pPr>
        <w:ind w:left="1854" w:hanging="360"/>
      </w:pPr>
      <w:rPr>
        <w:rFonts w:ascii="Symbol" w:hAnsi="Symbol" w:hint="default"/>
      </w:rPr>
    </w:lvl>
    <w:lvl w:ilvl="1" w:tplc="04090003" w:tentative="1">
      <w:start w:val="1"/>
      <w:numFmt w:val="bullet"/>
      <w:lvlText w:val="o"/>
      <w:lvlJc w:val="left"/>
      <w:pPr>
        <w:ind w:left="2574" w:hanging="360"/>
      </w:pPr>
      <w:rPr>
        <w:rFonts w:ascii="Courier New" w:hAnsi="Courier New" w:cs="Courier New" w:hint="default"/>
      </w:rPr>
    </w:lvl>
    <w:lvl w:ilvl="2" w:tplc="04090005" w:tentative="1">
      <w:start w:val="1"/>
      <w:numFmt w:val="bullet"/>
      <w:lvlText w:val=""/>
      <w:lvlJc w:val="left"/>
      <w:pPr>
        <w:ind w:left="3294" w:hanging="360"/>
      </w:pPr>
      <w:rPr>
        <w:rFonts w:ascii="Wingdings" w:hAnsi="Wingdings" w:hint="default"/>
      </w:rPr>
    </w:lvl>
    <w:lvl w:ilvl="3" w:tplc="04090001" w:tentative="1">
      <w:start w:val="1"/>
      <w:numFmt w:val="bullet"/>
      <w:lvlText w:val=""/>
      <w:lvlJc w:val="left"/>
      <w:pPr>
        <w:ind w:left="4014" w:hanging="360"/>
      </w:pPr>
      <w:rPr>
        <w:rFonts w:ascii="Symbol" w:hAnsi="Symbol" w:hint="default"/>
      </w:rPr>
    </w:lvl>
    <w:lvl w:ilvl="4" w:tplc="04090003" w:tentative="1">
      <w:start w:val="1"/>
      <w:numFmt w:val="bullet"/>
      <w:lvlText w:val="o"/>
      <w:lvlJc w:val="left"/>
      <w:pPr>
        <w:ind w:left="4734" w:hanging="360"/>
      </w:pPr>
      <w:rPr>
        <w:rFonts w:ascii="Courier New" w:hAnsi="Courier New" w:cs="Courier New" w:hint="default"/>
      </w:rPr>
    </w:lvl>
    <w:lvl w:ilvl="5" w:tplc="04090005" w:tentative="1">
      <w:start w:val="1"/>
      <w:numFmt w:val="bullet"/>
      <w:lvlText w:val=""/>
      <w:lvlJc w:val="left"/>
      <w:pPr>
        <w:ind w:left="5454" w:hanging="360"/>
      </w:pPr>
      <w:rPr>
        <w:rFonts w:ascii="Wingdings" w:hAnsi="Wingdings" w:hint="default"/>
      </w:rPr>
    </w:lvl>
    <w:lvl w:ilvl="6" w:tplc="04090001" w:tentative="1">
      <w:start w:val="1"/>
      <w:numFmt w:val="bullet"/>
      <w:lvlText w:val=""/>
      <w:lvlJc w:val="left"/>
      <w:pPr>
        <w:ind w:left="6174" w:hanging="360"/>
      </w:pPr>
      <w:rPr>
        <w:rFonts w:ascii="Symbol" w:hAnsi="Symbol" w:hint="default"/>
      </w:rPr>
    </w:lvl>
    <w:lvl w:ilvl="7" w:tplc="04090003" w:tentative="1">
      <w:start w:val="1"/>
      <w:numFmt w:val="bullet"/>
      <w:lvlText w:val="o"/>
      <w:lvlJc w:val="left"/>
      <w:pPr>
        <w:ind w:left="6894" w:hanging="360"/>
      </w:pPr>
      <w:rPr>
        <w:rFonts w:ascii="Courier New" w:hAnsi="Courier New" w:cs="Courier New" w:hint="default"/>
      </w:rPr>
    </w:lvl>
    <w:lvl w:ilvl="8" w:tplc="04090005" w:tentative="1">
      <w:start w:val="1"/>
      <w:numFmt w:val="bullet"/>
      <w:lvlText w:val=""/>
      <w:lvlJc w:val="left"/>
      <w:pPr>
        <w:ind w:left="7614" w:hanging="360"/>
      </w:pPr>
      <w:rPr>
        <w:rFonts w:ascii="Wingdings" w:hAnsi="Wingdings" w:hint="default"/>
      </w:rPr>
    </w:lvl>
  </w:abstractNum>
  <w:abstractNum w:abstractNumId="29">
    <w:nsid w:val="4EBD7BBA"/>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nsid w:val="566E7E54"/>
    <w:multiLevelType w:val="hybridMultilevel"/>
    <w:tmpl w:val="C72A3362"/>
    <w:lvl w:ilvl="0" w:tplc="79482730">
      <w:start w:val="3"/>
      <w:numFmt w:val="bullet"/>
      <w:lvlText w:val="–"/>
      <w:lvlJc w:val="left"/>
      <w:pPr>
        <w:ind w:left="1494" w:hanging="360"/>
      </w:pPr>
      <w:rPr>
        <w:rFonts w:ascii="Times New Roman" w:eastAsia="Times New Roman" w:hAnsi="Times New Roman" w:cs="Times New Roman"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31">
    <w:nsid w:val="5BF813C4"/>
    <w:multiLevelType w:val="hybridMultilevel"/>
    <w:tmpl w:val="96F266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nsid w:val="5DEE40C9"/>
    <w:multiLevelType w:val="hybridMultilevel"/>
    <w:tmpl w:val="B80E8914"/>
    <w:lvl w:ilvl="0" w:tplc="B8C8705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34">
    <w:nsid w:val="682F0E8D"/>
    <w:multiLevelType w:val="hybridMultilevel"/>
    <w:tmpl w:val="E7C8874C"/>
    <w:lvl w:ilvl="0" w:tplc="100C000F">
      <w:start w:val="1"/>
      <w:numFmt w:val="decimal"/>
      <w:lvlText w:val="%1."/>
      <w:lvlJc w:val="left"/>
      <w:pPr>
        <w:ind w:left="360" w:hanging="360"/>
      </w:pPr>
      <w:rPr>
        <w:rFonts w:hint="default"/>
      </w:rPr>
    </w:lvl>
    <w:lvl w:ilvl="1" w:tplc="100C0019">
      <w:start w:val="1"/>
      <w:numFmt w:val="lowerLetter"/>
      <w:lvlText w:val="%2."/>
      <w:lvlJc w:val="left"/>
      <w:pPr>
        <w:ind w:left="1080" w:hanging="360"/>
      </w:pPr>
    </w:lvl>
    <w:lvl w:ilvl="2" w:tplc="100C001B">
      <w:start w:val="1"/>
      <w:numFmt w:val="lowerRoman"/>
      <w:lvlText w:val="%3."/>
      <w:lvlJc w:val="right"/>
      <w:pPr>
        <w:ind w:left="1800" w:hanging="180"/>
      </w:pPr>
    </w:lvl>
    <w:lvl w:ilvl="3" w:tplc="100C000F">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35">
    <w:nsid w:val="6C3467D9"/>
    <w:multiLevelType w:val="hybridMultilevel"/>
    <w:tmpl w:val="8474CAD2"/>
    <w:lvl w:ilvl="0" w:tplc="920C5728">
      <w:start w:val="1"/>
      <w:numFmt w:val="decimal"/>
      <w:lvlText w:val="%1)"/>
      <w:lvlJc w:val="left"/>
      <w:pPr>
        <w:ind w:left="792" w:hanging="360"/>
      </w:pPr>
      <w:rPr>
        <w:rFonts w:hint="default"/>
        <w:strike w:val="0"/>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36">
    <w:nsid w:val="70E60176"/>
    <w:multiLevelType w:val="hybridMultilevel"/>
    <w:tmpl w:val="929876CA"/>
    <w:lvl w:ilvl="0" w:tplc="B8B6A654">
      <w:start w:val="1"/>
      <w:numFmt w:val="decimal"/>
      <w:lvlText w:val="%1."/>
      <w:lvlJc w:val="left"/>
      <w:pPr>
        <w:ind w:left="1494" w:hanging="360"/>
      </w:pPr>
      <w:rPr>
        <w:rFonts w:hint="default"/>
      </w:r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37">
    <w:nsid w:val="74A8250D"/>
    <w:multiLevelType w:val="hybridMultilevel"/>
    <w:tmpl w:val="8D823AB6"/>
    <w:lvl w:ilvl="0" w:tplc="EA402FA8">
      <w:start w:val="1"/>
      <w:numFmt w:val="decimal"/>
      <w:lvlText w:val="%1."/>
      <w:lvlJc w:val="left"/>
      <w:pPr>
        <w:ind w:left="1440" w:hanging="360"/>
      </w:pPr>
      <w:rPr>
        <w:rFonts w:ascii="Times New Roman" w:eastAsia="Times New Roman" w:hAnsi="Times New Roman" w:cs="Times New Roman"/>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8">
    <w:nsid w:val="79C12324"/>
    <w:multiLevelType w:val="hybridMultilevel"/>
    <w:tmpl w:val="965838D2"/>
    <w:lvl w:ilvl="0" w:tplc="0409000F">
      <w:start w:val="1"/>
      <w:numFmt w:val="decimal"/>
      <w:lvlText w:val="%1."/>
      <w:lvlJc w:val="left"/>
      <w:pPr>
        <w:ind w:left="1689" w:hanging="555"/>
      </w:pPr>
      <w:rPr>
        <w:rFonts w:hint="default"/>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9"/>
  </w:num>
  <w:num w:numId="6">
    <w:abstractNumId w:val="10"/>
  </w:num>
  <w:num w:numId="7">
    <w:abstractNumId w:val="8"/>
  </w:num>
  <w:num w:numId="8">
    <w:abstractNumId w:val="7"/>
  </w:num>
  <w:num w:numId="9">
    <w:abstractNumId w:val="6"/>
  </w:num>
  <w:num w:numId="10">
    <w:abstractNumId w:val="5"/>
  </w:num>
  <w:num w:numId="11">
    <w:abstractNumId w:val="23"/>
  </w:num>
  <w:num w:numId="12">
    <w:abstractNumId w:val="21"/>
  </w:num>
  <w:num w:numId="13">
    <w:abstractNumId w:val="11"/>
  </w:num>
  <w:num w:numId="14">
    <w:abstractNumId w:val="33"/>
  </w:num>
  <w:num w:numId="15">
    <w:abstractNumId w:val="18"/>
  </w:num>
  <w:num w:numId="16">
    <w:abstractNumId w:val="12"/>
  </w:num>
  <w:num w:numId="17">
    <w:abstractNumId w:val="0"/>
  </w:num>
  <w:num w:numId="18">
    <w:abstractNumId w:val="14"/>
  </w:num>
  <w:num w:numId="19">
    <w:abstractNumId w:val="35"/>
  </w:num>
  <w:num w:numId="20">
    <w:abstractNumId w:val="24"/>
  </w:num>
  <w:num w:numId="21">
    <w:abstractNumId w:val="26"/>
  </w:num>
  <w:num w:numId="22">
    <w:abstractNumId w:val="29"/>
  </w:num>
  <w:num w:numId="23">
    <w:abstractNumId w:val="30"/>
  </w:num>
  <w:num w:numId="24">
    <w:abstractNumId w:val="15"/>
  </w:num>
  <w:num w:numId="25">
    <w:abstractNumId w:val="34"/>
  </w:num>
  <w:num w:numId="26">
    <w:abstractNumId w:val="36"/>
  </w:num>
  <w:num w:numId="27">
    <w:abstractNumId w:val="19"/>
  </w:num>
  <w:num w:numId="28">
    <w:abstractNumId w:val="20"/>
  </w:num>
  <w:num w:numId="29">
    <w:abstractNumId w:val="32"/>
  </w:num>
  <w:num w:numId="30">
    <w:abstractNumId w:val="25"/>
  </w:num>
  <w:num w:numId="31">
    <w:abstractNumId w:val="13"/>
  </w:num>
  <w:num w:numId="32">
    <w:abstractNumId w:val="22"/>
  </w:num>
  <w:num w:numId="33">
    <w:abstractNumId w:val="38"/>
  </w:num>
  <w:num w:numId="34">
    <w:abstractNumId w:val="16"/>
  </w:num>
  <w:num w:numId="35">
    <w:abstractNumId w:val="17"/>
  </w:num>
  <w:num w:numId="36">
    <w:abstractNumId w:val="28"/>
  </w:num>
  <w:num w:numId="37">
    <w:abstractNumId w:val="37"/>
  </w:num>
  <w:num w:numId="38">
    <w:abstractNumId w:val="31"/>
  </w:num>
  <w:num w:numId="39">
    <w:abstractNumId w:val="2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fr-BE" w:vendorID="64" w:dllVersion="131078" w:nlCheck="1" w:checkStyle="1"/>
  <w:activeWritingStyle w:appName="MSWord" w:lang="de-DE" w:vendorID="64" w:dllVersion="131078" w:nlCheck="1" w:checkStyle="1"/>
  <w:activeWritingStyle w:appName="MSWord" w:lang="es-ES" w:vendorID="64" w:dllVersion="131078" w:nlCheck="1" w:checkStyle="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WDocIDLayout" w:val="2"/>
    <w:docVar w:name="SWDocIDLocation" w:val="3"/>
  </w:docVars>
  <w:rsids>
    <w:rsidRoot w:val="000C4D51"/>
    <w:rsid w:val="00004041"/>
    <w:rsid w:val="00023445"/>
    <w:rsid w:val="0002509B"/>
    <w:rsid w:val="00030391"/>
    <w:rsid w:val="00037C49"/>
    <w:rsid w:val="00037F90"/>
    <w:rsid w:val="00046B1F"/>
    <w:rsid w:val="00050F6B"/>
    <w:rsid w:val="00051B9C"/>
    <w:rsid w:val="000553D4"/>
    <w:rsid w:val="00057447"/>
    <w:rsid w:val="00057E97"/>
    <w:rsid w:val="000664C7"/>
    <w:rsid w:val="00066DF5"/>
    <w:rsid w:val="000678AB"/>
    <w:rsid w:val="0007088F"/>
    <w:rsid w:val="00072C8C"/>
    <w:rsid w:val="000733B5"/>
    <w:rsid w:val="000769A9"/>
    <w:rsid w:val="00081815"/>
    <w:rsid w:val="000931C0"/>
    <w:rsid w:val="000B0595"/>
    <w:rsid w:val="000B175B"/>
    <w:rsid w:val="000B3A0F"/>
    <w:rsid w:val="000B4EF7"/>
    <w:rsid w:val="000C2C03"/>
    <w:rsid w:val="000C2D2E"/>
    <w:rsid w:val="000C4D51"/>
    <w:rsid w:val="000E0415"/>
    <w:rsid w:val="000E47CA"/>
    <w:rsid w:val="00107320"/>
    <w:rsid w:val="001103AA"/>
    <w:rsid w:val="00110CCA"/>
    <w:rsid w:val="0011666B"/>
    <w:rsid w:val="00121DE7"/>
    <w:rsid w:val="001234B8"/>
    <w:rsid w:val="001275B3"/>
    <w:rsid w:val="001370F8"/>
    <w:rsid w:val="00153694"/>
    <w:rsid w:val="00153A47"/>
    <w:rsid w:val="00154A06"/>
    <w:rsid w:val="00155068"/>
    <w:rsid w:val="00164B97"/>
    <w:rsid w:val="00165F3A"/>
    <w:rsid w:val="00181506"/>
    <w:rsid w:val="001979B7"/>
    <w:rsid w:val="001A1894"/>
    <w:rsid w:val="001B13A5"/>
    <w:rsid w:val="001B4B04"/>
    <w:rsid w:val="001B79DC"/>
    <w:rsid w:val="001C6663"/>
    <w:rsid w:val="001C7895"/>
    <w:rsid w:val="001C7C7A"/>
    <w:rsid w:val="001D0C8C"/>
    <w:rsid w:val="001D1419"/>
    <w:rsid w:val="001D26DF"/>
    <w:rsid w:val="001D3A03"/>
    <w:rsid w:val="001D7F46"/>
    <w:rsid w:val="001E0B9E"/>
    <w:rsid w:val="001E7B67"/>
    <w:rsid w:val="001F7435"/>
    <w:rsid w:val="001F7F04"/>
    <w:rsid w:val="00202CD0"/>
    <w:rsid w:val="00202DA8"/>
    <w:rsid w:val="0021157B"/>
    <w:rsid w:val="002115B4"/>
    <w:rsid w:val="00211E0B"/>
    <w:rsid w:val="0021357C"/>
    <w:rsid w:val="002257FB"/>
    <w:rsid w:val="00231BA1"/>
    <w:rsid w:val="0023548F"/>
    <w:rsid w:val="0024413E"/>
    <w:rsid w:val="00245ACC"/>
    <w:rsid w:val="00260757"/>
    <w:rsid w:val="002653E7"/>
    <w:rsid w:val="00267F5F"/>
    <w:rsid w:val="002740C0"/>
    <w:rsid w:val="0028267A"/>
    <w:rsid w:val="00286B4D"/>
    <w:rsid w:val="00297EA8"/>
    <w:rsid w:val="002A603B"/>
    <w:rsid w:val="002A6B8F"/>
    <w:rsid w:val="002B3986"/>
    <w:rsid w:val="002B57A7"/>
    <w:rsid w:val="002C18EF"/>
    <w:rsid w:val="002C3039"/>
    <w:rsid w:val="002C495A"/>
    <w:rsid w:val="002D38EF"/>
    <w:rsid w:val="002D4643"/>
    <w:rsid w:val="002D4B6C"/>
    <w:rsid w:val="002E122F"/>
    <w:rsid w:val="002E199D"/>
    <w:rsid w:val="002F175C"/>
    <w:rsid w:val="002F32B6"/>
    <w:rsid w:val="00302E18"/>
    <w:rsid w:val="0030721A"/>
    <w:rsid w:val="00320B22"/>
    <w:rsid w:val="003229D8"/>
    <w:rsid w:val="00322B47"/>
    <w:rsid w:val="00324F93"/>
    <w:rsid w:val="00325594"/>
    <w:rsid w:val="0034446B"/>
    <w:rsid w:val="003453B6"/>
    <w:rsid w:val="00347DDB"/>
    <w:rsid w:val="00350DA4"/>
    <w:rsid w:val="00352709"/>
    <w:rsid w:val="00357186"/>
    <w:rsid w:val="00362296"/>
    <w:rsid w:val="00363D30"/>
    <w:rsid w:val="003674C8"/>
    <w:rsid w:val="003704F2"/>
    <w:rsid w:val="00371178"/>
    <w:rsid w:val="003772D4"/>
    <w:rsid w:val="00387109"/>
    <w:rsid w:val="003920FB"/>
    <w:rsid w:val="00392DE1"/>
    <w:rsid w:val="003A6810"/>
    <w:rsid w:val="003C2CC4"/>
    <w:rsid w:val="003C6322"/>
    <w:rsid w:val="003C71B8"/>
    <w:rsid w:val="003D4B23"/>
    <w:rsid w:val="003E3D8A"/>
    <w:rsid w:val="003E753A"/>
    <w:rsid w:val="003E79A7"/>
    <w:rsid w:val="003F006C"/>
    <w:rsid w:val="00405F89"/>
    <w:rsid w:val="00407087"/>
    <w:rsid w:val="00410C89"/>
    <w:rsid w:val="00416A6E"/>
    <w:rsid w:val="00422E03"/>
    <w:rsid w:val="0042431B"/>
    <w:rsid w:val="00426B1B"/>
    <w:rsid w:val="00426B9B"/>
    <w:rsid w:val="004325CB"/>
    <w:rsid w:val="004355B1"/>
    <w:rsid w:val="00442A83"/>
    <w:rsid w:val="0045495B"/>
    <w:rsid w:val="004760E0"/>
    <w:rsid w:val="004834D3"/>
    <w:rsid w:val="0048397A"/>
    <w:rsid w:val="004A12F2"/>
    <w:rsid w:val="004C2461"/>
    <w:rsid w:val="004C333F"/>
    <w:rsid w:val="004C7462"/>
    <w:rsid w:val="004D4E04"/>
    <w:rsid w:val="004D5426"/>
    <w:rsid w:val="004D54A2"/>
    <w:rsid w:val="004D5867"/>
    <w:rsid w:val="004D5ABD"/>
    <w:rsid w:val="004D6BCA"/>
    <w:rsid w:val="004D7E81"/>
    <w:rsid w:val="004E0C05"/>
    <w:rsid w:val="004E2D74"/>
    <w:rsid w:val="004E31B5"/>
    <w:rsid w:val="004E320B"/>
    <w:rsid w:val="004E77B2"/>
    <w:rsid w:val="00503DEB"/>
    <w:rsid w:val="00504B2D"/>
    <w:rsid w:val="00505328"/>
    <w:rsid w:val="00505957"/>
    <w:rsid w:val="0052136D"/>
    <w:rsid w:val="0052254D"/>
    <w:rsid w:val="00522B58"/>
    <w:rsid w:val="00527268"/>
    <w:rsid w:val="0052775E"/>
    <w:rsid w:val="00527D3F"/>
    <w:rsid w:val="005315A3"/>
    <w:rsid w:val="00533623"/>
    <w:rsid w:val="00535C90"/>
    <w:rsid w:val="00540A84"/>
    <w:rsid w:val="005420F2"/>
    <w:rsid w:val="00542893"/>
    <w:rsid w:val="00546993"/>
    <w:rsid w:val="005628B6"/>
    <w:rsid w:val="005717DA"/>
    <w:rsid w:val="00595DD5"/>
    <w:rsid w:val="005A3BDD"/>
    <w:rsid w:val="005A575C"/>
    <w:rsid w:val="005B0D94"/>
    <w:rsid w:val="005B1865"/>
    <w:rsid w:val="005B1970"/>
    <w:rsid w:val="005B3DB3"/>
    <w:rsid w:val="005B4E13"/>
    <w:rsid w:val="005B5D9E"/>
    <w:rsid w:val="005B6DA7"/>
    <w:rsid w:val="005D2D66"/>
    <w:rsid w:val="005D4BE6"/>
    <w:rsid w:val="005D68F4"/>
    <w:rsid w:val="005E3A54"/>
    <w:rsid w:val="005E6A77"/>
    <w:rsid w:val="005F4FF4"/>
    <w:rsid w:val="005F7B75"/>
    <w:rsid w:val="006001EE"/>
    <w:rsid w:val="006023C5"/>
    <w:rsid w:val="00605042"/>
    <w:rsid w:val="006055D6"/>
    <w:rsid w:val="00610928"/>
    <w:rsid w:val="00611FC4"/>
    <w:rsid w:val="0061365A"/>
    <w:rsid w:val="006174F9"/>
    <w:rsid w:val="006176FB"/>
    <w:rsid w:val="00621BDE"/>
    <w:rsid w:val="00625568"/>
    <w:rsid w:val="00635DAF"/>
    <w:rsid w:val="00640B26"/>
    <w:rsid w:val="006437D6"/>
    <w:rsid w:val="006469B3"/>
    <w:rsid w:val="00651E57"/>
    <w:rsid w:val="00652D0A"/>
    <w:rsid w:val="006623D5"/>
    <w:rsid w:val="00662AEF"/>
    <w:rsid w:val="00662BB6"/>
    <w:rsid w:val="00667F8F"/>
    <w:rsid w:val="0068109D"/>
    <w:rsid w:val="006831A5"/>
    <w:rsid w:val="00684C21"/>
    <w:rsid w:val="006861EF"/>
    <w:rsid w:val="00691BE3"/>
    <w:rsid w:val="006A0066"/>
    <w:rsid w:val="006A0884"/>
    <w:rsid w:val="006A2530"/>
    <w:rsid w:val="006A6089"/>
    <w:rsid w:val="006C3589"/>
    <w:rsid w:val="006D37AF"/>
    <w:rsid w:val="006D51D0"/>
    <w:rsid w:val="006E564B"/>
    <w:rsid w:val="006E7191"/>
    <w:rsid w:val="006F01EF"/>
    <w:rsid w:val="00703577"/>
    <w:rsid w:val="00705894"/>
    <w:rsid w:val="00713FD1"/>
    <w:rsid w:val="00716E60"/>
    <w:rsid w:val="007204F6"/>
    <w:rsid w:val="00725A6A"/>
    <w:rsid w:val="0072632A"/>
    <w:rsid w:val="00731FF0"/>
    <w:rsid w:val="007327D5"/>
    <w:rsid w:val="00735B5A"/>
    <w:rsid w:val="00754ED5"/>
    <w:rsid w:val="0075744A"/>
    <w:rsid w:val="007603EC"/>
    <w:rsid w:val="007611CF"/>
    <w:rsid w:val="007629C8"/>
    <w:rsid w:val="007642A4"/>
    <w:rsid w:val="00765461"/>
    <w:rsid w:val="00765DF8"/>
    <w:rsid w:val="0077047D"/>
    <w:rsid w:val="00786E2F"/>
    <w:rsid w:val="007B6BA5"/>
    <w:rsid w:val="007C3390"/>
    <w:rsid w:val="007C449A"/>
    <w:rsid w:val="007C4F4B"/>
    <w:rsid w:val="007D08C9"/>
    <w:rsid w:val="007D4851"/>
    <w:rsid w:val="007E01E9"/>
    <w:rsid w:val="007E63F3"/>
    <w:rsid w:val="007F1F93"/>
    <w:rsid w:val="007F3AB2"/>
    <w:rsid w:val="007F6611"/>
    <w:rsid w:val="007F7106"/>
    <w:rsid w:val="00811920"/>
    <w:rsid w:val="00815045"/>
    <w:rsid w:val="00815AD0"/>
    <w:rsid w:val="00820CDE"/>
    <w:rsid w:val="00823F92"/>
    <w:rsid w:val="008242D7"/>
    <w:rsid w:val="008257B1"/>
    <w:rsid w:val="00826E9A"/>
    <w:rsid w:val="00837982"/>
    <w:rsid w:val="00843767"/>
    <w:rsid w:val="00846671"/>
    <w:rsid w:val="008521A5"/>
    <w:rsid w:val="00853EBC"/>
    <w:rsid w:val="0086081B"/>
    <w:rsid w:val="008679D9"/>
    <w:rsid w:val="00871389"/>
    <w:rsid w:val="00876173"/>
    <w:rsid w:val="00882E80"/>
    <w:rsid w:val="00883999"/>
    <w:rsid w:val="008862C2"/>
    <w:rsid w:val="008878DE"/>
    <w:rsid w:val="0089577A"/>
    <w:rsid w:val="008979B1"/>
    <w:rsid w:val="008A52E9"/>
    <w:rsid w:val="008A59C7"/>
    <w:rsid w:val="008A6B25"/>
    <w:rsid w:val="008A6C4F"/>
    <w:rsid w:val="008A6CE3"/>
    <w:rsid w:val="008B2335"/>
    <w:rsid w:val="008B717B"/>
    <w:rsid w:val="008C5775"/>
    <w:rsid w:val="008C73DC"/>
    <w:rsid w:val="008D6F3C"/>
    <w:rsid w:val="008E0678"/>
    <w:rsid w:val="008E57F4"/>
    <w:rsid w:val="008F0D82"/>
    <w:rsid w:val="008F3D61"/>
    <w:rsid w:val="008F5475"/>
    <w:rsid w:val="0090194D"/>
    <w:rsid w:val="0090347B"/>
    <w:rsid w:val="00906D3C"/>
    <w:rsid w:val="0091237E"/>
    <w:rsid w:val="00912FCE"/>
    <w:rsid w:val="009153A0"/>
    <w:rsid w:val="00916E19"/>
    <w:rsid w:val="00920C59"/>
    <w:rsid w:val="009223CA"/>
    <w:rsid w:val="00932F3F"/>
    <w:rsid w:val="0093509F"/>
    <w:rsid w:val="00936FF4"/>
    <w:rsid w:val="00940F93"/>
    <w:rsid w:val="0094558F"/>
    <w:rsid w:val="00956229"/>
    <w:rsid w:val="009603D2"/>
    <w:rsid w:val="009605B0"/>
    <w:rsid w:val="00961690"/>
    <w:rsid w:val="00962F62"/>
    <w:rsid w:val="009665DB"/>
    <w:rsid w:val="009760F3"/>
    <w:rsid w:val="00977B3D"/>
    <w:rsid w:val="00987862"/>
    <w:rsid w:val="00994E13"/>
    <w:rsid w:val="009A0E8D"/>
    <w:rsid w:val="009B0FD1"/>
    <w:rsid w:val="009B1518"/>
    <w:rsid w:val="009B26E7"/>
    <w:rsid w:val="009B3BA6"/>
    <w:rsid w:val="009B6982"/>
    <w:rsid w:val="009C454F"/>
    <w:rsid w:val="009D09F2"/>
    <w:rsid w:val="009D2A5B"/>
    <w:rsid w:val="009F02C6"/>
    <w:rsid w:val="009F4DE9"/>
    <w:rsid w:val="00A00A3F"/>
    <w:rsid w:val="00A01489"/>
    <w:rsid w:val="00A10817"/>
    <w:rsid w:val="00A1217C"/>
    <w:rsid w:val="00A20EA0"/>
    <w:rsid w:val="00A2573C"/>
    <w:rsid w:val="00A258EF"/>
    <w:rsid w:val="00A3009E"/>
    <w:rsid w:val="00A3026E"/>
    <w:rsid w:val="00A309D3"/>
    <w:rsid w:val="00A338F1"/>
    <w:rsid w:val="00A51C2B"/>
    <w:rsid w:val="00A658A6"/>
    <w:rsid w:val="00A7278D"/>
    <w:rsid w:val="00A72F22"/>
    <w:rsid w:val="00A7360F"/>
    <w:rsid w:val="00A748A6"/>
    <w:rsid w:val="00A769F4"/>
    <w:rsid w:val="00A776B4"/>
    <w:rsid w:val="00A94361"/>
    <w:rsid w:val="00A945E2"/>
    <w:rsid w:val="00AA293C"/>
    <w:rsid w:val="00AA2B79"/>
    <w:rsid w:val="00AA4BD0"/>
    <w:rsid w:val="00AB1C7D"/>
    <w:rsid w:val="00AC6C48"/>
    <w:rsid w:val="00AC72CA"/>
    <w:rsid w:val="00AE2FC5"/>
    <w:rsid w:val="00AE76C0"/>
    <w:rsid w:val="00AF0E53"/>
    <w:rsid w:val="00AF1569"/>
    <w:rsid w:val="00AF690B"/>
    <w:rsid w:val="00B11BB4"/>
    <w:rsid w:val="00B2256D"/>
    <w:rsid w:val="00B22BC2"/>
    <w:rsid w:val="00B23A53"/>
    <w:rsid w:val="00B30179"/>
    <w:rsid w:val="00B421C1"/>
    <w:rsid w:val="00B44FA2"/>
    <w:rsid w:val="00B45128"/>
    <w:rsid w:val="00B46165"/>
    <w:rsid w:val="00B518AA"/>
    <w:rsid w:val="00B54C34"/>
    <w:rsid w:val="00B55C71"/>
    <w:rsid w:val="00B56E4A"/>
    <w:rsid w:val="00B56E9C"/>
    <w:rsid w:val="00B61320"/>
    <w:rsid w:val="00B63F84"/>
    <w:rsid w:val="00B64B1F"/>
    <w:rsid w:val="00B6553F"/>
    <w:rsid w:val="00B70F1E"/>
    <w:rsid w:val="00B72372"/>
    <w:rsid w:val="00B77C49"/>
    <w:rsid w:val="00B77D05"/>
    <w:rsid w:val="00B81206"/>
    <w:rsid w:val="00B81E12"/>
    <w:rsid w:val="00B82EBD"/>
    <w:rsid w:val="00B858B2"/>
    <w:rsid w:val="00B926B1"/>
    <w:rsid w:val="00BB0AC5"/>
    <w:rsid w:val="00BB1538"/>
    <w:rsid w:val="00BB7547"/>
    <w:rsid w:val="00BB7CD1"/>
    <w:rsid w:val="00BC3FA0"/>
    <w:rsid w:val="00BC74E9"/>
    <w:rsid w:val="00BE1A87"/>
    <w:rsid w:val="00BE278A"/>
    <w:rsid w:val="00BF1D2D"/>
    <w:rsid w:val="00BF68A8"/>
    <w:rsid w:val="00C00584"/>
    <w:rsid w:val="00C02351"/>
    <w:rsid w:val="00C050DF"/>
    <w:rsid w:val="00C102B3"/>
    <w:rsid w:val="00C10FE6"/>
    <w:rsid w:val="00C11A03"/>
    <w:rsid w:val="00C14945"/>
    <w:rsid w:val="00C20EA5"/>
    <w:rsid w:val="00C22C0C"/>
    <w:rsid w:val="00C31D92"/>
    <w:rsid w:val="00C349D8"/>
    <w:rsid w:val="00C36879"/>
    <w:rsid w:val="00C4074C"/>
    <w:rsid w:val="00C42061"/>
    <w:rsid w:val="00C4527F"/>
    <w:rsid w:val="00C45B7D"/>
    <w:rsid w:val="00C463DD"/>
    <w:rsid w:val="00C4724C"/>
    <w:rsid w:val="00C54DB3"/>
    <w:rsid w:val="00C557D6"/>
    <w:rsid w:val="00C629A0"/>
    <w:rsid w:val="00C64629"/>
    <w:rsid w:val="00C714F5"/>
    <w:rsid w:val="00C745C3"/>
    <w:rsid w:val="00C80B04"/>
    <w:rsid w:val="00C84B05"/>
    <w:rsid w:val="00C90189"/>
    <w:rsid w:val="00C947ED"/>
    <w:rsid w:val="00CA7535"/>
    <w:rsid w:val="00CB191C"/>
    <w:rsid w:val="00CB3E03"/>
    <w:rsid w:val="00CB5F93"/>
    <w:rsid w:val="00CB7AA6"/>
    <w:rsid w:val="00CC1ADB"/>
    <w:rsid w:val="00CC3754"/>
    <w:rsid w:val="00CC6249"/>
    <w:rsid w:val="00CD1D4A"/>
    <w:rsid w:val="00CD1E31"/>
    <w:rsid w:val="00CD350C"/>
    <w:rsid w:val="00CE4A8F"/>
    <w:rsid w:val="00CE7206"/>
    <w:rsid w:val="00CF559A"/>
    <w:rsid w:val="00CF689B"/>
    <w:rsid w:val="00CF7079"/>
    <w:rsid w:val="00D02A70"/>
    <w:rsid w:val="00D07D06"/>
    <w:rsid w:val="00D138C6"/>
    <w:rsid w:val="00D2031B"/>
    <w:rsid w:val="00D21FBD"/>
    <w:rsid w:val="00D25FE2"/>
    <w:rsid w:val="00D36F59"/>
    <w:rsid w:val="00D43252"/>
    <w:rsid w:val="00D47EEA"/>
    <w:rsid w:val="00D53515"/>
    <w:rsid w:val="00D550D4"/>
    <w:rsid w:val="00D55943"/>
    <w:rsid w:val="00D648C1"/>
    <w:rsid w:val="00D66F7C"/>
    <w:rsid w:val="00D773DF"/>
    <w:rsid w:val="00D838E4"/>
    <w:rsid w:val="00D84C5B"/>
    <w:rsid w:val="00D85D0B"/>
    <w:rsid w:val="00D9255F"/>
    <w:rsid w:val="00D94663"/>
    <w:rsid w:val="00D95303"/>
    <w:rsid w:val="00D978C6"/>
    <w:rsid w:val="00DA3C1C"/>
    <w:rsid w:val="00DA5C80"/>
    <w:rsid w:val="00DB6726"/>
    <w:rsid w:val="00DC179E"/>
    <w:rsid w:val="00DC2893"/>
    <w:rsid w:val="00DE40C6"/>
    <w:rsid w:val="00DF469C"/>
    <w:rsid w:val="00DF596D"/>
    <w:rsid w:val="00E046DF"/>
    <w:rsid w:val="00E10FF1"/>
    <w:rsid w:val="00E15557"/>
    <w:rsid w:val="00E21E8B"/>
    <w:rsid w:val="00E240D2"/>
    <w:rsid w:val="00E27346"/>
    <w:rsid w:val="00E300A7"/>
    <w:rsid w:val="00E36F73"/>
    <w:rsid w:val="00E459EF"/>
    <w:rsid w:val="00E50E13"/>
    <w:rsid w:val="00E52BF3"/>
    <w:rsid w:val="00E56315"/>
    <w:rsid w:val="00E57C72"/>
    <w:rsid w:val="00E658E5"/>
    <w:rsid w:val="00E665F9"/>
    <w:rsid w:val="00E666EE"/>
    <w:rsid w:val="00E71610"/>
    <w:rsid w:val="00E71BC8"/>
    <w:rsid w:val="00E7260F"/>
    <w:rsid w:val="00E73F5D"/>
    <w:rsid w:val="00E77E4E"/>
    <w:rsid w:val="00E85933"/>
    <w:rsid w:val="00E96630"/>
    <w:rsid w:val="00EB5A8B"/>
    <w:rsid w:val="00EC106A"/>
    <w:rsid w:val="00EC1580"/>
    <w:rsid w:val="00EC73C8"/>
    <w:rsid w:val="00ED7A2A"/>
    <w:rsid w:val="00EE5ACF"/>
    <w:rsid w:val="00EE6B3A"/>
    <w:rsid w:val="00EE7BF6"/>
    <w:rsid w:val="00EF1D7F"/>
    <w:rsid w:val="00EF5E81"/>
    <w:rsid w:val="00EF6394"/>
    <w:rsid w:val="00F01202"/>
    <w:rsid w:val="00F11B6A"/>
    <w:rsid w:val="00F16F65"/>
    <w:rsid w:val="00F2270C"/>
    <w:rsid w:val="00F31E5F"/>
    <w:rsid w:val="00F326E4"/>
    <w:rsid w:val="00F32BB7"/>
    <w:rsid w:val="00F37110"/>
    <w:rsid w:val="00F44916"/>
    <w:rsid w:val="00F51B9F"/>
    <w:rsid w:val="00F537CF"/>
    <w:rsid w:val="00F544B9"/>
    <w:rsid w:val="00F56440"/>
    <w:rsid w:val="00F60C77"/>
    <w:rsid w:val="00F6100A"/>
    <w:rsid w:val="00F66565"/>
    <w:rsid w:val="00F707D3"/>
    <w:rsid w:val="00F73229"/>
    <w:rsid w:val="00F82591"/>
    <w:rsid w:val="00F93781"/>
    <w:rsid w:val="00FA765E"/>
    <w:rsid w:val="00FB3ABD"/>
    <w:rsid w:val="00FB613B"/>
    <w:rsid w:val="00FB7078"/>
    <w:rsid w:val="00FC68B7"/>
    <w:rsid w:val="00FD2489"/>
    <w:rsid w:val="00FD24A6"/>
    <w:rsid w:val="00FD473F"/>
    <w:rsid w:val="00FD51FF"/>
    <w:rsid w:val="00FD6264"/>
    <w:rsid w:val="00FD6839"/>
    <w:rsid w:val="00FE106A"/>
    <w:rsid w:val="00FE7AEE"/>
    <w:rsid w:val="00FF145D"/>
    <w:rsid w:val="00FF7D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eastAsia="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uiPriority w:val="99"/>
    <w:rsid w:val="001D7F46"/>
    <w:rPr>
      <w:sz w:val="18"/>
      <w:lang w:eastAsia="en-US"/>
    </w:rPr>
  </w:style>
  <w:style w:type="paragraph" w:customStyle="1" w:styleId="Default">
    <w:name w:val="Default"/>
    <w:rsid w:val="00202CD0"/>
    <w:pPr>
      <w:widowControl w:val="0"/>
      <w:autoSpaceDE w:val="0"/>
      <w:autoSpaceDN w:val="0"/>
      <w:adjustRightInd w:val="0"/>
    </w:pPr>
    <w:rPr>
      <w:color w:val="000000"/>
      <w:sz w:val="24"/>
      <w:szCs w:val="24"/>
      <w:lang w:val="en-US" w:eastAsia="en-US"/>
    </w:rPr>
  </w:style>
  <w:style w:type="character" w:customStyle="1" w:styleId="HChGChar">
    <w:name w:val="_ H _Ch_G Char"/>
    <w:link w:val="HChG"/>
    <w:locked/>
    <w:rsid w:val="00181506"/>
    <w:rPr>
      <w:b/>
      <w:sz w:val="28"/>
      <w:lang w:val="en-GB"/>
    </w:rPr>
  </w:style>
  <w:style w:type="paragraph" w:styleId="ListParagraph">
    <w:name w:val="List Paragraph"/>
    <w:basedOn w:val="Normal"/>
    <w:uiPriority w:val="34"/>
    <w:qFormat/>
    <w:rsid w:val="00542893"/>
    <w:pPr>
      <w:suppressAutoHyphens w:val="0"/>
      <w:spacing w:line="276" w:lineRule="auto"/>
      <w:ind w:left="720"/>
      <w:contextualSpacing/>
    </w:pPr>
  </w:style>
  <w:style w:type="paragraph" w:customStyle="1" w:styleId="Points">
    <w:name w:val="Points"/>
    <w:basedOn w:val="Normal"/>
    <w:rsid w:val="00542893"/>
    <w:pPr>
      <w:numPr>
        <w:numId w:val="20"/>
      </w:numPr>
      <w:suppressAutoHyphens w:val="0"/>
      <w:spacing w:line="276" w:lineRule="auto"/>
    </w:pPr>
  </w:style>
  <w:style w:type="paragraph" w:styleId="CommentSubject">
    <w:name w:val="annotation subject"/>
    <w:basedOn w:val="CommentText"/>
    <w:next w:val="CommentText"/>
    <w:link w:val="CommentSubjectChar"/>
    <w:rsid w:val="00C36879"/>
    <w:pPr>
      <w:spacing w:line="240" w:lineRule="auto"/>
    </w:pPr>
    <w:rPr>
      <w:b/>
      <w:bCs/>
    </w:rPr>
  </w:style>
  <w:style w:type="character" w:customStyle="1" w:styleId="CommentTextChar">
    <w:name w:val="Comment Text Char"/>
    <w:basedOn w:val="DefaultParagraphFont"/>
    <w:link w:val="CommentText"/>
    <w:semiHidden/>
    <w:rsid w:val="00C36879"/>
    <w:rPr>
      <w:lang w:eastAsia="en-US"/>
    </w:rPr>
  </w:style>
  <w:style w:type="character" w:customStyle="1" w:styleId="CommentSubjectChar">
    <w:name w:val="Comment Subject Char"/>
    <w:basedOn w:val="CommentTextChar"/>
    <w:link w:val="CommentSubject"/>
    <w:rsid w:val="00C36879"/>
    <w:rPr>
      <w:b/>
      <w:bCs/>
      <w:lang w:eastAsia="en-US"/>
    </w:rPr>
  </w:style>
  <w:style w:type="character" w:customStyle="1" w:styleId="SingleTxtGChar">
    <w:name w:val="_ Single Txt_G Char"/>
    <w:link w:val="SingleTxtG"/>
    <w:rsid w:val="00FD51FF"/>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56E9C"/>
    <w:pPr>
      <w:suppressAutoHyphens/>
      <w:spacing w:line="240" w:lineRule="atLeast"/>
    </w:pPr>
    <w:rPr>
      <w:lang w:eastAsia="en-US"/>
    </w:rPr>
  </w:style>
  <w:style w:type="paragraph" w:styleId="Heading1">
    <w:name w:val="heading 1"/>
    <w:aliases w:val="Table_G"/>
    <w:basedOn w:val="SingleTxtG"/>
    <w:next w:val="SingleTxtG"/>
    <w:qFormat/>
    <w:rsid w:val="00ED7A2A"/>
    <w:pPr>
      <w:spacing w:after="0" w:line="240" w:lineRule="auto"/>
      <w:ind w:right="0"/>
      <w:jc w:val="left"/>
      <w:outlineLvl w:val="0"/>
    </w:pPr>
  </w:style>
  <w:style w:type="paragraph" w:styleId="Heading2">
    <w:name w:val="heading 2"/>
    <w:basedOn w:val="Normal"/>
    <w:next w:val="Normal"/>
    <w:qFormat/>
    <w:pPr>
      <w:spacing w:line="240" w:lineRule="auto"/>
      <w:outlineLvl w:val="1"/>
    </w:pPr>
  </w:style>
  <w:style w:type="paragraph" w:styleId="Heading3">
    <w:name w:val="heading 3"/>
    <w:basedOn w:val="Normal"/>
    <w:next w:val="Normal"/>
    <w:qFormat/>
    <w:pPr>
      <w:spacing w:line="240" w:lineRule="auto"/>
      <w:outlineLvl w:val="2"/>
    </w:pPr>
  </w:style>
  <w:style w:type="paragraph" w:styleId="Heading4">
    <w:name w:val="heading 4"/>
    <w:basedOn w:val="Normal"/>
    <w:next w:val="Normal"/>
    <w:qFormat/>
    <w:pPr>
      <w:spacing w:line="240" w:lineRule="auto"/>
      <w:outlineLvl w:val="3"/>
    </w:pPr>
  </w:style>
  <w:style w:type="paragraph" w:styleId="Heading5">
    <w:name w:val="heading 5"/>
    <w:basedOn w:val="Normal"/>
    <w:next w:val="Normal"/>
    <w:qFormat/>
    <w:pPr>
      <w:spacing w:line="240" w:lineRule="auto"/>
      <w:outlineLvl w:val="4"/>
    </w:pPr>
  </w:style>
  <w:style w:type="paragraph" w:styleId="Heading6">
    <w:name w:val="heading 6"/>
    <w:basedOn w:val="Normal"/>
    <w:next w:val="Normal"/>
    <w:qFormat/>
    <w:pPr>
      <w:spacing w:line="240" w:lineRule="auto"/>
      <w:outlineLvl w:val="5"/>
    </w:pPr>
  </w:style>
  <w:style w:type="paragraph" w:styleId="Heading7">
    <w:name w:val="heading 7"/>
    <w:basedOn w:val="Normal"/>
    <w:next w:val="Normal"/>
    <w:qFormat/>
    <w:pPr>
      <w:spacing w:line="240" w:lineRule="auto"/>
      <w:outlineLvl w:val="6"/>
    </w:pPr>
  </w:style>
  <w:style w:type="paragraph" w:styleId="Heading8">
    <w:name w:val="heading 8"/>
    <w:basedOn w:val="Normal"/>
    <w:next w:val="Normal"/>
    <w:qFormat/>
    <w:pPr>
      <w:spacing w:line="240" w:lineRule="auto"/>
      <w:outlineLvl w:val="7"/>
    </w:pPr>
  </w:style>
  <w:style w:type="paragraph" w:styleId="Heading9">
    <w:name w:val="heading 9"/>
    <w:basedOn w:val="Normal"/>
    <w:next w:val="Normal"/>
    <w:qFormat/>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pPr>
      <w:keepNext/>
      <w:keepLines/>
      <w:tabs>
        <w:tab w:val="right" w:pos="851"/>
      </w:tabs>
      <w:spacing w:before="360" w:after="240" w:line="300" w:lineRule="exact"/>
      <w:ind w:left="1134" w:right="1134" w:hanging="1134"/>
    </w:pPr>
    <w:rPr>
      <w:b/>
      <w:sz w:val="28"/>
      <w:lang w:eastAsia="x-none"/>
    </w:rPr>
  </w:style>
  <w:style w:type="paragraph" w:customStyle="1" w:styleId="ParaNoG">
    <w:name w:val="_ParaNo._G"/>
    <w:basedOn w:val="SingleTxtG"/>
    <w:pPr>
      <w:numPr>
        <w:numId w:val="13"/>
      </w:numPr>
      <w:tabs>
        <w:tab w:val="clear" w:pos="1494"/>
      </w:tabs>
    </w:pPr>
  </w:style>
  <w:style w:type="paragraph" w:customStyle="1" w:styleId="SingleTxtG">
    <w:name w:val="_ Single Txt_G"/>
    <w:basedOn w:val="Normal"/>
    <w:link w:val="SingleTxtGChar"/>
    <w:qFormat/>
    <w:pPr>
      <w:spacing w:after="120"/>
      <w:ind w:left="1134" w:right="1134"/>
      <w:jc w:val="both"/>
    </w:pPr>
  </w:style>
  <w:style w:type="character" w:styleId="PageNumber">
    <w:name w:val="page number"/>
    <w:aliases w:val="7_G"/>
    <w:rsid w:val="008979B1"/>
    <w:rPr>
      <w:rFonts w:ascii="Times New Roman" w:hAnsi="Times New Roman"/>
      <w:b/>
      <w:sz w:val="18"/>
    </w:rPr>
  </w:style>
  <w:style w:type="paragraph" w:styleId="PlainText">
    <w:name w:val="Plain Text"/>
    <w:basedOn w:val="Normal"/>
    <w:semiHidden/>
    <w:rPr>
      <w:rFonts w:cs="Courier New"/>
    </w:rPr>
  </w:style>
  <w:style w:type="paragraph" w:styleId="BodyText">
    <w:name w:val="Body Text"/>
    <w:basedOn w:val="Normal"/>
    <w:next w:val="Normal"/>
    <w:semiHidden/>
  </w:style>
  <w:style w:type="paragraph" w:styleId="BodyTextIndent">
    <w:name w:val="Body Text Indent"/>
    <w:basedOn w:val="Normal"/>
    <w:semiHidden/>
    <w:pPr>
      <w:spacing w:after="120"/>
      <w:ind w:left="283"/>
    </w:pPr>
  </w:style>
  <w:style w:type="paragraph" w:styleId="BlockText">
    <w:name w:val="Block Text"/>
    <w:basedOn w:val="Normal"/>
    <w:semiHidden/>
    <w:pPr>
      <w:ind w:left="1440" w:right="1440"/>
    </w:pPr>
  </w:style>
  <w:style w:type="paragraph" w:customStyle="1" w:styleId="SMG">
    <w:name w:val="__S_M_G"/>
    <w:basedOn w:val="Normal"/>
    <w:next w:val="Normal"/>
    <w:rsid w:val="00E96630"/>
    <w:pPr>
      <w:keepNext/>
      <w:keepLines/>
      <w:spacing w:before="240" w:after="240" w:line="420" w:lineRule="exact"/>
      <w:ind w:left="1134" w:right="1134"/>
    </w:pPr>
    <w:rPr>
      <w:b/>
      <w:sz w:val="40"/>
    </w:rPr>
  </w:style>
  <w:style w:type="paragraph" w:customStyle="1" w:styleId="SLG">
    <w:name w:val="__S_L_G"/>
    <w:basedOn w:val="Normal"/>
    <w:next w:val="Normal"/>
    <w:rsid w:val="008A6B25"/>
    <w:pPr>
      <w:keepNext/>
      <w:keepLines/>
      <w:spacing w:before="240" w:after="240" w:line="580" w:lineRule="exact"/>
      <w:ind w:left="1134" w:right="1134"/>
    </w:pPr>
    <w:rPr>
      <w:b/>
      <w:sz w:val="56"/>
    </w:rPr>
  </w:style>
  <w:style w:type="paragraph" w:customStyle="1" w:styleId="SSG">
    <w:name w:val="__S_S_G"/>
    <w:basedOn w:val="Normal"/>
    <w:next w:val="Normal"/>
    <w:rsid w:val="00C745C3"/>
    <w:pPr>
      <w:keepNext/>
      <w:keepLines/>
      <w:spacing w:before="240" w:after="240" w:line="300" w:lineRule="exact"/>
      <w:ind w:left="1134" w:right="1134"/>
    </w:pPr>
    <w:rPr>
      <w:b/>
      <w:sz w:val="28"/>
    </w:rPr>
  </w:style>
  <w:style w:type="character" w:styleId="EndnoteReference">
    <w:name w:val="endnote reference"/>
    <w:aliases w:val="1_G"/>
    <w:rsid w:val="007B6BA5"/>
    <w:rPr>
      <w:rFonts w:ascii="Times New Roman" w:hAnsi="Times New Roman"/>
      <w:sz w:val="18"/>
      <w:vertAlign w:val="superscript"/>
    </w:rPr>
  </w:style>
  <w:style w:type="character" w:styleId="FootnoteReference">
    <w:name w:val="footnote reference"/>
    <w:aliases w:val="4_G,Footnote Reference/"/>
    <w:rsid w:val="007B6BA5"/>
    <w:rPr>
      <w:rFonts w:ascii="Times New Roman" w:hAnsi="Times New Roman"/>
      <w:sz w:val="18"/>
      <w:vertAlign w:val="superscript"/>
    </w:rPr>
  </w:style>
  <w:style w:type="paragraph" w:styleId="FootnoteText">
    <w:name w:val="footnote text"/>
    <w:aliases w:val="5_G"/>
    <w:basedOn w:val="Normal"/>
    <w:link w:val="FootnoteTextChar"/>
    <w:uiPriority w:val="99"/>
    <w:rsid w:val="0052775E"/>
    <w:pPr>
      <w:tabs>
        <w:tab w:val="right" w:pos="1021"/>
      </w:tabs>
      <w:spacing w:line="220" w:lineRule="exact"/>
      <w:ind w:left="1134" w:right="1134" w:hanging="1134"/>
    </w:pPr>
    <w:rPr>
      <w:sz w:val="18"/>
      <w:lang w:val="x-none"/>
    </w:rPr>
  </w:style>
  <w:style w:type="paragraph" w:customStyle="1" w:styleId="XLargeG">
    <w:name w:val="__XLarge_G"/>
    <w:basedOn w:val="Normal"/>
    <w:next w:val="Normal"/>
    <w:rsid w:val="000E0415"/>
    <w:pPr>
      <w:keepNext/>
      <w:keepLines/>
      <w:spacing w:before="240" w:after="240" w:line="420" w:lineRule="exact"/>
      <w:ind w:left="1134" w:right="1134"/>
    </w:pPr>
    <w:rPr>
      <w:b/>
      <w:sz w:val="40"/>
    </w:rPr>
  </w:style>
  <w:style w:type="paragraph" w:customStyle="1" w:styleId="Bullet1G">
    <w:name w:val="_Bullet 1_G"/>
    <w:basedOn w:val="Normal"/>
    <w:rsid w:val="0072632A"/>
    <w:pPr>
      <w:numPr>
        <w:numId w:val="11"/>
      </w:numPr>
      <w:spacing w:after="120"/>
      <w:ind w:right="1134"/>
      <w:jc w:val="both"/>
    </w:pPr>
  </w:style>
  <w:style w:type="paragraph" w:styleId="EndnoteText">
    <w:name w:val="endnote text"/>
    <w:aliases w:val="2_G"/>
    <w:basedOn w:val="FootnoteText"/>
    <w:rsid w:val="007B6BA5"/>
  </w:style>
  <w:style w:type="character" w:styleId="CommentReference">
    <w:name w:val="annotation reference"/>
    <w:semiHidden/>
    <w:rPr>
      <w:sz w:val="6"/>
    </w:rPr>
  </w:style>
  <w:style w:type="paragraph" w:styleId="CommentText">
    <w:name w:val="annotation text"/>
    <w:basedOn w:val="Normal"/>
    <w:link w:val="CommentTextChar"/>
    <w:semiHidden/>
  </w:style>
  <w:style w:type="character" w:styleId="LineNumber">
    <w:name w:val="line number"/>
    <w:semiHidden/>
    <w:rPr>
      <w:sz w:val="14"/>
    </w:rPr>
  </w:style>
  <w:style w:type="paragraph" w:customStyle="1" w:styleId="Bullet2G">
    <w:name w:val="_Bullet 2_G"/>
    <w:basedOn w:val="Normal"/>
    <w:rsid w:val="003C2CC4"/>
    <w:pPr>
      <w:numPr>
        <w:numId w:val="12"/>
      </w:numPr>
      <w:spacing w:after="120"/>
      <w:ind w:right="1134"/>
      <w:jc w:val="both"/>
    </w:pPr>
  </w:style>
  <w:style w:type="paragraph" w:customStyle="1" w:styleId="H1G">
    <w:name w:val="_ H_1_G"/>
    <w:basedOn w:val="Normal"/>
    <w:next w:val="Normal"/>
    <w:link w:val="H1GChar"/>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pPr>
      <w:keepNext/>
      <w:keepLines/>
      <w:tabs>
        <w:tab w:val="right" w:pos="851"/>
      </w:tabs>
      <w:spacing w:before="240" w:after="120" w:line="240" w:lineRule="exact"/>
      <w:ind w:left="1134" w:right="1134" w:hanging="1134"/>
    </w:pPr>
  </w:style>
  <w:style w:type="numbering" w:styleId="111111">
    <w:name w:val="Outline List 2"/>
    <w:basedOn w:val="NoList"/>
    <w:semiHidden/>
    <w:rsid w:val="008A6C4F"/>
    <w:pPr>
      <w:numPr>
        <w:numId w:val="14"/>
      </w:numPr>
    </w:pPr>
  </w:style>
  <w:style w:type="numbering" w:styleId="1ai">
    <w:name w:val="Outline List 1"/>
    <w:basedOn w:val="NoList"/>
    <w:semiHidden/>
    <w:rsid w:val="008A6C4F"/>
    <w:pPr>
      <w:numPr>
        <w:numId w:val="15"/>
      </w:numPr>
    </w:pPr>
  </w:style>
  <w:style w:type="numbering" w:styleId="ArticleSection">
    <w:name w:val="Outline List 3"/>
    <w:basedOn w:val="NoList"/>
    <w:semiHidden/>
    <w:rsid w:val="008A6C4F"/>
    <w:pPr>
      <w:numPr>
        <w:numId w:val="16"/>
      </w:numPr>
    </w:pPr>
  </w:style>
  <w:style w:type="paragraph" w:styleId="BodyText2">
    <w:name w:val="Body Text 2"/>
    <w:basedOn w:val="Normal"/>
    <w:semiHidden/>
    <w:rsid w:val="008A6C4F"/>
    <w:pPr>
      <w:spacing w:after="120" w:line="480" w:lineRule="auto"/>
    </w:pPr>
  </w:style>
  <w:style w:type="paragraph" w:styleId="BodyText3">
    <w:name w:val="Body Text 3"/>
    <w:basedOn w:val="Normal"/>
    <w:semiHidden/>
    <w:rsid w:val="008A6C4F"/>
    <w:pPr>
      <w:spacing w:after="120"/>
    </w:pPr>
    <w:rPr>
      <w:sz w:val="16"/>
      <w:szCs w:val="16"/>
    </w:rPr>
  </w:style>
  <w:style w:type="paragraph" w:styleId="BodyTextFirstIndent">
    <w:name w:val="Body Text First Indent"/>
    <w:basedOn w:val="BodyText"/>
    <w:semiHidden/>
    <w:rsid w:val="008A6C4F"/>
    <w:pPr>
      <w:spacing w:after="120"/>
      <w:ind w:firstLine="210"/>
    </w:pPr>
  </w:style>
  <w:style w:type="paragraph" w:styleId="BodyTextFirstIndent2">
    <w:name w:val="Body Text First Indent 2"/>
    <w:basedOn w:val="BodyTextIndent"/>
    <w:semiHidden/>
    <w:rsid w:val="008A6C4F"/>
    <w:pPr>
      <w:ind w:firstLine="210"/>
    </w:pPr>
  </w:style>
  <w:style w:type="paragraph" w:styleId="BodyTextIndent2">
    <w:name w:val="Body Text Indent 2"/>
    <w:basedOn w:val="Normal"/>
    <w:semiHidden/>
    <w:rsid w:val="008A6C4F"/>
    <w:pPr>
      <w:spacing w:after="120" w:line="480" w:lineRule="auto"/>
      <w:ind w:left="283"/>
    </w:pPr>
  </w:style>
  <w:style w:type="paragraph" w:styleId="BodyTextIndent3">
    <w:name w:val="Body Text Indent 3"/>
    <w:basedOn w:val="Normal"/>
    <w:semiHidden/>
    <w:rsid w:val="008A6C4F"/>
    <w:pPr>
      <w:spacing w:after="120"/>
      <w:ind w:left="283"/>
    </w:pPr>
    <w:rPr>
      <w:sz w:val="16"/>
      <w:szCs w:val="16"/>
    </w:rPr>
  </w:style>
  <w:style w:type="paragraph" w:styleId="Closing">
    <w:name w:val="Closing"/>
    <w:basedOn w:val="Normal"/>
    <w:semiHidden/>
    <w:rsid w:val="008A6C4F"/>
    <w:pPr>
      <w:ind w:left="4252"/>
    </w:pPr>
  </w:style>
  <w:style w:type="paragraph" w:styleId="Date">
    <w:name w:val="Date"/>
    <w:basedOn w:val="Normal"/>
    <w:next w:val="Normal"/>
    <w:semiHidden/>
    <w:rsid w:val="008A6C4F"/>
  </w:style>
  <w:style w:type="paragraph" w:styleId="E-mailSignature">
    <w:name w:val="E-mail Signature"/>
    <w:basedOn w:val="Normal"/>
    <w:semiHidden/>
    <w:rsid w:val="008A6C4F"/>
  </w:style>
  <w:style w:type="character" w:styleId="Emphasis">
    <w:name w:val="Emphasis"/>
    <w:qFormat/>
    <w:rsid w:val="008A6C4F"/>
    <w:rPr>
      <w:i/>
      <w:iCs/>
    </w:rPr>
  </w:style>
  <w:style w:type="paragraph" w:styleId="EnvelopeReturn">
    <w:name w:val="envelope return"/>
    <w:basedOn w:val="Normal"/>
    <w:semiHidden/>
    <w:rsid w:val="008A6C4F"/>
    <w:rPr>
      <w:rFonts w:ascii="Arial" w:hAnsi="Arial" w:cs="Arial"/>
    </w:rPr>
  </w:style>
  <w:style w:type="character" w:styleId="FollowedHyperlink">
    <w:name w:val="FollowedHyperlink"/>
    <w:semiHidden/>
    <w:rsid w:val="008A6C4F"/>
    <w:rPr>
      <w:color w:val="800080"/>
      <w:u w:val="single"/>
    </w:rPr>
  </w:style>
  <w:style w:type="character" w:styleId="HTMLAcronym">
    <w:name w:val="HTML Acronym"/>
    <w:basedOn w:val="DefaultParagraphFont"/>
    <w:semiHidden/>
    <w:rsid w:val="008A6C4F"/>
  </w:style>
  <w:style w:type="paragraph" w:styleId="HTMLAddress">
    <w:name w:val="HTML Address"/>
    <w:basedOn w:val="Normal"/>
    <w:semiHidden/>
    <w:rsid w:val="008A6C4F"/>
    <w:rPr>
      <w:i/>
      <w:iCs/>
    </w:rPr>
  </w:style>
  <w:style w:type="character" w:styleId="HTMLCite">
    <w:name w:val="HTML Cite"/>
    <w:semiHidden/>
    <w:rsid w:val="008A6C4F"/>
    <w:rPr>
      <w:i/>
      <w:iCs/>
    </w:rPr>
  </w:style>
  <w:style w:type="character" w:styleId="HTMLCode">
    <w:name w:val="HTML Code"/>
    <w:semiHidden/>
    <w:rsid w:val="008A6C4F"/>
    <w:rPr>
      <w:rFonts w:ascii="Courier New" w:hAnsi="Courier New" w:cs="Courier New"/>
      <w:sz w:val="20"/>
      <w:szCs w:val="20"/>
    </w:rPr>
  </w:style>
  <w:style w:type="character" w:styleId="HTMLDefinition">
    <w:name w:val="HTML Definition"/>
    <w:semiHidden/>
    <w:rsid w:val="008A6C4F"/>
    <w:rPr>
      <w:i/>
      <w:iCs/>
    </w:rPr>
  </w:style>
  <w:style w:type="character" w:styleId="HTMLKeyboard">
    <w:name w:val="HTML Keyboard"/>
    <w:semiHidden/>
    <w:rsid w:val="008A6C4F"/>
    <w:rPr>
      <w:rFonts w:ascii="Courier New" w:hAnsi="Courier New" w:cs="Courier New"/>
      <w:sz w:val="20"/>
      <w:szCs w:val="20"/>
    </w:rPr>
  </w:style>
  <w:style w:type="paragraph" w:styleId="HTMLPreformatted">
    <w:name w:val="HTML Preformatted"/>
    <w:basedOn w:val="Normal"/>
    <w:semiHidden/>
    <w:rsid w:val="008A6C4F"/>
    <w:rPr>
      <w:rFonts w:ascii="Courier New" w:hAnsi="Courier New" w:cs="Courier New"/>
    </w:rPr>
  </w:style>
  <w:style w:type="character" w:styleId="HTMLSample">
    <w:name w:val="HTML Sample"/>
    <w:semiHidden/>
    <w:rsid w:val="008A6C4F"/>
    <w:rPr>
      <w:rFonts w:ascii="Courier New" w:hAnsi="Courier New" w:cs="Courier New"/>
    </w:rPr>
  </w:style>
  <w:style w:type="character" w:styleId="HTMLTypewriter">
    <w:name w:val="HTML Typewriter"/>
    <w:semiHidden/>
    <w:rsid w:val="008A6C4F"/>
    <w:rPr>
      <w:rFonts w:ascii="Courier New" w:hAnsi="Courier New" w:cs="Courier New"/>
      <w:sz w:val="20"/>
      <w:szCs w:val="20"/>
    </w:rPr>
  </w:style>
  <w:style w:type="character" w:styleId="HTMLVariable">
    <w:name w:val="HTML Variable"/>
    <w:semiHidden/>
    <w:rsid w:val="008A6C4F"/>
    <w:rPr>
      <w:i/>
      <w:iCs/>
    </w:rPr>
  </w:style>
  <w:style w:type="character" w:styleId="Hyperlink">
    <w:name w:val="Hyperlink"/>
    <w:semiHidden/>
    <w:rsid w:val="008A6C4F"/>
    <w:rPr>
      <w:color w:val="0000FF"/>
      <w:u w:val="single"/>
    </w:rPr>
  </w:style>
  <w:style w:type="paragraph" w:styleId="List">
    <w:name w:val="List"/>
    <w:basedOn w:val="Normal"/>
    <w:semiHidden/>
    <w:rsid w:val="008A6C4F"/>
    <w:pPr>
      <w:ind w:left="283" w:hanging="283"/>
    </w:pPr>
  </w:style>
  <w:style w:type="paragraph" w:styleId="List2">
    <w:name w:val="List 2"/>
    <w:basedOn w:val="Normal"/>
    <w:semiHidden/>
    <w:rsid w:val="008A6C4F"/>
    <w:pPr>
      <w:ind w:left="566" w:hanging="283"/>
    </w:pPr>
  </w:style>
  <w:style w:type="paragraph" w:styleId="List3">
    <w:name w:val="List 3"/>
    <w:basedOn w:val="Normal"/>
    <w:semiHidden/>
    <w:rsid w:val="008A6C4F"/>
    <w:pPr>
      <w:ind w:left="849" w:hanging="283"/>
    </w:pPr>
  </w:style>
  <w:style w:type="paragraph" w:styleId="List4">
    <w:name w:val="List 4"/>
    <w:basedOn w:val="Normal"/>
    <w:semiHidden/>
    <w:rsid w:val="008A6C4F"/>
    <w:pPr>
      <w:ind w:left="1132" w:hanging="283"/>
    </w:pPr>
  </w:style>
  <w:style w:type="paragraph" w:styleId="List5">
    <w:name w:val="List 5"/>
    <w:basedOn w:val="Normal"/>
    <w:semiHidden/>
    <w:rsid w:val="008A6C4F"/>
    <w:pPr>
      <w:ind w:left="1415" w:hanging="283"/>
    </w:pPr>
  </w:style>
  <w:style w:type="paragraph" w:styleId="ListBullet">
    <w:name w:val="List Bullet"/>
    <w:basedOn w:val="Normal"/>
    <w:semiHidden/>
    <w:rsid w:val="008A6C4F"/>
    <w:pPr>
      <w:numPr>
        <w:numId w:val="6"/>
      </w:numPr>
    </w:pPr>
  </w:style>
  <w:style w:type="paragraph" w:styleId="ListBullet2">
    <w:name w:val="List Bullet 2"/>
    <w:basedOn w:val="Normal"/>
    <w:semiHidden/>
    <w:rsid w:val="008A6C4F"/>
    <w:pPr>
      <w:numPr>
        <w:numId w:val="7"/>
      </w:numPr>
    </w:pPr>
  </w:style>
  <w:style w:type="paragraph" w:styleId="ListBullet3">
    <w:name w:val="List Bullet 3"/>
    <w:basedOn w:val="Normal"/>
    <w:semiHidden/>
    <w:rsid w:val="008A6C4F"/>
    <w:pPr>
      <w:numPr>
        <w:numId w:val="8"/>
      </w:numPr>
    </w:pPr>
  </w:style>
  <w:style w:type="paragraph" w:styleId="ListBullet4">
    <w:name w:val="List Bullet 4"/>
    <w:basedOn w:val="Normal"/>
    <w:semiHidden/>
    <w:rsid w:val="008A6C4F"/>
    <w:pPr>
      <w:numPr>
        <w:numId w:val="9"/>
      </w:numPr>
    </w:pPr>
  </w:style>
  <w:style w:type="paragraph" w:styleId="ListBullet5">
    <w:name w:val="List Bullet 5"/>
    <w:basedOn w:val="Normal"/>
    <w:semiHidden/>
    <w:rsid w:val="008A6C4F"/>
    <w:pPr>
      <w:numPr>
        <w:numId w:val="10"/>
      </w:numPr>
    </w:pPr>
  </w:style>
  <w:style w:type="paragraph" w:styleId="ListContinue">
    <w:name w:val="List Continue"/>
    <w:basedOn w:val="Normal"/>
    <w:semiHidden/>
    <w:rsid w:val="008A6C4F"/>
    <w:pPr>
      <w:spacing w:after="120"/>
      <w:ind w:left="283"/>
    </w:pPr>
  </w:style>
  <w:style w:type="paragraph" w:styleId="ListContinue2">
    <w:name w:val="List Continue 2"/>
    <w:basedOn w:val="Normal"/>
    <w:semiHidden/>
    <w:rsid w:val="008A6C4F"/>
    <w:pPr>
      <w:spacing w:after="120"/>
      <w:ind w:left="566"/>
    </w:pPr>
  </w:style>
  <w:style w:type="paragraph" w:styleId="ListContinue3">
    <w:name w:val="List Continue 3"/>
    <w:basedOn w:val="Normal"/>
    <w:semiHidden/>
    <w:rsid w:val="008A6C4F"/>
    <w:pPr>
      <w:spacing w:after="120"/>
      <w:ind w:left="849"/>
    </w:pPr>
  </w:style>
  <w:style w:type="paragraph" w:styleId="ListContinue4">
    <w:name w:val="List Continue 4"/>
    <w:basedOn w:val="Normal"/>
    <w:semiHidden/>
    <w:rsid w:val="008A6C4F"/>
    <w:pPr>
      <w:spacing w:after="120"/>
      <w:ind w:left="1132"/>
    </w:pPr>
  </w:style>
  <w:style w:type="paragraph" w:styleId="ListContinue5">
    <w:name w:val="List Continue 5"/>
    <w:basedOn w:val="Normal"/>
    <w:semiHidden/>
    <w:rsid w:val="008A6C4F"/>
    <w:pPr>
      <w:spacing w:after="120"/>
      <w:ind w:left="1415"/>
    </w:pPr>
  </w:style>
  <w:style w:type="paragraph" w:styleId="ListNumber">
    <w:name w:val="List Number"/>
    <w:basedOn w:val="Normal"/>
    <w:semiHidden/>
    <w:rsid w:val="008A6C4F"/>
    <w:pPr>
      <w:numPr>
        <w:numId w:val="5"/>
      </w:numPr>
    </w:pPr>
  </w:style>
  <w:style w:type="paragraph" w:styleId="ListNumber2">
    <w:name w:val="List Number 2"/>
    <w:basedOn w:val="Normal"/>
    <w:semiHidden/>
    <w:rsid w:val="008A6C4F"/>
    <w:pPr>
      <w:numPr>
        <w:numId w:val="4"/>
      </w:numPr>
    </w:pPr>
  </w:style>
  <w:style w:type="paragraph" w:styleId="ListNumber3">
    <w:name w:val="List Number 3"/>
    <w:basedOn w:val="Normal"/>
    <w:semiHidden/>
    <w:rsid w:val="008A6C4F"/>
    <w:pPr>
      <w:numPr>
        <w:numId w:val="3"/>
      </w:numPr>
    </w:pPr>
  </w:style>
  <w:style w:type="paragraph" w:styleId="ListNumber4">
    <w:name w:val="List Number 4"/>
    <w:basedOn w:val="Normal"/>
    <w:semiHidden/>
    <w:rsid w:val="008A6C4F"/>
    <w:pPr>
      <w:numPr>
        <w:numId w:val="1"/>
      </w:numPr>
    </w:pPr>
  </w:style>
  <w:style w:type="paragraph" w:styleId="ListNumber5">
    <w:name w:val="List Number 5"/>
    <w:basedOn w:val="Normal"/>
    <w:semiHidden/>
    <w:rsid w:val="008A6C4F"/>
    <w:pPr>
      <w:numPr>
        <w:numId w:val="2"/>
      </w:numPr>
    </w:pPr>
  </w:style>
  <w:style w:type="paragraph" w:styleId="MessageHeader">
    <w:name w:val="Message Header"/>
    <w:basedOn w:val="Normal"/>
    <w:semiHidden/>
    <w:rsid w:val="008A6C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semiHidden/>
    <w:rsid w:val="008A6C4F"/>
    <w:rPr>
      <w:sz w:val="24"/>
      <w:szCs w:val="24"/>
    </w:rPr>
  </w:style>
  <w:style w:type="paragraph" w:styleId="NormalIndent">
    <w:name w:val="Normal Indent"/>
    <w:basedOn w:val="Normal"/>
    <w:semiHidden/>
    <w:rsid w:val="008A6C4F"/>
    <w:pPr>
      <w:ind w:left="567"/>
    </w:pPr>
  </w:style>
  <w:style w:type="paragraph" w:styleId="NoteHeading">
    <w:name w:val="Note Heading"/>
    <w:basedOn w:val="Normal"/>
    <w:next w:val="Normal"/>
    <w:semiHidden/>
    <w:rsid w:val="008A6C4F"/>
  </w:style>
  <w:style w:type="paragraph" w:styleId="Salutation">
    <w:name w:val="Salutation"/>
    <w:basedOn w:val="Normal"/>
    <w:next w:val="Normal"/>
    <w:semiHidden/>
    <w:rsid w:val="008A6C4F"/>
  </w:style>
  <w:style w:type="paragraph" w:styleId="Signature">
    <w:name w:val="Signature"/>
    <w:basedOn w:val="Normal"/>
    <w:semiHidden/>
    <w:rsid w:val="008A6C4F"/>
    <w:pPr>
      <w:ind w:left="4252"/>
    </w:pPr>
  </w:style>
  <w:style w:type="character" w:styleId="Strong">
    <w:name w:val="Strong"/>
    <w:qFormat/>
    <w:rsid w:val="008A6C4F"/>
    <w:rPr>
      <w:b/>
      <w:bCs/>
    </w:rPr>
  </w:style>
  <w:style w:type="paragraph" w:styleId="Subtitle">
    <w:name w:val="Subtitle"/>
    <w:basedOn w:val="Normal"/>
    <w:qFormat/>
    <w:rsid w:val="008A6C4F"/>
    <w:pPr>
      <w:spacing w:after="60"/>
      <w:jc w:val="center"/>
      <w:outlineLvl w:val="1"/>
    </w:pPr>
    <w:rPr>
      <w:rFonts w:ascii="Arial" w:hAnsi="Arial" w:cs="Arial"/>
      <w:sz w:val="24"/>
      <w:szCs w:val="24"/>
    </w:rPr>
  </w:style>
  <w:style w:type="table" w:styleId="Table3Deffects1">
    <w:name w:val="Table 3D effects 1"/>
    <w:basedOn w:val="TableNormal"/>
    <w:semiHidden/>
    <w:rsid w:val="008A6C4F"/>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A6C4F"/>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A6C4F"/>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A6C4F"/>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A6C4F"/>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A6C4F"/>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8A6C4F"/>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A6C4F"/>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A6C4F"/>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8A6C4F"/>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A6C4F"/>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A6C4F"/>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A6C4F"/>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A6C4F"/>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8A6C4F"/>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8A6C4F"/>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A6C4F"/>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A6C4F"/>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A6C4F"/>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A6C4F"/>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A6C4F"/>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8A6C4F"/>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A6C4F"/>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A6C4F"/>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A6C4F"/>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A6C4F"/>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8A6C4F"/>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8A6C4F"/>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A6C4F"/>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A6C4F"/>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8A6C4F"/>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A6C4F"/>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8A6C4F"/>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8A6C4F"/>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A6C4F"/>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A6C4F"/>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qFormat/>
    <w:rsid w:val="008A6C4F"/>
    <w:pPr>
      <w:spacing w:before="240" w:after="60"/>
      <w:jc w:val="center"/>
      <w:outlineLvl w:val="0"/>
    </w:pPr>
    <w:rPr>
      <w:rFonts w:ascii="Arial" w:hAnsi="Arial" w:cs="Arial"/>
      <w:b/>
      <w:bCs/>
      <w:kern w:val="28"/>
      <w:sz w:val="32"/>
      <w:szCs w:val="32"/>
    </w:rPr>
  </w:style>
  <w:style w:type="paragraph" w:styleId="EnvelopeAddress">
    <w:name w:val="envelope address"/>
    <w:basedOn w:val="Normal"/>
    <w:semiHidden/>
    <w:rsid w:val="008A6C4F"/>
    <w:pPr>
      <w:framePr w:w="7920" w:h="1980" w:hRule="exact" w:hSpace="180" w:wrap="auto" w:hAnchor="page" w:xAlign="center" w:yAlign="bottom"/>
      <w:ind w:left="2880"/>
    </w:pPr>
    <w:rPr>
      <w:rFonts w:ascii="Arial" w:hAnsi="Arial" w:cs="Arial"/>
      <w:sz w:val="24"/>
      <w:szCs w:val="24"/>
    </w:rPr>
  </w:style>
  <w:style w:type="paragraph" w:styleId="Footer">
    <w:name w:val="footer"/>
    <w:aliases w:val="3_G"/>
    <w:basedOn w:val="Normal"/>
    <w:rsid w:val="008878DE"/>
    <w:pPr>
      <w:spacing w:line="240" w:lineRule="auto"/>
    </w:pPr>
    <w:rPr>
      <w:sz w:val="16"/>
    </w:rPr>
  </w:style>
  <w:style w:type="paragraph" w:styleId="Header">
    <w:name w:val="header"/>
    <w:aliases w:val="6_G"/>
    <w:basedOn w:val="Normal"/>
    <w:rsid w:val="00050F6B"/>
    <w:pPr>
      <w:pBdr>
        <w:bottom w:val="single" w:sz="4" w:space="4" w:color="auto"/>
      </w:pBdr>
      <w:spacing w:line="240" w:lineRule="auto"/>
    </w:pPr>
    <w:rPr>
      <w:b/>
      <w:sz w:val="18"/>
    </w:rPr>
  </w:style>
  <w:style w:type="character" w:customStyle="1" w:styleId="H1GChar">
    <w:name w:val="_ H_1_G Char"/>
    <w:link w:val="H1G"/>
    <w:rsid w:val="001F7435"/>
    <w:rPr>
      <w:b/>
      <w:sz w:val="24"/>
      <w:lang w:val="en-GB" w:eastAsia="en-US" w:bidi="ar-SA"/>
    </w:rPr>
  </w:style>
  <w:style w:type="paragraph" w:styleId="BalloonText">
    <w:name w:val="Balloon Text"/>
    <w:basedOn w:val="Normal"/>
    <w:link w:val="BalloonTextChar"/>
    <w:rsid w:val="00D550D4"/>
    <w:pPr>
      <w:spacing w:line="240" w:lineRule="auto"/>
    </w:pPr>
    <w:rPr>
      <w:rFonts w:ascii="Tahoma" w:hAnsi="Tahoma"/>
      <w:sz w:val="16"/>
      <w:szCs w:val="16"/>
      <w:lang w:val="x-none"/>
    </w:rPr>
  </w:style>
  <w:style w:type="character" w:customStyle="1" w:styleId="BalloonTextChar">
    <w:name w:val="Balloon Text Char"/>
    <w:link w:val="BalloonText"/>
    <w:rsid w:val="00D550D4"/>
    <w:rPr>
      <w:rFonts w:ascii="Tahoma" w:hAnsi="Tahoma" w:cs="Tahoma"/>
      <w:sz w:val="16"/>
      <w:szCs w:val="16"/>
      <w:lang w:eastAsia="en-US"/>
    </w:rPr>
  </w:style>
  <w:style w:type="character" w:customStyle="1" w:styleId="FootnoteTextChar">
    <w:name w:val="Footnote Text Char"/>
    <w:aliases w:val="5_G Char"/>
    <w:link w:val="FootnoteText"/>
    <w:uiPriority w:val="99"/>
    <w:rsid w:val="001D7F46"/>
    <w:rPr>
      <w:sz w:val="18"/>
      <w:lang w:eastAsia="en-US"/>
    </w:rPr>
  </w:style>
  <w:style w:type="paragraph" w:customStyle="1" w:styleId="Default">
    <w:name w:val="Default"/>
    <w:rsid w:val="00202CD0"/>
    <w:pPr>
      <w:widowControl w:val="0"/>
      <w:autoSpaceDE w:val="0"/>
      <w:autoSpaceDN w:val="0"/>
      <w:adjustRightInd w:val="0"/>
    </w:pPr>
    <w:rPr>
      <w:color w:val="000000"/>
      <w:sz w:val="24"/>
      <w:szCs w:val="24"/>
      <w:lang w:val="en-US" w:eastAsia="en-US"/>
    </w:rPr>
  </w:style>
  <w:style w:type="character" w:customStyle="1" w:styleId="HChGChar">
    <w:name w:val="_ H _Ch_G Char"/>
    <w:link w:val="HChG"/>
    <w:locked/>
    <w:rsid w:val="00181506"/>
    <w:rPr>
      <w:b/>
      <w:sz w:val="28"/>
      <w:lang w:val="en-GB"/>
    </w:rPr>
  </w:style>
  <w:style w:type="paragraph" w:styleId="ListParagraph">
    <w:name w:val="List Paragraph"/>
    <w:basedOn w:val="Normal"/>
    <w:uiPriority w:val="34"/>
    <w:qFormat/>
    <w:rsid w:val="00542893"/>
    <w:pPr>
      <w:suppressAutoHyphens w:val="0"/>
      <w:spacing w:line="276" w:lineRule="auto"/>
      <w:ind w:left="720"/>
      <w:contextualSpacing/>
    </w:pPr>
  </w:style>
  <w:style w:type="paragraph" w:customStyle="1" w:styleId="Points">
    <w:name w:val="Points"/>
    <w:basedOn w:val="Normal"/>
    <w:rsid w:val="00542893"/>
    <w:pPr>
      <w:numPr>
        <w:numId w:val="20"/>
      </w:numPr>
      <w:suppressAutoHyphens w:val="0"/>
      <w:spacing w:line="276" w:lineRule="auto"/>
    </w:pPr>
  </w:style>
  <w:style w:type="paragraph" w:styleId="CommentSubject">
    <w:name w:val="annotation subject"/>
    <w:basedOn w:val="CommentText"/>
    <w:next w:val="CommentText"/>
    <w:link w:val="CommentSubjectChar"/>
    <w:rsid w:val="00C36879"/>
    <w:pPr>
      <w:spacing w:line="240" w:lineRule="auto"/>
    </w:pPr>
    <w:rPr>
      <w:b/>
      <w:bCs/>
    </w:rPr>
  </w:style>
  <w:style w:type="character" w:customStyle="1" w:styleId="CommentTextChar">
    <w:name w:val="Comment Text Char"/>
    <w:basedOn w:val="DefaultParagraphFont"/>
    <w:link w:val="CommentText"/>
    <w:semiHidden/>
    <w:rsid w:val="00C36879"/>
    <w:rPr>
      <w:lang w:eastAsia="en-US"/>
    </w:rPr>
  </w:style>
  <w:style w:type="character" w:customStyle="1" w:styleId="CommentSubjectChar">
    <w:name w:val="Comment Subject Char"/>
    <w:basedOn w:val="CommentTextChar"/>
    <w:link w:val="CommentSubject"/>
    <w:rsid w:val="00C36879"/>
    <w:rPr>
      <w:b/>
      <w:bCs/>
      <w:lang w:eastAsia="en-US"/>
    </w:rPr>
  </w:style>
  <w:style w:type="character" w:customStyle="1" w:styleId="SingleTxtGChar">
    <w:name w:val="_ Single Txt_G Char"/>
    <w:link w:val="SingleTxtG"/>
    <w:rsid w:val="00FD51FF"/>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391823">
      <w:bodyDiv w:val="1"/>
      <w:marLeft w:val="0"/>
      <w:marRight w:val="0"/>
      <w:marTop w:val="0"/>
      <w:marBottom w:val="0"/>
      <w:divBdr>
        <w:top w:val="none" w:sz="0" w:space="0" w:color="auto"/>
        <w:left w:val="none" w:sz="0" w:space="0" w:color="auto"/>
        <w:bottom w:val="none" w:sz="0" w:space="0" w:color="auto"/>
        <w:right w:val="none" w:sz="0" w:space="0" w:color="auto"/>
      </w:divBdr>
    </w:div>
    <w:div w:id="449012072">
      <w:bodyDiv w:val="1"/>
      <w:marLeft w:val="0"/>
      <w:marRight w:val="0"/>
      <w:marTop w:val="0"/>
      <w:marBottom w:val="0"/>
      <w:divBdr>
        <w:top w:val="none" w:sz="0" w:space="0" w:color="auto"/>
        <w:left w:val="none" w:sz="0" w:space="0" w:color="auto"/>
        <w:bottom w:val="none" w:sz="0" w:space="0" w:color="auto"/>
        <w:right w:val="none" w:sz="0" w:space="0" w:color="auto"/>
      </w:divBdr>
    </w:div>
    <w:div w:id="1048534321">
      <w:bodyDiv w:val="1"/>
      <w:marLeft w:val="0"/>
      <w:marRight w:val="0"/>
      <w:marTop w:val="0"/>
      <w:marBottom w:val="0"/>
      <w:divBdr>
        <w:top w:val="none" w:sz="0" w:space="0" w:color="auto"/>
        <w:left w:val="none" w:sz="0" w:space="0" w:color="auto"/>
        <w:bottom w:val="none" w:sz="0" w:space="0" w:color="auto"/>
        <w:right w:val="none" w:sz="0" w:space="0" w:color="auto"/>
      </w:divBdr>
    </w:div>
    <w:div w:id="1248877866">
      <w:bodyDiv w:val="1"/>
      <w:marLeft w:val="0"/>
      <w:marRight w:val="0"/>
      <w:marTop w:val="0"/>
      <w:marBottom w:val="0"/>
      <w:divBdr>
        <w:top w:val="none" w:sz="0" w:space="0" w:color="auto"/>
        <w:left w:val="none" w:sz="0" w:space="0" w:color="auto"/>
        <w:bottom w:val="none" w:sz="0" w:space="0" w:color="auto"/>
        <w:right w:val="none" w:sz="0" w:space="0" w:color="auto"/>
      </w:divBdr>
      <w:divsChild>
        <w:div w:id="194880569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1789160">
      <w:bodyDiv w:val="1"/>
      <w:marLeft w:val="0"/>
      <w:marRight w:val="0"/>
      <w:marTop w:val="0"/>
      <w:marBottom w:val="0"/>
      <w:divBdr>
        <w:top w:val="none" w:sz="0" w:space="0" w:color="auto"/>
        <w:left w:val="none" w:sz="0" w:space="0" w:color="auto"/>
        <w:bottom w:val="none" w:sz="0" w:space="0" w:color="auto"/>
        <w:right w:val="none" w:sz="0" w:space="0" w:color="auto"/>
      </w:divBdr>
      <w:divsChild>
        <w:div w:id="855146183">
          <w:marLeft w:val="0"/>
          <w:marRight w:val="0"/>
          <w:marTop w:val="0"/>
          <w:marBottom w:val="0"/>
          <w:divBdr>
            <w:top w:val="none" w:sz="0" w:space="0" w:color="auto"/>
            <w:left w:val="none" w:sz="0" w:space="0" w:color="auto"/>
            <w:bottom w:val="none" w:sz="0" w:space="0" w:color="auto"/>
            <w:right w:val="none" w:sz="0" w:space="0" w:color="auto"/>
          </w:divBdr>
          <w:divsChild>
            <w:div w:id="1517620306">
              <w:marLeft w:val="0"/>
              <w:marRight w:val="0"/>
              <w:marTop w:val="0"/>
              <w:marBottom w:val="0"/>
              <w:divBdr>
                <w:top w:val="none" w:sz="0" w:space="0" w:color="auto"/>
                <w:left w:val="none" w:sz="0" w:space="0" w:color="auto"/>
                <w:bottom w:val="none" w:sz="0" w:space="0" w:color="auto"/>
                <w:right w:val="none" w:sz="0" w:space="0" w:color="auto"/>
              </w:divBdr>
              <w:divsChild>
                <w:div w:id="298657286">
                  <w:marLeft w:val="0"/>
                  <w:marRight w:val="0"/>
                  <w:marTop w:val="0"/>
                  <w:marBottom w:val="0"/>
                  <w:divBdr>
                    <w:top w:val="none" w:sz="0" w:space="0" w:color="auto"/>
                    <w:left w:val="none" w:sz="0" w:space="0" w:color="auto"/>
                    <w:bottom w:val="none" w:sz="0" w:space="0" w:color="auto"/>
                    <w:right w:val="none" w:sz="0" w:space="0" w:color="auto"/>
                  </w:divBdr>
                  <w:divsChild>
                    <w:div w:id="1251232807">
                      <w:marLeft w:val="0"/>
                      <w:marRight w:val="0"/>
                      <w:marTop w:val="0"/>
                      <w:marBottom w:val="0"/>
                      <w:divBdr>
                        <w:top w:val="none" w:sz="0" w:space="0" w:color="auto"/>
                        <w:left w:val="none" w:sz="0" w:space="0" w:color="auto"/>
                        <w:bottom w:val="none" w:sz="0" w:space="0" w:color="auto"/>
                        <w:right w:val="none" w:sz="0" w:space="0" w:color="auto"/>
                      </w:divBdr>
                      <w:divsChild>
                        <w:div w:id="818545506">
                          <w:marLeft w:val="0"/>
                          <w:marRight w:val="0"/>
                          <w:marTop w:val="0"/>
                          <w:marBottom w:val="0"/>
                          <w:divBdr>
                            <w:top w:val="none" w:sz="0" w:space="0" w:color="auto"/>
                            <w:left w:val="none" w:sz="0" w:space="0" w:color="auto"/>
                            <w:bottom w:val="none" w:sz="0" w:space="0" w:color="auto"/>
                            <w:right w:val="none" w:sz="0" w:space="0" w:color="auto"/>
                          </w:divBdr>
                          <w:divsChild>
                            <w:div w:id="1303847386">
                              <w:marLeft w:val="0"/>
                              <w:marRight w:val="0"/>
                              <w:marTop w:val="0"/>
                              <w:marBottom w:val="0"/>
                              <w:divBdr>
                                <w:top w:val="none" w:sz="0" w:space="0" w:color="auto"/>
                                <w:left w:val="none" w:sz="0" w:space="0" w:color="auto"/>
                                <w:bottom w:val="none" w:sz="0" w:space="0" w:color="auto"/>
                                <w:right w:val="none" w:sz="0" w:space="0" w:color="auto"/>
                              </w:divBdr>
                              <w:divsChild>
                                <w:div w:id="1965960427">
                                  <w:marLeft w:val="0"/>
                                  <w:marRight w:val="0"/>
                                  <w:marTop w:val="0"/>
                                  <w:marBottom w:val="0"/>
                                  <w:divBdr>
                                    <w:top w:val="none" w:sz="0" w:space="0" w:color="auto"/>
                                    <w:left w:val="none" w:sz="0" w:space="0" w:color="auto"/>
                                    <w:bottom w:val="none" w:sz="0" w:space="0" w:color="auto"/>
                                    <w:right w:val="none" w:sz="0" w:space="0" w:color="auto"/>
                                  </w:divBdr>
                                  <w:divsChild>
                                    <w:div w:id="1853953469">
                                      <w:marLeft w:val="0"/>
                                      <w:marRight w:val="0"/>
                                      <w:marTop w:val="0"/>
                                      <w:marBottom w:val="0"/>
                                      <w:divBdr>
                                        <w:top w:val="none" w:sz="0" w:space="0" w:color="auto"/>
                                        <w:left w:val="none" w:sz="0" w:space="0" w:color="auto"/>
                                        <w:bottom w:val="none" w:sz="0" w:space="0" w:color="auto"/>
                                        <w:right w:val="none" w:sz="0" w:space="0" w:color="auto"/>
                                      </w:divBdr>
                                      <w:divsChild>
                                        <w:div w:id="1367949242">
                                          <w:marLeft w:val="0"/>
                                          <w:marRight w:val="0"/>
                                          <w:marTop w:val="0"/>
                                          <w:marBottom w:val="0"/>
                                          <w:divBdr>
                                            <w:top w:val="none" w:sz="0" w:space="0" w:color="auto"/>
                                            <w:left w:val="none" w:sz="0" w:space="0" w:color="auto"/>
                                            <w:bottom w:val="none" w:sz="0" w:space="0" w:color="auto"/>
                                            <w:right w:val="none" w:sz="0" w:space="0" w:color="auto"/>
                                          </w:divBdr>
                                          <w:divsChild>
                                            <w:div w:id="125266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65792773">
      <w:bodyDiv w:val="1"/>
      <w:marLeft w:val="0"/>
      <w:marRight w:val="0"/>
      <w:marTop w:val="0"/>
      <w:marBottom w:val="0"/>
      <w:divBdr>
        <w:top w:val="none" w:sz="0" w:space="0" w:color="auto"/>
        <w:left w:val="none" w:sz="0" w:space="0" w:color="auto"/>
        <w:bottom w:val="none" w:sz="0" w:space="0" w:color="auto"/>
        <w:right w:val="none" w:sz="0" w:space="0" w:color="auto"/>
      </w:divBdr>
      <w:divsChild>
        <w:div w:id="41104851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419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cid:image003.png@01D2086B.8736BCC0"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dx.doi.org/10.1155/2013/58593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BA5C2-048E-449B-AF1E-9E24C66D9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TotalTime>
  <Pages>11</Pages>
  <Words>4285</Words>
  <Characters>21920</Characters>
  <Application>Microsoft Office Word</Application>
  <DocSecurity>0</DocSecurity>
  <Lines>847</Lines>
  <Paragraphs>397</Paragraphs>
  <ScaleCrop>false</ScaleCrop>
  <HeadingPairs>
    <vt:vector size="2" baseType="variant">
      <vt:variant>
        <vt:lpstr>Title</vt:lpstr>
      </vt:variant>
      <vt:variant>
        <vt:i4>1</vt:i4>
      </vt:variant>
    </vt:vector>
  </HeadingPairs>
  <TitlesOfParts>
    <vt:vector size="1" baseType="lpstr">
      <vt:lpstr>1126259</vt:lpstr>
    </vt:vector>
  </TitlesOfParts>
  <Company>CSD</Company>
  <LinksUpToDate>false</LinksUpToDate>
  <CharactersWithSpaces>25942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1126259</dc:title>
  <dc:creator>BAC</dc:creator>
  <cp:keywords>ECE/TRANS/WP.15/AC.1/2012/8</cp:keywords>
  <cp:lastModifiedBy>Laurence Berthet</cp:lastModifiedBy>
  <cp:revision>18</cp:revision>
  <cp:lastPrinted>2016-09-09T12:43:00Z</cp:lastPrinted>
  <dcterms:created xsi:type="dcterms:W3CDTF">2016-09-09T07:14:00Z</dcterms:created>
  <dcterms:modified xsi:type="dcterms:W3CDTF">2016-09-09T12:45:00Z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14022540.1</vt:lpwstr>
  </property>
</Properties>
</file>