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50750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507506" w:rsidP="00507506">
            <w:pPr>
              <w:jc w:val="right"/>
            </w:pPr>
            <w:r w:rsidRPr="00507506">
              <w:rPr>
                <w:sz w:val="40"/>
              </w:rPr>
              <w:t>ST</w:t>
            </w:r>
            <w:r>
              <w:t>/SG/AC.10/C.3/2016/69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A85A53" wp14:editId="559DD7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507506" w:rsidP="009C3129">
            <w:pPr>
              <w:spacing w:before="240"/>
            </w:pPr>
            <w:r>
              <w:t>Distr. générale</w:t>
            </w:r>
          </w:p>
          <w:p w:rsidR="00507506" w:rsidRDefault="00507506" w:rsidP="00507506">
            <w:pPr>
              <w:spacing w:line="240" w:lineRule="exact"/>
            </w:pPr>
            <w:r>
              <w:t xml:space="preserve">5 septembre 2016 </w:t>
            </w:r>
          </w:p>
          <w:p w:rsidR="00507506" w:rsidRDefault="00507506" w:rsidP="00507506">
            <w:pPr>
              <w:spacing w:line="240" w:lineRule="exact"/>
            </w:pPr>
            <w:r>
              <w:t>Français</w:t>
            </w:r>
          </w:p>
          <w:p w:rsidR="00507506" w:rsidRPr="00DB58B5" w:rsidRDefault="00507506" w:rsidP="00507506">
            <w:pPr>
              <w:spacing w:line="240" w:lineRule="exact"/>
            </w:pPr>
            <w:r>
              <w:t>Original : anglais</w:t>
            </w:r>
          </w:p>
        </w:tc>
      </w:tr>
    </w:tbl>
    <w:p w:rsidR="00507506" w:rsidRPr="003C09C8" w:rsidRDefault="00507506" w:rsidP="00507506">
      <w:pPr>
        <w:spacing w:before="120" w:line="240" w:lineRule="auto"/>
        <w:rPr>
          <w:b/>
          <w:sz w:val="24"/>
          <w:szCs w:val="24"/>
        </w:rPr>
      </w:pPr>
      <w:r w:rsidRPr="003C09C8">
        <w:rPr>
          <w:b/>
          <w:sz w:val="24"/>
          <w:szCs w:val="24"/>
        </w:rPr>
        <w:t>Comité d’experts du transpo</w:t>
      </w:r>
      <w:r w:rsidR="003C09C8" w:rsidRPr="003C09C8">
        <w:rPr>
          <w:b/>
          <w:sz w:val="24"/>
          <w:szCs w:val="24"/>
        </w:rPr>
        <w:t>rt des marchandises dangereuses</w:t>
      </w:r>
      <w:r w:rsidR="003C09C8" w:rsidRPr="003C09C8">
        <w:rPr>
          <w:b/>
          <w:sz w:val="24"/>
          <w:szCs w:val="24"/>
        </w:rPr>
        <w:br/>
      </w:r>
      <w:r w:rsidRPr="003C09C8">
        <w:rPr>
          <w:b/>
          <w:sz w:val="24"/>
          <w:szCs w:val="24"/>
        </w:rPr>
        <w:t>et du Système géné</w:t>
      </w:r>
      <w:r w:rsidR="003C09C8" w:rsidRPr="003C09C8">
        <w:rPr>
          <w:b/>
          <w:sz w:val="24"/>
          <w:szCs w:val="24"/>
        </w:rPr>
        <w:t>ral harmonisé de classification</w:t>
      </w:r>
      <w:r w:rsidR="003C09C8" w:rsidRPr="003C09C8">
        <w:rPr>
          <w:b/>
          <w:sz w:val="24"/>
          <w:szCs w:val="24"/>
        </w:rPr>
        <w:br/>
      </w:r>
      <w:r w:rsidRPr="003C09C8">
        <w:rPr>
          <w:b/>
          <w:sz w:val="24"/>
          <w:szCs w:val="24"/>
        </w:rPr>
        <w:t>et d’étiquetage des produits chimiques</w:t>
      </w:r>
    </w:p>
    <w:p w:rsidR="00507506" w:rsidRPr="003C09C8" w:rsidRDefault="00507506" w:rsidP="00507506">
      <w:pPr>
        <w:pStyle w:val="HChG"/>
        <w:spacing w:before="120" w:after="0" w:line="240" w:lineRule="auto"/>
        <w:ind w:left="0" w:firstLine="0"/>
        <w:rPr>
          <w:sz w:val="20"/>
        </w:rPr>
      </w:pPr>
      <w:r w:rsidRPr="003C09C8">
        <w:rPr>
          <w:sz w:val="20"/>
        </w:rPr>
        <w:t>Sous-Comité d’experts du transport des marchandises dangereuses</w:t>
      </w:r>
    </w:p>
    <w:p w:rsidR="00507506" w:rsidRPr="00511DA9" w:rsidRDefault="00507506" w:rsidP="00507506">
      <w:pPr>
        <w:spacing w:before="120" w:line="240" w:lineRule="auto"/>
        <w:rPr>
          <w:b/>
        </w:rPr>
      </w:pPr>
      <w:r w:rsidRPr="00511DA9">
        <w:rPr>
          <w:b/>
        </w:rPr>
        <w:t>Cinquantième session</w:t>
      </w:r>
    </w:p>
    <w:p w:rsidR="00507506" w:rsidRPr="00511DA9" w:rsidRDefault="00507506" w:rsidP="00507506">
      <w:pPr>
        <w:pStyle w:val="NormalWeb"/>
        <w:spacing w:line="240" w:lineRule="auto"/>
        <w:rPr>
          <w:b/>
          <w:sz w:val="20"/>
          <w:szCs w:val="20"/>
        </w:rPr>
      </w:pPr>
      <w:r w:rsidRPr="00511DA9">
        <w:rPr>
          <w:sz w:val="20"/>
        </w:rPr>
        <w:t>Genève, 28 novembre</w:t>
      </w:r>
      <w:r w:rsidR="00FA4205">
        <w:rPr>
          <w:sz w:val="20"/>
        </w:rPr>
        <w:t>-</w:t>
      </w:r>
      <w:r w:rsidRPr="00511DA9">
        <w:rPr>
          <w:sz w:val="20"/>
        </w:rPr>
        <w:t>6 décembre 2016</w:t>
      </w:r>
      <w:r w:rsidRPr="00511DA9">
        <w:rPr>
          <w:sz w:val="20"/>
          <w:szCs w:val="20"/>
        </w:rPr>
        <w:br/>
      </w:r>
      <w:r w:rsidRPr="00511DA9">
        <w:rPr>
          <w:sz w:val="20"/>
        </w:rPr>
        <w:t>Point 2 c) de l</w:t>
      </w:r>
      <w:r>
        <w:rPr>
          <w:sz w:val="20"/>
        </w:rPr>
        <w:t>’</w:t>
      </w:r>
      <w:r w:rsidRPr="00511DA9">
        <w:rPr>
          <w:sz w:val="20"/>
        </w:rPr>
        <w:t>ordre du jour provisoire</w:t>
      </w:r>
      <w:r w:rsidRPr="00511DA9">
        <w:rPr>
          <w:sz w:val="20"/>
          <w:szCs w:val="20"/>
        </w:rPr>
        <w:br/>
      </w:r>
      <w:r w:rsidRPr="00511DA9">
        <w:rPr>
          <w:b/>
          <w:sz w:val="20"/>
        </w:rPr>
        <w:t>Recommand</w:t>
      </w:r>
      <w:r w:rsidR="003C09C8">
        <w:rPr>
          <w:b/>
          <w:sz w:val="20"/>
        </w:rPr>
        <w:t>ations du Sous-Comité formulées</w:t>
      </w:r>
      <w:r w:rsidR="003C09C8">
        <w:rPr>
          <w:b/>
          <w:sz w:val="20"/>
        </w:rPr>
        <w:br/>
      </w:r>
      <w:r w:rsidRPr="00511DA9">
        <w:rPr>
          <w:b/>
          <w:sz w:val="20"/>
        </w:rPr>
        <w:t>à ses quaran</w:t>
      </w:r>
      <w:r w:rsidR="003C09C8">
        <w:rPr>
          <w:b/>
          <w:sz w:val="20"/>
        </w:rPr>
        <w:t>te-septième, quarante-huitième</w:t>
      </w:r>
      <w:r w:rsidR="003C09C8">
        <w:rPr>
          <w:b/>
          <w:sz w:val="20"/>
        </w:rPr>
        <w:br/>
      </w:r>
      <w:proofErr w:type="gramStart"/>
      <w:r w:rsidRPr="00511DA9">
        <w:rPr>
          <w:b/>
          <w:sz w:val="20"/>
        </w:rPr>
        <w:t>et</w:t>
      </w:r>
      <w:proofErr w:type="gramEnd"/>
      <w:r w:rsidRPr="00511DA9">
        <w:rPr>
          <w:b/>
          <w:sz w:val="20"/>
        </w:rPr>
        <w:t xml:space="preserve"> quarante</w:t>
      </w:r>
      <w:r w:rsidR="003C09C8">
        <w:rPr>
          <w:b/>
          <w:sz w:val="20"/>
        </w:rPr>
        <w:t>-neuvième sessions et questions</w:t>
      </w:r>
      <w:r w:rsidR="003C09C8">
        <w:rPr>
          <w:b/>
          <w:sz w:val="20"/>
        </w:rPr>
        <w:br/>
      </w:r>
      <w:r w:rsidRPr="00511DA9">
        <w:rPr>
          <w:b/>
          <w:sz w:val="20"/>
        </w:rPr>
        <w:t>en suspens</w:t>
      </w:r>
      <w:r w:rsidR="003C09C8">
        <w:rPr>
          <w:b/>
          <w:sz w:val="20"/>
        </w:rPr>
        <w:t> </w:t>
      </w:r>
      <w:r w:rsidRPr="00511DA9">
        <w:rPr>
          <w:b/>
          <w:sz w:val="20"/>
        </w:rPr>
        <w:t>: inscription, classement et emballage</w:t>
      </w:r>
    </w:p>
    <w:p w:rsidR="00507506" w:rsidRPr="00511DA9" w:rsidRDefault="00507506" w:rsidP="00507506">
      <w:pPr>
        <w:pStyle w:val="HChG"/>
        <w:keepNext w:val="0"/>
        <w:keepLines w:val="0"/>
        <w:spacing w:line="240" w:lineRule="auto"/>
      </w:pPr>
      <w:r w:rsidRPr="00511DA9">
        <w:tab/>
      </w:r>
      <w:r w:rsidRPr="00511DA9">
        <w:tab/>
        <w:t>Emballages pour matières infectieuses</w:t>
      </w:r>
    </w:p>
    <w:p w:rsidR="00507506" w:rsidRPr="00511DA9" w:rsidRDefault="00507506" w:rsidP="00507506">
      <w:pPr>
        <w:pStyle w:val="H1G"/>
        <w:keepNext w:val="0"/>
        <w:keepLines w:val="0"/>
        <w:spacing w:line="240" w:lineRule="auto"/>
      </w:pPr>
      <w:r w:rsidRPr="00511DA9">
        <w:tab/>
      </w:r>
      <w:r w:rsidRPr="00511DA9">
        <w:tab/>
        <w:t>Communication de l</w:t>
      </w:r>
      <w:r>
        <w:t>’</w:t>
      </w:r>
      <w:r w:rsidRPr="00511DA9">
        <w:t>expert de l</w:t>
      </w:r>
      <w:r>
        <w:t>’</w:t>
      </w:r>
      <w:r w:rsidRPr="00511DA9">
        <w:t>Allemagne</w:t>
      </w:r>
      <w:r w:rsidRPr="003C09C8">
        <w:rPr>
          <w:rStyle w:val="FootnoteReference"/>
          <w:b w:val="0"/>
        </w:rPr>
        <w:footnoteReference w:id="2"/>
      </w:r>
    </w:p>
    <w:p w:rsidR="00507506" w:rsidRPr="00511DA9" w:rsidRDefault="00507506" w:rsidP="003C09C8">
      <w:pPr>
        <w:pStyle w:val="HChG"/>
      </w:pPr>
      <w:r w:rsidRPr="00511DA9">
        <w:tab/>
      </w:r>
      <w:r w:rsidRPr="00511DA9">
        <w:tab/>
      </w:r>
      <w:r w:rsidRPr="003C09C8">
        <w:t>Introduction</w:t>
      </w:r>
    </w:p>
    <w:p w:rsidR="00507506" w:rsidRPr="00511DA9" w:rsidRDefault="00507506" w:rsidP="003C09C8">
      <w:pPr>
        <w:pStyle w:val="ParNoG"/>
      </w:pPr>
      <w:r w:rsidRPr="00511DA9">
        <w:t xml:space="preserve">À la dernière session, plusieurs propositions </w:t>
      </w:r>
      <w:r w:rsidR="00FA4205">
        <w:t>(</w:t>
      </w:r>
      <w:r w:rsidRPr="00511DA9">
        <w:t>(ST/SG/AC.10/C.3/2016/9, documents informels INF.10, INF.51 et INF.52 (</w:t>
      </w:r>
      <w:r w:rsidR="003C09C8">
        <w:t>quarante-huitième </w:t>
      </w:r>
      <w:r w:rsidRPr="00511DA9">
        <w:t>session)</w:t>
      </w:r>
      <w:r w:rsidR="00FA4205">
        <w:t>)</w:t>
      </w:r>
      <w:r w:rsidRPr="00511DA9">
        <w:t xml:space="preserve"> ont été soumises concernant les emballages pour matières infectieuses. Un groupe de travail s</w:t>
      </w:r>
      <w:r>
        <w:t>’</w:t>
      </w:r>
      <w:r w:rsidRPr="00511DA9">
        <w:t>est réuni à l</w:t>
      </w:r>
      <w:r>
        <w:t>’</w:t>
      </w:r>
      <w:r w:rsidRPr="00511DA9">
        <w:t>heure du déjeuner pour examiner plusieurs aspects, sans parvenir à une solution définitive (voir le document informel INF.75).</w:t>
      </w:r>
    </w:p>
    <w:p w:rsidR="00507506" w:rsidRPr="00511DA9" w:rsidRDefault="00507506" w:rsidP="003C09C8">
      <w:pPr>
        <w:pStyle w:val="ParNoG"/>
      </w:pPr>
      <w:r w:rsidRPr="00511DA9">
        <w:t>L</w:t>
      </w:r>
      <w:r>
        <w:t>’</w:t>
      </w:r>
      <w:r w:rsidRPr="00511DA9">
        <w:t>Allemagne a passé en revue tous les arguments et toutes les perspectives qui se sont dégagés de la quarante-neuvième session, en ce qui concerne les emballages pour déchets d</w:t>
      </w:r>
      <w:r>
        <w:t>’</w:t>
      </w:r>
      <w:r w:rsidRPr="00511DA9">
        <w:t>hôpital de la catégorie A. Le groupe de travail est parvenu à la conclusion que les nouvelles dispositions ne devraient pas interférer avec les prescriptions générales relatives au transport de marchandises affectées à la classe 6.2. C</w:t>
      </w:r>
      <w:r>
        <w:t>’</w:t>
      </w:r>
      <w:r w:rsidRPr="00511DA9">
        <w:t>est pourquoi la proposition révisée comprend un nouveau numéro ONU pour les déchets d</w:t>
      </w:r>
      <w:r>
        <w:t>’</w:t>
      </w:r>
      <w:r w:rsidRPr="00511DA9">
        <w:t>hôpital de la catégorie A ainsi qu</w:t>
      </w:r>
      <w:r>
        <w:t>’</w:t>
      </w:r>
      <w:r w:rsidRPr="00511DA9">
        <w:t>une instruction d</w:t>
      </w:r>
      <w:r>
        <w:t>’</w:t>
      </w:r>
      <w:r w:rsidRPr="00511DA9">
        <w:t>emballage distincte y relative, pour permettre une différenciation explicite. Il est suggéré d</w:t>
      </w:r>
      <w:r>
        <w:t>’</w:t>
      </w:r>
      <w:r w:rsidRPr="00511DA9">
        <w:t xml:space="preserve">utiliser une dénomination fondée sur le libellé du </w:t>
      </w:r>
      <w:r w:rsidR="002D6542">
        <w:t>No</w:t>
      </w:r>
      <w:r w:rsidRPr="00511DA9">
        <w:t xml:space="preserve"> ONU 3291, en y ajoutant la mention «</w:t>
      </w:r>
      <w:r w:rsidR="002D6542">
        <w:t> </w:t>
      </w:r>
      <w:r w:rsidRPr="00511DA9">
        <w:t>catégorie A</w:t>
      </w:r>
      <w:r w:rsidR="002D6542">
        <w:t> </w:t>
      </w:r>
      <w:r w:rsidRPr="00511DA9">
        <w:t xml:space="preserve">». Des modifications doivent donc être apportées aux chapitres 1.4 et 2.6. La désignation officielle de transport du </w:t>
      </w:r>
      <w:r w:rsidR="002D6542">
        <w:t>No</w:t>
      </w:r>
      <w:r w:rsidRPr="00511DA9">
        <w:t xml:space="preserve"> ONU 3291 devrait </w:t>
      </w:r>
      <w:r w:rsidRPr="00511DA9">
        <w:lastRenderedPageBreak/>
        <w:t>également être modifiée en conséquence, de sorte à établir une distinction explicite entre les déchets de la catégorie A et ceux de la catégorie B.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>L</w:t>
      </w:r>
      <w:r>
        <w:t>’</w:t>
      </w:r>
      <w:r w:rsidRPr="00511DA9">
        <w:t>instruction d</w:t>
      </w:r>
      <w:r>
        <w:t>’</w:t>
      </w:r>
      <w:r w:rsidRPr="00511DA9">
        <w:t>emballage qu</w:t>
      </w:r>
      <w:r>
        <w:t>’</w:t>
      </w:r>
      <w:r w:rsidRPr="00511DA9">
        <w:t>il est proposé d</w:t>
      </w:r>
      <w:r>
        <w:t>’</w:t>
      </w:r>
      <w:r w:rsidRPr="00511DA9">
        <w:t>adopter prévoit un emballage triple et que les déchets soient considérés comme solides si du matériau absorbant est emballé en quantité suffisante avec le déchet concerné. Des dispositions relatives à la désinfection des emballages intérieurs avant leur placement dans les emballages extérieurs ont été ajoutées dans l</w:t>
      </w:r>
      <w:r>
        <w:t>’</w:t>
      </w:r>
      <w:r w:rsidRPr="00511DA9">
        <w:t>instruction d</w:t>
      </w:r>
      <w:r>
        <w:t>’</w:t>
      </w:r>
      <w:r w:rsidRPr="00511DA9">
        <w:t>emballage en tant que prescription supplémentaire. Il incombe à l</w:t>
      </w:r>
      <w:r>
        <w:t>’</w:t>
      </w:r>
      <w:r w:rsidRPr="00511DA9">
        <w:t>autorité de santé publique compétente de décider comment et dans quelle mesure il convient de procéder à une désinfection</w:t>
      </w:r>
      <w:r w:rsidR="002D6542">
        <w:t> </w:t>
      </w:r>
      <w:r w:rsidRPr="00511DA9">
        <w:t>; il s</w:t>
      </w:r>
      <w:r>
        <w:t>’</w:t>
      </w:r>
      <w:r w:rsidRPr="00511DA9">
        <w:t>agit en effet d</w:t>
      </w:r>
      <w:r>
        <w:t>’</w:t>
      </w:r>
      <w:r w:rsidRPr="00511DA9">
        <w:t>une question d</w:t>
      </w:r>
      <w:r>
        <w:t>’</w:t>
      </w:r>
      <w:r w:rsidRPr="00511DA9">
        <w:t>ordre opérationnel, influencée de surcroît par le type d</w:t>
      </w:r>
      <w:r>
        <w:t>’</w:t>
      </w:r>
      <w:r w:rsidRPr="00511DA9">
        <w:t>emballages utilisés pour les différentes couches. À titre d</w:t>
      </w:r>
      <w:r>
        <w:t>’</w:t>
      </w:r>
      <w:r w:rsidRPr="00511DA9">
        <w:t>exemple, les sacs en plastique sont difficiles à désinfecter, le matériau pouvant être altéré par le désinfectant.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 xml:space="preserve">Les emballages doivent être éprouvés et </w:t>
      </w:r>
      <w:r>
        <w:t>agréés</w:t>
      </w:r>
      <w:r w:rsidRPr="00511DA9">
        <w:t xml:space="preserve"> conformément aux prescriptions du chapitre 6.3. Ce chapitre a été conçu spécialement pour les matières de la catégorie A, et </w:t>
      </w:r>
      <w:r>
        <w:t>les épreuves qui y sont décrites simulent un accident</w:t>
      </w:r>
      <w:r w:rsidRPr="00511DA9">
        <w:t xml:space="preserve"> </w:t>
      </w:r>
      <w:r>
        <w:t xml:space="preserve">et non </w:t>
      </w:r>
      <w:r w:rsidRPr="00511DA9">
        <w:t xml:space="preserve">des conditions de transport </w:t>
      </w:r>
      <w:r>
        <w:t>normales</w:t>
      </w:r>
      <w:r w:rsidRPr="00511DA9">
        <w:t>. Une épreuve de chute d</w:t>
      </w:r>
      <w:r>
        <w:t>’</w:t>
      </w:r>
      <w:r w:rsidRPr="00511DA9">
        <w:t>une hauteur de 9 m est prévue et doit faire l</w:t>
      </w:r>
      <w:r>
        <w:t>’</w:t>
      </w:r>
      <w:r w:rsidRPr="00511DA9">
        <w:t>objet d</w:t>
      </w:r>
      <w:r>
        <w:t>’</w:t>
      </w:r>
      <w:r w:rsidRPr="00511DA9">
        <w:t>une préparation spéciale (par exemple, un conditionnement à froid pour les emballages en plastique), ainsi qu</w:t>
      </w:r>
      <w:r>
        <w:t>’</w:t>
      </w:r>
      <w:r w:rsidRPr="00511DA9">
        <w:t>une épreuve de perforation. L</w:t>
      </w:r>
      <w:r>
        <w:t>’</w:t>
      </w:r>
      <w:r w:rsidRPr="00511DA9">
        <w:t>Allemagne ne voit aucune raison à ce qu</w:t>
      </w:r>
      <w:r>
        <w:t>’</w:t>
      </w:r>
      <w:r w:rsidRPr="00511DA9">
        <w:t>un protocole d</w:t>
      </w:r>
      <w:r>
        <w:t>’</w:t>
      </w:r>
      <w:r w:rsidRPr="00511DA9">
        <w:t>épreuves moins strict soit réservé aux déchets d</w:t>
      </w:r>
      <w:r>
        <w:t>’</w:t>
      </w:r>
      <w:r w:rsidRPr="00511DA9">
        <w:t xml:space="preserve">hôpital de la catégorie A. Le seul problème du chapitre 6.3 est le suivant : il est </w:t>
      </w:r>
      <w:r>
        <w:t>demandé</w:t>
      </w:r>
      <w:r w:rsidRPr="00511DA9">
        <w:t xml:space="preserve"> de remplir un récipient avec de l</w:t>
      </w:r>
      <w:r>
        <w:t>’</w:t>
      </w:r>
      <w:r w:rsidRPr="00511DA9">
        <w:t>eau aux fins de l</w:t>
      </w:r>
      <w:r>
        <w:t>’</w:t>
      </w:r>
      <w:r w:rsidRPr="00511DA9">
        <w:t>épreuve de chute mais l</w:t>
      </w:r>
      <w:r>
        <w:t>’</w:t>
      </w:r>
      <w:r w:rsidRPr="00511DA9">
        <w:t>adjonction de matériau de rembourrage correspondant aux propriétés de l</w:t>
      </w:r>
      <w:r>
        <w:t>’</w:t>
      </w:r>
      <w:r w:rsidRPr="00511DA9">
        <w:t>emballage des déchets peut déterminer le résultat de l</w:t>
      </w:r>
      <w:r>
        <w:t>’</w:t>
      </w:r>
      <w:r w:rsidRPr="00511DA9">
        <w:t>épreuve. L</w:t>
      </w:r>
      <w:r>
        <w:t>’</w:t>
      </w:r>
      <w:r w:rsidRPr="00511DA9">
        <w:t>épreuve de chute d</w:t>
      </w:r>
      <w:r>
        <w:t>’</w:t>
      </w:r>
      <w:r w:rsidRPr="00511DA9">
        <w:t>une hauteur de 9 m est indispensable pour déterminer si l</w:t>
      </w:r>
      <w:r>
        <w:t>’</w:t>
      </w:r>
      <w:r w:rsidRPr="00511DA9">
        <w:t>emballage est adapté au transport de déchets infectieux de la catégorie A. Il peut toutefois être difficile d</w:t>
      </w:r>
      <w:r>
        <w:t>’</w:t>
      </w:r>
      <w:r w:rsidRPr="00511DA9">
        <w:t>avoir accès à un laboratoire d</w:t>
      </w:r>
      <w:r>
        <w:t>’</w:t>
      </w:r>
      <w:r w:rsidRPr="00511DA9">
        <w:t>épreuve disposant d</w:t>
      </w:r>
      <w:r>
        <w:t>’</w:t>
      </w:r>
      <w:r w:rsidRPr="00511DA9">
        <w:t>une hauteur suffisante</w:t>
      </w:r>
      <w:r w:rsidR="002D6542">
        <w:t> </w:t>
      </w:r>
      <w:r w:rsidRPr="00511DA9">
        <w:t>; c</w:t>
      </w:r>
      <w:r>
        <w:t>’</w:t>
      </w:r>
      <w:r w:rsidRPr="00511DA9">
        <w:t>est pourquoi il est suggéré d</w:t>
      </w:r>
      <w:r>
        <w:t>’</w:t>
      </w:r>
      <w:r w:rsidRPr="00511DA9">
        <w:t>avoir recours à d</w:t>
      </w:r>
      <w:r>
        <w:t>’</w:t>
      </w:r>
      <w:r w:rsidRPr="00511DA9">
        <w:t>autres méthodes, sous réserve de l</w:t>
      </w:r>
      <w:r>
        <w:t>’</w:t>
      </w:r>
      <w:r w:rsidRPr="00511DA9">
        <w:t>approbation de l</w:t>
      </w:r>
      <w:r>
        <w:t>’</w:t>
      </w:r>
      <w:r w:rsidRPr="00511DA9">
        <w:t>autorité compétente, ce qui permettrait, par exemple, de remplacer l</w:t>
      </w:r>
      <w:r>
        <w:t>’</w:t>
      </w:r>
      <w:r w:rsidRPr="00511DA9">
        <w:t>épreuve de chute par un calcul du rapport entre la masse de l</w:t>
      </w:r>
      <w:r>
        <w:t>’</w:t>
      </w:r>
      <w:r w:rsidRPr="00511DA9">
        <w:t>échantillon et la hauteur de chute.</w:t>
      </w:r>
    </w:p>
    <w:p w:rsidR="00507506" w:rsidRPr="00511DA9" w:rsidRDefault="00507506" w:rsidP="003C09C8">
      <w:pPr>
        <w:pStyle w:val="ParNoG"/>
        <w:tabs>
          <w:tab w:val="clear" w:pos="1701"/>
        </w:tabs>
        <w:rPr>
          <w:sz w:val="28"/>
          <w:szCs w:val="28"/>
        </w:rPr>
      </w:pPr>
      <w:r w:rsidRPr="00511DA9">
        <w:t>Il convient donc de modifier les dispositions de marquage du chapitre 6.3 de sorte à permettre de différencier entre les emballages éprouvés pour le transport de déchets solides de la catégorie A et les emballages éprouvés pour le transport de déchets liquides. L</w:t>
      </w:r>
      <w:r>
        <w:t>’</w:t>
      </w:r>
      <w:r w:rsidRPr="00511DA9">
        <w:t>indication de la masse brute sur le marquage permettra</w:t>
      </w:r>
      <w:r>
        <w:t>it</w:t>
      </w:r>
      <w:r w:rsidRPr="00511DA9">
        <w:t xml:space="preserve"> d</w:t>
      </w:r>
      <w:r>
        <w:t>’</w:t>
      </w:r>
      <w:r w:rsidRPr="00511DA9">
        <w:t>éviter le surremplissage.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>On notera que l</w:t>
      </w:r>
      <w:r>
        <w:t>’</w:t>
      </w:r>
      <w:r w:rsidRPr="00511DA9">
        <w:t>agrément des emballages aux fins du transport des matières infectieuses de la catégorie A n</w:t>
      </w:r>
      <w:r>
        <w:t>’</w:t>
      </w:r>
      <w:r w:rsidRPr="00511DA9">
        <w:t>est qu</w:t>
      </w:r>
      <w:r>
        <w:t>’</w:t>
      </w:r>
      <w:r w:rsidRPr="00511DA9">
        <w:t>un élément du processus de transport des déchets de cette catégorie. Les opérations de transport de telles matières relèvent toujours du régime juridique de l</w:t>
      </w:r>
      <w:r>
        <w:t>’</w:t>
      </w:r>
      <w:r w:rsidRPr="00511DA9">
        <w:t>autorité de santé publique compétente. Il incombe à celle-ci de décider si le risque public est justifiable et si une telle opération de transport peut être effectuée et, le cas échéant, d</w:t>
      </w:r>
      <w:r>
        <w:t>’</w:t>
      </w:r>
      <w:r w:rsidRPr="00511DA9">
        <w:t>imposer des mesures supplémentaires en matière de sécurité et de sûreté, au regard des situations locale et régionale.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>Cette proposition n</w:t>
      </w:r>
      <w:r>
        <w:t>’</w:t>
      </w:r>
      <w:r w:rsidRPr="00511DA9">
        <w:t>est pas incompatible avec les réglementations nationales existantes. Il a été fait observer que les emballages existants prévus pour le transport des déchets de la catégorie A ne seraient pas conformes à la nouvelle réglementation. Néanmoins, ils ne seraient pas non plus conformes à la version actuelle du Règlement type et pourraient toujours servir, si nécessaire, aux opérations nationales de transport. La majorité des opérations de transport concernées relèvent probablement de la sphère nationale. C</w:t>
      </w:r>
      <w:r>
        <w:t>’</w:t>
      </w:r>
      <w:r w:rsidRPr="00511DA9">
        <w:t>est pourquoi, en fonction de la situation et des installations existantes à l</w:t>
      </w:r>
      <w:r>
        <w:t>’</w:t>
      </w:r>
      <w:r w:rsidRPr="00511DA9">
        <w:t>échelle locale, on pourra continuer d</w:t>
      </w:r>
      <w:r>
        <w:t>’</w:t>
      </w:r>
      <w:r w:rsidRPr="00511DA9">
        <w:t>appliquer une réglementation moins stricte, compte tenu des dispositions applicables au niveau national.</w:t>
      </w:r>
    </w:p>
    <w:p w:rsidR="00507506" w:rsidRPr="00511DA9" w:rsidRDefault="00507506" w:rsidP="00507506">
      <w:pPr>
        <w:pStyle w:val="HChG"/>
        <w:spacing w:line="240" w:lineRule="auto"/>
      </w:pPr>
      <w:r w:rsidRPr="00511DA9">
        <w:lastRenderedPageBreak/>
        <w:tab/>
      </w:r>
      <w:r w:rsidRPr="00511DA9">
        <w:tab/>
        <w:t>Proposition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>1.4.3.1.2</w:t>
      </w:r>
      <w:r w:rsidR="003C09C8">
        <w:t> </w:t>
      </w:r>
      <w:r w:rsidRPr="00511DA9">
        <w:t xml:space="preserve">: Modifier le texte du tableau 1.4.1 concernant les matières infectieuses, comme suit (nouveau texte </w:t>
      </w:r>
      <w:r w:rsidRPr="00511DA9">
        <w:rPr>
          <w:u w:val="single"/>
        </w:rPr>
        <w:t>souligné</w:t>
      </w:r>
      <w:r w:rsidRPr="00511DA9">
        <w:t>)</w:t>
      </w:r>
      <w:r w:rsidR="003C09C8">
        <w:t> </w:t>
      </w:r>
      <w:r w:rsidRPr="00511DA9">
        <w:t>:</w:t>
      </w:r>
    </w:p>
    <w:p w:rsidR="00507506" w:rsidRPr="00511DA9" w:rsidRDefault="00507506" w:rsidP="00507506">
      <w:pPr>
        <w:pStyle w:val="SingleTxtG"/>
        <w:tabs>
          <w:tab w:val="left" w:pos="3119"/>
        </w:tabs>
        <w:spacing w:line="240" w:lineRule="auto"/>
        <w:ind w:left="1701"/>
        <w:rPr>
          <w:u w:val="single"/>
        </w:rPr>
      </w:pPr>
      <w:r w:rsidRPr="00511DA9">
        <w:t>«</w:t>
      </w:r>
      <w:r w:rsidR="003C09C8">
        <w:t> </w:t>
      </w:r>
      <w:r w:rsidRPr="00511DA9">
        <w:t>Division 6.2</w:t>
      </w:r>
      <w:r w:rsidRPr="00511DA9">
        <w:tab/>
        <w:t xml:space="preserve">matières infectieuses de la catégorie A (Nos ONU 2814 et 2900), </w:t>
      </w:r>
      <w:r w:rsidRPr="00511DA9">
        <w:rPr>
          <w:u w:val="single"/>
        </w:rPr>
        <w:t>déchets médicaux ou déchets d</w:t>
      </w:r>
      <w:r>
        <w:rPr>
          <w:u w:val="single"/>
        </w:rPr>
        <w:t>’</w:t>
      </w:r>
      <w:r w:rsidRPr="00511DA9">
        <w:rPr>
          <w:u w:val="single"/>
        </w:rPr>
        <w:t>hôpital de la catégorie A (No ONU 35XX</w:t>
      </w:r>
      <w:proofErr w:type="gramStart"/>
      <w:r w:rsidRPr="00511DA9">
        <w:rPr>
          <w:u w:val="single"/>
        </w:rPr>
        <w:t>)</w:t>
      </w:r>
      <w:r w:rsidR="003C09C8">
        <w:rPr>
          <w:u w:val="single"/>
        </w:rPr>
        <w:t> </w:t>
      </w:r>
      <w:r w:rsidR="002D6542">
        <w:rPr>
          <w:u w:val="single"/>
        </w:rPr>
        <w:t>.</w:t>
      </w:r>
      <w:proofErr w:type="gramEnd"/>
      <w:r w:rsidRPr="00511DA9">
        <w:t>».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 xml:space="preserve">Modifier le 2.6.3.2.1 comme suit (nouveau texte </w:t>
      </w:r>
      <w:r w:rsidRPr="00511DA9">
        <w:rPr>
          <w:u w:val="single"/>
        </w:rPr>
        <w:t>souligné</w:t>
      </w:r>
      <w:r w:rsidRPr="00511DA9">
        <w:t>)</w:t>
      </w:r>
      <w:r w:rsidR="003C09C8">
        <w:t> </w:t>
      </w:r>
      <w:r w:rsidRPr="00511DA9">
        <w:t>:</w:t>
      </w:r>
    </w:p>
    <w:p w:rsidR="00507506" w:rsidRPr="00511DA9" w:rsidRDefault="00507506" w:rsidP="003C09C8">
      <w:pPr>
        <w:pStyle w:val="SingleTxtG"/>
        <w:tabs>
          <w:tab w:val="left" w:pos="3119"/>
        </w:tabs>
        <w:spacing w:line="240" w:lineRule="auto"/>
        <w:ind w:left="3119" w:hanging="1418"/>
      </w:pPr>
      <w:r w:rsidRPr="00511DA9">
        <w:t>«</w:t>
      </w:r>
      <w:r w:rsidR="003C09C8">
        <w:t> </w:t>
      </w:r>
      <w:r w:rsidRPr="00511DA9">
        <w:t>2.6.3.2.1</w:t>
      </w:r>
      <w:r w:rsidRPr="00511DA9">
        <w:tab/>
        <w:t>Les matières infectieuses doivent être classées dans la division 6.2 et affectées aux Nos ONU 2814, 2900, 3291</w:t>
      </w:r>
      <w:r w:rsidRPr="00511DA9">
        <w:rPr>
          <w:u w:val="single"/>
        </w:rPr>
        <w:t>,</w:t>
      </w:r>
      <w:r w:rsidRPr="00511DA9">
        <w:t xml:space="preserve"> 3373 </w:t>
      </w:r>
      <w:r w:rsidRPr="00511DA9">
        <w:rPr>
          <w:u w:val="single"/>
        </w:rPr>
        <w:t>ou 35XX</w:t>
      </w:r>
      <w:r w:rsidRPr="00511DA9">
        <w:t>, selon le cas.</w:t>
      </w:r>
      <w:r w:rsidR="003C09C8">
        <w:t> </w:t>
      </w:r>
      <w:r w:rsidRPr="00511DA9">
        <w:t>».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>Modifier l</w:t>
      </w:r>
      <w:r>
        <w:t>’</w:t>
      </w:r>
      <w:r w:rsidRPr="00511DA9">
        <w:t xml:space="preserve">alinéa a) du 2.6.3.2.3.9 comme suit (nouveau texte </w:t>
      </w:r>
      <w:r w:rsidRPr="00511DA9">
        <w:rPr>
          <w:u w:val="single"/>
        </w:rPr>
        <w:t>souligné</w:t>
      </w:r>
      <w:r w:rsidRPr="00511DA9">
        <w:t>)</w:t>
      </w:r>
      <w:r w:rsidR="003C09C8">
        <w:t> </w:t>
      </w:r>
      <w:r w:rsidRPr="00511DA9">
        <w:t xml:space="preserve">: </w:t>
      </w:r>
    </w:p>
    <w:p w:rsidR="00507506" w:rsidRPr="00511DA9" w:rsidRDefault="00507506" w:rsidP="00507506">
      <w:pPr>
        <w:pStyle w:val="SingleTxtG"/>
        <w:spacing w:line="240" w:lineRule="auto"/>
        <w:ind w:firstLine="567"/>
        <w:rPr>
          <w:u w:val="single"/>
        </w:rPr>
      </w:pPr>
      <w:r w:rsidRPr="00511DA9">
        <w:t>«</w:t>
      </w:r>
      <w:r w:rsidR="003C09C8">
        <w:t> </w:t>
      </w:r>
      <w:proofErr w:type="gramStart"/>
      <w:r w:rsidRPr="00511DA9">
        <w:t>des</w:t>
      </w:r>
      <w:proofErr w:type="gramEnd"/>
      <w:r w:rsidRPr="00511DA9">
        <w:t xml:space="preserve"> déchets médicaux (No</w:t>
      </w:r>
      <w:r w:rsidRPr="00511DA9">
        <w:rPr>
          <w:u w:val="single"/>
        </w:rPr>
        <w:t>s</w:t>
      </w:r>
      <w:r w:rsidRPr="00511DA9">
        <w:t xml:space="preserve"> ONU 3291 </w:t>
      </w:r>
      <w:r w:rsidRPr="00511DA9">
        <w:rPr>
          <w:u w:val="single"/>
        </w:rPr>
        <w:t>et 35XX</w:t>
      </w:r>
      <w:r w:rsidRPr="00511DA9">
        <w:t>)</w:t>
      </w:r>
      <w:r w:rsidR="003C09C8">
        <w:t> </w:t>
      </w:r>
      <w:r w:rsidRPr="00511DA9">
        <w:t>;</w:t>
      </w:r>
      <w:r w:rsidR="003C09C8">
        <w:t> </w:t>
      </w:r>
      <w:r w:rsidRPr="00511DA9">
        <w:t>».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 xml:space="preserve">Modifier le 2.6.3.5.1 comme suit (nouveau texte </w:t>
      </w:r>
      <w:r w:rsidRPr="00511DA9">
        <w:rPr>
          <w:u w:val="single"/>
        </w:rPr>
        <w:t>souligné</w:t>
      </w:r>
      <w:r w:rsidRPr="00511DA9">
        <w:t xml:space="preserve">, texte supprimé </w:t>
      </w:r>
      <w:r w:rsidRPr="00511DA9">
        <w:rPr>
          <w:strike/>
        </w:rPr>
        <w:t>biffé</w:t>
      </w:r>
      <w:r w:rsidRPr="00511DA9">
        <w:t>)</w:t>
      </w:r>
      <w:r w:rsidR="008618BD">
        <w:t> </w:t>
      </w:r>
      <w:r w:rsidRPr="00511DA9">
        <w:t>:</w:t>
      </w:r>
    </w:p>
    <w:p w:rsidR="00507506" w:rsidRPr="00511DA9" w:rsidRDefault="00507506" w:rsidP="00507506">
      <w:pPr>
        <w:pStyle w:val="SingleTxtG"/>
        <w:spacing w:line="240" w:lineRule="auto"/>
        <w:ind w:left="1701"/>
      </w:pPr>
      <w:r w:rsidRPr="00511DA9">
        <w:t>«</w:t>
      </w:r>
      <w:r w:rsidR="008618BD">
        <w:t> </w:t>
      </w:r>
      <w:r w:rsidRPr="00511DA9">
        <w:t>2.6.3.5.1</w:t>
      </w:r>
      <w:r w:rsidRPr="00511DA9">
        <w:tab/>
        <w:t>Les déchets médicaux ou déchets d</w:t>
      </w:r>
      <w:r>
        <w:t>’</w:t>
      </w:r>
      <w:r w:rsidRPr="00511DA9">
        <w:t>hôpital contenant des matières infectieuses de la catégorie A sont affectés au</w:t>
      </w:r>
      <w:r w:rsidRPr="00511DA9">
        <w:rPr>
          <w:strike/>
        </w:rPr>
        <w:t>x Nos ONU 2814 ou 2900, selon le cas</w:t>
      </w:r>
      <w:r w:rsidRPr="00511DA9">
        <w:t xml:space="preserve"> </w:t>
      </w:r>
      <w:r w:rsidRPr="00511DA9">
        <w:rPr>
          <w:u w:val="single"/>
        </w:rPr>
        <w:t>No ONU 35XX</w:t>
      </w:r>
      <w:r w:rsidRPr="00511DA9">
        <w:t>. Les déchets médicaux ou déchets d</w:t>
      </w:r>
      <w:r>
        <w:t>’</w:t>
      </w:r>
      <w:r w:rsidRPr="00511DA9">
        <w:t>hôpital contenant des matières infectieuses de la catégorie B sont affectés au No ONU 3291.</w:t>
      </w:r>
      <w:r w:rsidR="008618BD">
        <w:t> </w:t>
      </w:r>
      <w:r w:rsidRPr="00511DA9">
        <w:t>».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 xml:space="preserve">Modifier le nota du 2.6.3.5.2 comme suit (nouveau texte </w:t>
      </w:r>
      <w:r w:rsidRPr="00511DA9">
        <w:rPr>
          <w:u w:val="single"/>
        </w:rPr>
        <w:t>souligné</w:t>
      </w:r>
      <w:r w:rsidRPr="00511DA9">
        <w:t>)</w:t>
      </w:r>
      <w:r w:rsidR="003C09C8">
        <w:t> </w:t>
      </w:r>
      <w:r w:rsidRPr="00511DA9">
        <w:t>:</w:t>
      </w:r>
    </w:p>
    <w:p w:rsidR="00507506" w:rsidRDefault="00507506" w:rsidP="00507506">
      <w:pPr>
        <w:pStyle w:val="SingleTxtG"/>
        <w:spacing w:line="240" w:lineRule="auto"/>
        <w:ind w:left="1701"/>
        <w:rPr>
          <w:u w:val="single"/>
        </w:rPr>
      </w:pPr>
      <w:r w:rsidRPr="00511DA9">
        <w:t>«</w:t>
      </w:r>
      <w:r w:rsidR="003C09C8">
        <w:t> </w:t>
      </w:r>
      <w:r w:rsidRPr="00511DA9">
        <w:rPr>
          <w:b/>
        </w:rPr>
        <w:t>NOTA</w:t>
      </w:r>
      <w:r w:rsidR="003C09C8">
        <w:rPr>
          <w:b/>
        </w:rPr>
        <w:t> </w:t>
      </w:r>
      <w:r w:rsidRPr="00511DA9">
        <w:rPr>
          <w:b/>
        </w:rPr>
        <w:t xml:space="preserve">: </w:t>
      </w:r>
      <w:r w:rsidRPr="00511DA9">
        <w:t>La désignation off</w:t>
      </w:r>
      <w:r w:rsidR="003C09C8">
        <w:t>icielle de transport pour le No </w:t>
      </w:r>
      <w:r w:rsidRPr="00511DA9">
        <w:t xml:space="preserve">ONU 3291 est </w:t>
      </w:r>
      <w:r w:rsidR="008618BD">
        <w:rPr>
          <w:lang w:val="en-US"/>
        </w:rPr>
        <w:t>“</w:t>
      </w:r>
      <w:r w:rsidRPr="00511DA9">
        <w:t>DÉCHET D</w:t>
      </w:r>
      <w:r>
        <w:t>’</w:t>
      </w:r>
      <w:r w:rsidRPr="00511DA9">
        <w:t>HÔPITAL</w:t>
      </w:r>
      <w:r w:rsidRPr="00511DA9">
        <w:rPr>
          <w:u w:val="single"/>
        </w:rPr>
        <w:t>, CATÉGORIE B</w:t>
      </w:r>
      <w:r w:rsidRPr="00511DA9">
        <w:t>, NON SPÉCIFIÉ, N.S.A</w:t>
      </w:r>
      <w:r w:rsidR="008618BD" w:rsidRPr="008618BD">
        <w:rPr>
          <w:lang w:val="en-US"/>
        </w:rPr>
        <w:t>”</w:t>
      </w:r>
      <w:r w:rsidRPr="00511DA9">
        <w:t xml:space="preserve">. </w:t>
      </w:r>
      <w:proofErr w:type="gramStart"/>
      <w:r w:rsidRPr="00511DA9">
        <w:t>ou</w:t>
      </w:r>
      <w:proofErr w:type="gramEnd"/>
      <w:r w:rsidRPr="00511DA9">
        <w:t xml:space="preserve"> </w:t>
      </w:r>
      <w:r w:rsidR="008618BD">
        <w:rPr>
          <w:lang w:val="en-US"/>
        </w:rPr>
        <w:t>“</w:t>
      </w:r>
      <w:r w:rsidRPr="00511DA9">
        <w:t>DÉCHET (BIO) MÉDICAL, N.S.A.</w:t>
      </w:r>
      <w:r w:rsidR="008618BD" w:rsidRPr="008618BD">
        <w:rPr>
          <w:lang w:val="en-US"/>
        </w:rPr>
        <w:t>”</w:t>
      </w:r>
      <w:r w:rsidRPr="00511DA9">
        <w:t xml:space="preserve"> ou </w:t>
      </w:r>
      <w:r w:rsidR="008618BD">
        <w:rPr>
          <w:lang w:val="en-US"/>
        </w:rPr>
        <w:t>“</w:t>
      </w:r>
      <w:r w:rsidRPr="00511DA9">
        <w:t>DÉCHET MÉDICAL RÉGLEMENTÉ, N.S.A.</w:t>
      </w:r>
      <w:r w:rsidR="008618BD" w:rsidRPr="008618BD">
        <w:rPr>
          <w:lang w:val="en-US"/>
        </w:rPr>
        <w:t>”</w:t>
      </w:r>
      <w:r w:rsidRPr="00511DA9">
        <w:t xml:space="preserve">. </w:t>
      </w:r>
      <w:r w:rsidRPr="00511DA9">
        <w:rPr>
          <w:u w:val="single"/>
        </w:rPr>
        <w:t xml:space="preserve">La désignation officielle de transport pour le No ONU 35XX est </w:t>
      </w:r>
      <w:r w:rsidR="008618BD">
        <w:rPr>
          <w:lang w:val="en-US"/>
        </w:rPr>
        <w:t>“</w:t>
      </w:r>
      <w:r w:rsidRPr="00511DA9">
        <w:rPr>
          <w:u w:val="single"/>
        </w:rPr>
        <w:t>DÉCHET D</w:t>
      </w:r>
      <w:r>
        <w:rPr>
          <w:u w:val="single"/>
        </w:rPr>
        <w:t>’</w:t>
      </w:r>
      <w:r w:rsidRPr="00511DA9">
        <w:rPr>
          <w:u w:val="single"/>
        </w:rPr>
        <w:t>HÔPITAL, CATÉGORIE A, NON SPÉCIFIÉ, N.S.A</w:t>
      </w:r>
      <w:r w:rsidR="008618BD" w:rsidRPr="008618BD">
        <w:rPr>
          <w:lang w:val="en-US"/>
        </w:rPr>
        <w:t>”</w:t>
      </w:r>
      <w:r w:rsidRPr="00511DA9">
        <w:rPr>
          <w:u w:val="single"/>
        </w:rPr>
        <w:t xml:space="preserve">. </w:t>
      </w:r>
      <w:proofErr w:type="gramStart"/>
      <w:r w:rsidRPr="00511DA9">
        <w:rPr>
          <w:u w:val="single"/>
        </w:rPr>
        <w:t>ou</w:t>
      </w:r>
      <w:proofErr w:type="gramEnd"/>
      <w:r w:rsidRPr="00511DA9">
        <w:rPr>
          <w:u w:val="single"/>
        </w:rPr>
        <w:t xml:space="preserve"> </w:t>
      </w:r>
      <w:r w:rsidR="008618BD">
        <w:rPr>
          <w:lang w:val="en-US"/>
        </w:rPr>
        <w:t>“</w:t>
      </w:r>
      <w:r w:rsidRPr="00511DA9">
        <w:rPr>
          <w:u w:val="single"/>
        </w:rPr>
        <w:t>DÉCHET (BIO) MÉDICAL, CATÉGORIE A, N.S.A.</w:t>
      </w:r>
      <w:r w:rsidR="008618BD" w:rsidRPr="008618BD">
        <w:rPr>
          <w:lang w:val="en-US"/>
        </w:rPr>
        <w:t>”</w:t>
      </w:r>
      <w:r w:rsidRPr="00511DA9">
        <w:rPr>
          <w:u w:val="single"/>
        </w:rPr>
        <w:t xml:space="preserve"> ou "DÉCHET MÉDICAL RÉGLEMENTÉ, CATÉGORIE A, N.S.A.</w:t>
      </w:r>
      <w:r w:rsidR="008618BD" w:rsidRPr="008618BD">
        <w:rPr>
          <w:u w:val="single"/>
          <w:lang w:val="en-US"/>
        </w:rPr>
        <w:t>”</w:t>
      </w:r>
      <w:r w:rsidRPr="008618BD">
        <w:rPr>
          <w:u w:val="single"/>
        </w:rPr>
        <w:t>.</w:t>
      </w:r>
      <w:r w:rsidR="008618BD">
        <w:rPr>
          <w:u w:val="single"/>
        </w:rPr>
        <w:t> </w:t>
      </w:r>
      <w:r w:rsidRPr="00511DA9">
        <w:rPr>
          <w:u w:val="single"/>
        </w:rPr>
        <w:t>».</w:t>
      </w:r>
    </w:p>
    <w:p w:rsidR="002D6542" w:rsidRPr="00511DA9" w:rsidRDefault="002D6542" w:rsidP="00507506">
      <w:pPr>
        <w:pStyle w:val="SingleTxtG"/>
        <w:spacing w:line="240" w:lineRule="auto"/>
        <w:ind w:left="1701"/>
        <w:rPr>
          <w:u w:val="single"/>
        </w:rPr>
      </w:pPr>
    </w:p>
    <w:p w:rsidR="00507506" w:rsidRDefault="00507506" w:rsidP="003C09C8">
      <w:pPr>
        <w:pStyle w:val="ParNoG"/>
        <w:tabs>
          <w:tab w:val="clear" w:pos="1701"/>
        </w:tabs>
      </w:pPr>
      <w:r w:rsidRPr="00511DA9">
        <w:t>Ajouter le No ONU 35XX à la liste des marchandises dangereuses du 3.2.1, et modifier la désignatio</w:t>
      </w:r>
      <w:r w:rsidR="004C6B27">
        <w:t>n officielle de transport du No </w:t>
      </w:r>
      <w:r w:rsidRPr="00511DA9">
        <w:t>ONU 3291 en conséquence</w:t>
      </w:r>
      <w:r w:rsidR="00725D21">
        <w:t> </w:t>
      </w:r>
      <w:r w:rsidRPr="00511DA9">
        <w:t>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7"/>
        <w:gridCol w:w="1211"/>
        <w:gridCol w:w="616"/>
        <w:gridCol w:w="798"/>
        <w:gridCol w:w="938"/>
        <w:gridCol w:w="910"/>
        <w:gridCol w:w="476"/>
        <w:gridCol w:w="517"/>
        <w:gridCol w:w="980"/>
        <w:gridCol w:w="868"/>
        <w:gridCol w:w="882"/>
        <w:gridCol w:w="876"/>
      </w:tblGrid>
      <w:tr w:rsidR="00DD603A" w:rsidRPr="002D6542" w:rsidTr="002D654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DD603A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No</w:t>
            </w:r>
            <w:r w:rsidRPr="002D6542">
              <w:rPr>
                <w:i/>
                <w:sz w:val="16"/>
                <w:szCs w:val="16"/>
              </w:rPr>
              <w:br/>
            </w:r>
            <w:r w:rsidR="00BC167C" w:rsidRPr="002D6542">
              <w:rPr>
                <w:i/>
                <w:sz w:val="16"/>
                <w:szCs w:val="16"/>
              </w:rPr>
              <w:t>ONU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DD603A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Nom</w:t>
            </w:r>
            <w:r w:rsidRPr="002D6542">
              <w:rPr>
                <w:i/>
                <w:sz w:val="16"/>
                <w:szCs w:val="16"/>
              </w:rPr>
              <w:br/>
            </w:r>
            <w:r w:rsidR="00BC167C" w:rsidRPr="002D6542">
              <w:rPr>
                <w:i/>
                <w:sz w:val="16"/>
                <w:szCs w:val="16"/>
              </w:rPr>
              <w:t>et description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Classe</w:t>
            </w:r>
            <w:r w:rsidRPr="002D6542">
              <w:rPr>
                <w:i/>
                <w:sz w:val="16"/>
                <w:szCs w:val="16"/>
              </w:rPr>
              <w:br/>
              <w:t>ou division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Risque</w:t>
            </w:r>
            <w:r w:rsidRPr="002D6542">
              <w:rPr>
                <w:i/>
                <w:sz w:val="16"/>
                <w:szCs w:val="16"/>
              </w:rPr>
              <w:br/>
              <w:t>subsidiaire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DD603A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Groupe</w:t>
            </w:r>
            <w:r w:rsidRPr="002D6542">
              <w:rPr>
                <w:i/>
                <w:sz w:val="16"/>
                <w:szCs w:val="16"/>
              </w:rPr>
              <w:br/>
            </w:r>
            <w:r w:rsidR="00BC167C" w:rsidRPr="002D6542">
              <w:rPr>
                <w:i/>
                <w:sz w:val="16"/>
                <w:szCs w:val="16"/>
              </w:rPr>
              <w:t>d’emballage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DD603A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Dispositions</w:t>
            </w:r>
            <w:r w:rsidRPr="002D6542">
              <w:rPr>
                <w:i/>
                <w:sz w:val="16"/>
                <w:szCs w:val="16"/>
              </w:rPr>
              <w:br/>
            </w:r>
            <w:r w:rsidR="00BC167C" w:rsidRPr="002D6542">
              <w:rPr>
                <w:i/>
                <w:sz w:val="16"/>
                <w:szCs w:val="16"/>
              </w:rPr>
              <w:t>spéciales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Quantités</w:t>
            </w:r>
            <w:r w:rsidRPr="002D6542">
              <w:rPr>
                <w:i/>
                <w:sz w:val="16"/>
                <w:szCs w:val="16"/>
              </w:rPr>
              <w:br/>
              <w:t>limitées</w:t>
            </w:r>
            <w:r w:rsidRPr="002D6542">
              <w:rPr>
                <w:i/>
                <w:sz w:val="16"/>
                <w:szCs w:val="16"/>
              </w:rPr>
              <w:br/>
              <w:t>et quantités exceptées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Emballages et GRV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Citernes mobiles</w:t>
            </w:r>
            <w:r w:rsidRPr="002D6542">
              <w:rPr>
                <w:i/>
                <w:sz w:val="16"/>
                <w:szCs w:val="16"/>
              </w:rPr>
              <w:br/>
              <w:t>et conteneurs pour vrac</w:t>
            </w:r>
          </w:p>
        </w:tc>
      </w:tr>
      <w:tr w:rsidR="00BC167C" w:rsidRPr="00791D15" w:rsidTr="002D6542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791D15" w:rsidRDefault="00BC167C" w:rsidP="00DD603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791D15" w:rsidRDefault="00BC167C" w:rsidP="00DD603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791D15" w:rsidRDefault="00BC167C" w:rsidP="00DD603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791D15" w:rsidRDefault="00BC167C" w:rsidP="00DD603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938" w:type="dxa"/>
            <w:vMerge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791D15" w:rsidRDefault="00BC167C" w:rsidP="00DD603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791D15" w:rsidRDefault="00BC167C" w:rsidP="00DD603A">
            <w:pPr>
              <w:spacing w:before="40" w:after="40" w:line="2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791D15" w:rsidRDefault="00BC167C" w:rsidP="00DD603A">
            <w:pPr>
              <w:spacing w:before="40" w:after="4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Instructions</w:t>
            </w:r>
            <w:r w:rsidRPr="002D6542">
              <w:rPr>
                <w:i/>
                <w:sz w:val="16"/>
                <w:szCs w:val="16"/>
              </w:rPr>
              <w:br/>
              <w:t>d’emballage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Dispositions</w:t>
            </w:r>
            <w:r w:rsidRPr="002D6542">
              <w:rPr>
                <w:i/>
                <w:sz w:val="16"/>
                <w:szCs w:val="16"/>
              </w:rPr>
              <w:br/>
              <w:t>spéciales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Instructions</w:t>
            </w:r>
            <w:r w:rsidRPr="002D6542">
              <w:rPr>
                <w:i/>
                <w:sz w:val="16"/>
                <w:szCs w:val="16"/>
              </w:rPr>
              <w:br/>
              <w:t>de transport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BC167C" w:rsidRPr="002D6542" w:rsidRDefault="00BC167C" w:rsidP="002D6542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2D6542">
              <w:rPr>
                <w:i/>
                <w:sz w:val="16"/>
                <w:szCs w:val="16"/>
              </w:rPr>
              <w:t>Dispositions</w:t>
            </w:r>
            <w:r w:rsidR="00C36DE4" w:rsidRPr="002D6542">
              <w:rPr>
                <w:i/>
                <w:sz w:val="16"/>
                <w:szCs w:val="16"/>
              </w:rPr>
              <w:br/>
            </w:r>
            <w:r w:rsidRPr="002D6542">
              <w:rPr>
                <w:i/>
                <w:sz w:val="16"/>
                <w:szCs w:val="16"/>
              </w:rPr>
              <w:t>spéciales</w:t>
            </w:r>
          </w:p>
        </w:tc>
      </w:tr>
      <w:tr w:rsidR="00DD603A" w:rsidRPr="00DD603A" w:rsidTr="00DD603A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(1)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(2)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(3)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(4)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(5)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(6)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(7a)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(7b)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(8)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(9)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(10)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791D15" w:rsidRPr="00DD603A" w:rsidRDefault="00791D15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(11)</w:t>
            </w:r>
          </w:p>
        </w:tc>
      </w:tr>
      <w:tr w:rsidR="00DD603A" w:rsidRPr="00DD603A" w:rsidTr="00C36DE4">
        <w:tc>
          <w:tcPr>
            <w:tcW w:w="567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pacing w:before="40" w:after="40" w:line="2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3.1.2</w:t>
            </w:r>
          </w:p>
        </w:tc>
        <w:tc>
          <w:tcPr>
            <w:tcW w:w="616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2.0</w:t>
            </w:r>
          </w:p>
        </w:tc>
        <w:tc>
          <w:tcPr>
            <w:tcW w:w="798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2.0</w:t>
            </w:r>
          </w:p>
        </w:tc>
        <w:tc>
          <w:tcPr>
            <w:tcW w:w="938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2.0.1.3</w:t>
            </w:r>
          </w:p>
        </w:tc>
        <w:tc>
          <w:tcPr>
            <w:tcW w:w="910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3.3</w:t>
            </w:r>
          </w:p>
        </w:tc>
        <w:tc>
          <w:tcPr>
            <w:tcW w:w="476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3.4</w:t>
            </w:r>
          </w:p>
        </w:tc>
        <w:tc>
          <w:tcPr>
            <w:tcW w:w="517" w:type="dxa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3.5</w:t>
            </w:r>
          </w:p>
        </w:tc>
        <w:tc>
          <w:tcPr>
            <w:tcW w:w="980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4.1.4</w:t>
            </w:r>
          </w:p>
        </w:tc>
        <w:tc>
          <w:tcPr>
            <w:tcW w:w="868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4.1.4</w:t>
            </w:r>
          </w:p>
        </w:tc>
        <w:tc>
          <w:tcPr>
            <w:tcW w:w="882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4.2.5/4.3.2</w:t>
            </w:r>
          </w:p>
        </w:tc>
        <w:tc>
          <w:tcPr>
            <w:tcW w:w="876" w:type="dxa"/>
            <w:shd w:val="clear" w:color="auto" w:fill="auto"/>
            <w:tcMar>
              <w:right w:w="57" w:type="dxa"/>
            </w:tcMar>
            <w:vAlign w:val="bottom"/>
          </w:tcPr>
          <w:p w:rsidR="00DD603A" w:rsidRPr="00DD603A" w:rsidRDefault="00DD603A" w:rsidP="00DD603A">
            <w:pPr>
              <w:suppressAutoHyphens w:val="0"/>
              <w:spacing w:before="40" w:after="40" w:line="22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4.2.5</w:t>
            </w:r>
          </w:p>
        </w:tc>
      </w:tr>
      <w:tr w:rsidR="00DD603A" w:rsidRPr="00DD603A" w:rsidTr="00C36DE4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35XX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 xml:space="preserve">DÉCHET D’HÔPITAL, CATÉGORIE A, NON SPÉCIFIÉ, N.S.A. ou DÉCHET (BIO) MÉDICAL, CATÉGORIE A, N.S.A. ou DÉCHET MÉDICAL RÉGLEMENTÉ, CATÉGORIE A, N.S.A. 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6.2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E0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  <w:r w:rsidRPr="00DD603A">
              <w:rPr>
                <w:sz w:val="16"/>
                <w:szCs w:val="16"/>
              </w:rPr>
              <w:t>P62X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DD603A" w:rsidRPr="00DD603A" w:rsidRDefault="00DD603A" w:rsidP="002D6542">
            <w:pPr>
              <w:suppressAutoHyphens w:val="0"/>
              <w:spacing w:before="40" w:after="40" w:line="200" w:lineRule="exact"/>
              <w:jc w:val="right"/>
              <w:rPr>
                <w:sz w:val="16"/>
                <w:szCs w:val="16"/>
              </w:rPr>
            </w:pPr>
          </w:p>
        </w:tc>
      </w:tr>
    </w:tbl>
    <w:p w:rsidR="00791D15" w:rsidRDefault="00791D15" w:rsidP="00791D15"/>
    <w:p w:rsidR="00507506" w:rsidRPr="00511DA9" w:rsidRDefault="00507506" w:rsidP="00507506">
      <w:pPr>
        <w:pStyle w:val="SingleTxtG"/>
        <w:spacing w:before="120" w:line="240" w:lineRule="auto"/>
      </w:pPr>
      <w:r w:rsidRPr="00511DA9">
        <w:t>Modifier la désignation officielle de transport du No ONU 3291 comme suit</w:t>
      </w:r>
      <w:r w:rsidR="008618BD">
        <w:t> </w:t>
      </w:r>
      <w:r w:rsidRPr="00511DA9">
        <w:t>: «</w:t>
      </w:r>
      <w:r w:rsidR="008618BD">
        <w:t> </w:t>
      </w:r>
      <w:r w:rsidRPr="00511DA9">
        <w:t>DÉCHET D</w:t>
      </w:r>
      <w:r>
        <w:t>’</w:t>
      </w:r>
      <w:r w:rsidRPr="00511DA9">
        <w:t>HÔPITAL</w:t>
      </w:r>
      <w:r w:rsidRPr="00511DA9">
        <w:rPr>
          <w:u w:val="single"/>
        </w:rPr>
        <w:t>, CATÉGORIE B</w:t>
      </w:r>
      <w:r w:rsidRPr="00511DA9">
        <w:t>, NON SPÉCIFIÉ, N.S.A. ou DÉCHET (BIO) MÉDICAL</w:t>
      </w:r>
      <w:r w:rsidRPr="00511DA9">
        <w:rPr>
          <w:u w:val="single"/>
        </w:rPr>
        <w:t>, CATÉGORIE B</w:t>
      </w:r>
      <w:r w:rsidRPr="00511DA9">
        <w:t>, N.S.A. ou DÉCHET MÉDICAL RÉGLEMENTÉ</w:t>
      </w:r>
      <w:r w:rsidRPr="00511DA9">
        <w:rPr>
          <w:u w:val="single"/>
        </w:rPr>
        <w:t>, CATÉGORIE B</w:t>
      </w:r>
      <w:r w:rsidRPr="00511DA9">
        <w:t>, N.S.A.</w:t>
      </w:r>
      <w:r w:rsidR="008618BD">
        <w:t> </w:t>
      </w:r>
      <w:r w:rsidRPr="00511DA9">
        <w:t>».</w:t>
      </w:r>
    </w:p>
    <w:p w:rsidR="00507506" w:rsidRPr="00511DA9" w:rsidRDefault="00507506" w:rsidP="003C09C8">
      <w:pPr>
        <w:pStyle w:val="ParNoG"/>
      </w:pPr>
      <w:r w:rsidRPr="00511DA9">
        <w:br w:type="page"/>
      </w:r>
      <w:r w:rsidRPr="00511DA9">
        <w:lastRenderedPageBreak/>
        <w:t>Appendice A, ajouter le nouveau No ONU 35XX (Liste des désignations officielles de transport génériques et non spécifiées par ailleurs (N.S.A.)), comme suit</w:t>
      </w:r>
      <w:r w:rsidR="008618BD">
        <w:t> </w:t>
      </w:r>
      <w:r w:rsidRPr="00511DA9"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4818"/>
      </w:tblGrid>
      <w:tr w:rsidR="00507506" w:rsidRPr="000C4515" w:rsidTr="000C4515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7506" w:rsidRPr="000C4515" w:rsidRDefault="000C4515" w:rsidP="000C4515">
            <w:pPr>
              <w:spacing w:before="80" w:after="80" w:line="200" w:lineRule="exact"/>
              <w:ind w:right="113"/>
              <w:rPr>
                <w:i/>
                <w:sz w:val="16"/>
                <w:szCs w:val="18"/>
              </w:rPr>
            </w:pPr>
            <w:r>
              <w:rPr>
                <w:i/>
                <w:sz w:val="16"/>
              </w:rPr>
              <w:t>Classe</w:t>
            </w:r>
            <w:r>
              <w:rPr>
                <w:i/>
                <w:sz w:val="16"/>
              </w:rPr>
              <w:br/>
            </w:r>
            <w:r w:rsidR="00507506" w:rsidRPr="000C4515">
              <w:rPr>
                <w:i/>
                <w:sz w:val="16"/>
              </w:rPr>
              <w:t>ou division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7506" w:rsidRPr="000C4515" w:rsidRDefault="00507506" w:rsidP="000C4515">
            <w:pPr>
              <w:spacing w:before="80" w:after="80" w:line="200" w:lineRule="exact"/>
              <w:ind w:right="113"/>
              <w:rPr>
                <w:i/>
                <w:sz w:val="16"/>
                <w:szCs w:val="18"/>
              </w:rPr>
            </w:pPr>
            <w:r w:rsidRPr="000C4515">
              <w:rPr>
                <w:i/>
                <w:sz w:val="16"/>
              </w:rPr>
              <w:t>Risque subsidiaire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7506" w:rsidRPr="000C4515" w:rsidRDefault="00507506" w:rsidP="000C4515">
            <w:pPr>
              <w:spacing w:before="80" w:after="80" w:line="200" w:lineRule="exact"/>
              <w:ind w:right="113"/>
              <w:rPr>
                <w:i/>
                <w:sz w:val="16"/>
                <w:szCs w:val="18"/>
              </w:rPr>
            </w:pPr>
            <w:r w:rsidRPr="000C4515">
              <w:rPr>
                <w:i/>
                <w:sz w:val="16"/>
              </w:rPr>
              <w:t>Numéro ONU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7506" w:rsidRPr="000C4515" w:rsidRDefault="00507506" w:rsidP="000C4515">
            <w:pPr>
              <w:spacing w:before="80" w:after="80" w:line="200" w:lineRule="exact"/>
              <w:ind w:right="113"/>
              <w:rPr>
                <w:i/>
                <w:sz w:val="16"/>
                <w:szCs w:val="18"/>
              </w:rPr>
            </w:pPr>
            <w:r w:rsidRPr="000C4515">
              <w:rPr>
                <w:i/>
                <w:sz w:val="16"/>
              </w:rPr>
              <w:t>Désignation officielle de transport</w:t>
            </w:r>
          </w:p>
        </w:tc>
      </w:tr>
      <w:tr w:rsidR="000C4515" w:rsidRPr="000C4515" w:rsidTr="000C4515">
        <w:trPr>
          <w:trHeight w:hRule="exact" w:val="113"/>
          <w:tblHeader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0C4515" w:rsidRPr="000C4515" w:rsidRDefault="000C4515" w:rsidP="000C4515">
            <w:pPr>
              <w:spacing w:before="40" w:after="120"/>
              <w:ind w:right="113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C4515" w:rsidRPr="000C4515" w:rsidRDefault="000C4515" w:rsidP="000C4515">
            <w:pPr>
              <w:spacing w:before="40" w:after="120"/>
              <w:ind w:right="113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0C4515" w:rsidRPr="000C4515" w:rsidRDefault="000C4515" w:rsidP="000C4515">
            <w:pPr>
              <w:spacing w:before="40" w:after="120"/>
              <w:ind w:right="113"/>
            </w:pPr>
          </w:p>
        </w:tc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:rsidR="000C4515" w:rsidRPr="000C4515" w:rsidRDefault="000C4515" w:rsidP="000C4515">
            <w:pPr>
              <w:spacing w:before="40" w:after="120"/>
              <w:ind w:right="113"/>
            </w:pPr>
          </w:p>
        </w:tc>
      </w:tr>
      <w:tr w:rsidR="00507506" w:rsidRPr="000C4515" w:rsidTr="000C4515">
        <w:tc>
          <w:tcPr>
            <w:tcW w:w="993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4818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  <w:r w:rsidRPr="000C4515">
              <w:t>DIVISION 6.2</w:t>
            </w:r>
          </w:p>
        </w:tc>
      </w:tr>
      <w:tr w:rsidR="00507506" w:rsidRPr="000C4515" w:rsidTr="000C4515">
        <w:tc>
          <w:tcPr>
            <w:tcW w:w="993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4818" w:type="dxa"/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  <w:r w:rsidRPr="000C4515">
              <w:t>Rubriques spécifiques</w:t>
            </w:r>
          </w:p>
        </w:tc>
      </w:tr>
      <w:tr w:rsidR="00507506" w:rsidRPr="000C4515" w:rsidTr="000C4515"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  <w:r w:rsidRPr="000C4515">
              <w:t>6.2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  <w:r w:rsidRPr="000C4515">
              <w:t>35XX</w:t>
            </w:r>
          </w:p>
        </w:tc>
        <w:tc>
          <w:tcPr>
            <w:tcW w:w="4818" w:type="dxa"/>
            <w:tcBorders>
              <w:bottom w:val="single" w:sz="12" w:space="0" w:color="auto"/>
            </w:tcBorders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  <w:rPr>
                <w:szCs w:val="18"/>
              </w:rPr>
            </w:pPr>
            <w:r w:rsidRPr="000C4515">
              <w:t>DÉCHET D’HÔPITAL, CATÉGORIE A, NON SPÉCIFIÉ, N.S.A. ou DÉCHET (BIO) MÉDICAL, CATÉGORIE A, N.S.A. ou DÉCHET MÉDICAL RÉGLEMENTÉ, CATÉGORIE A, N.S.A.</w:t>
            </w:r>
          </w:p>
        </w:tc>
      </w:tr>
    </w:tbl>
    <w:p w:rsidR="00507506" w:rsidRPr="00511DA9" w:rsidRDefault="00507506" w:rsidP="00507506">
      <w:pPr>
        <w:pStyle w:val="SingleTxtG"/>
        <w:spacing w:before="120" w:line="240" w:lineRule="auto"/>
      </w:pPr>
      <w:r w:rsidRPr="00511DA9">
        <w:t>Modifier la désignation officielle de transport du No ONU 3291 comme suit</w:t>
      </w:r>
      <w:r w:rsidR="008618BD">
        <w:t> </w:t>
      </w:r>
      <w:r w:rsidRPr="00511DA9">
        <w:t>: «</w:t>
      </w:r>
      <w:r w:rsidR="008618BD">
        <w:t> </w:t>
      </w:r>
      <w:r w:rsidRPr="00511DA9">
        <w:t>DÉCHET D</w:t>
      </w:r>
      <w:r>
        <w:t>’</w:t>
      </w:r>
      <w:r w:rsidRPr="00511DA9">
        <w:t>HÔPITAL</w:t>
      </w:r>
      <w:r w:rsidRPr="00511DA9">
        <w:rPr>
          <w:u w:val="single"/>
        </w:rPr>
        <w:t>, CATÉGORIE B</w:t>
      </w:r>
      <w:r w:rsidRPr="00511DA9">
        <w:t>, NON SPÉCIFIÉ, N.S.A. ou DÉCHET (BIO) MÉDICAL</w:t>
      </w:r>
      <w:r w:rsidRPr="00511DA9">
        <w:rPr>
          <w:u w:val="single"/>
        </w:rPr>
        <w:t>, CATÉGORIE B</w:t>
      </w:r>
      <w:r w:rsidRPr="00511DA9">
        <w:t>, N.S.A. ou DÉCHET MÉDICAL RÉGLEMENTÉ</w:t>
      </w:r>
      <w:r w:rsidRPr="00511DA9">
        <w:rPr>
          <w:u w:val="single"/>
        </w:rPr>
        <w:t>, CATÉGORIE B</w:t>
      </w:r>
      <w:r w:rsidRPr="00511DA9">
        <w:t>, N.S.A.</w:t>
      </w:r>
      <w:r w:rsidR="008618BD">
        <w:t> </w:t>
      </w:r>
      <w:r w:rsidRPr="00511DA9">
        <w:t>».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>Index alphabétique des matières et objets, ajouter le nouveau No ONU 35XX</w:t>
      </w:r>
      <w:r w:rsidR="008618BD">
        <w:t> </w:t>
      </w:r>
      <w:r w:rsidRPr="00511DA9"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1072"/>
        <w:gridCol w:w="1310"/>
      </w:tblGrid>
      <w:tr w:rsidR="00507506" w:rsidRPr="000C4515" w:rsidTr="000C4515">
        <w:trPr>
          <w:tblHeader/>
        </w:trPr>
        <w:tc>
          <w:tcPr>
            <w:tcW w:w="4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7506" w:rsidRPr="000C4515" w:rsidRDefault="00507506" w:rsidP="000C451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C4515">
              <w:rPr>
                <w:i/>
                <w:sz w:val="16"/>
              </w:rPr>
              <w:t>Nom et description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7506" w:rsidRPr="000C4515" w:rsidRDefault="00507506" w:rsidP="000C451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C4515">
              <w:rPr>
                <w:i/>
                <w:sz w:val="16"/>
              </w:rPr>
              <w:t>Classe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07506" w:rsidRPr="000C4515" w:rsidRDefault="00507506" w:rsidP="000C451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C4515">
              <w:rPr>
                <w:i/>
                <w:sz w:val="16"/>
              </w:rPr>
              <w:t>N° ONU</w:t>
            </w:r>
          </w:p>
        </w:tc>
      </w:tr>
      <w:tr w:rsidR="000C4515" w:rsidRPr="000C4515" w:rsidTr="000C4515">
        <w:trPr>
          <w:trHeight w:hRule="exact" w:val="113"/>
          <w:tblHeader/>
        </w:trPr>
        <w:tc>
          <w:tcPr>
            <w:tcW w:w="4988" w:type="dxa"/>
            <w:tcBorders>
              <w:top w:val="single" w:sz="12" w:space="0" w:color="auto"/>
            </w:tcBorders>
            <w:shd w:val="clear" w:color="auto" w:fill="auto"/>
          </w:tcPr>
          <w:p w:rsidR="000C4515" w:rsidRPr="000C4515" w:rsidRDefault="000C4515" w:rsidP="000C4515">
            <w:pPr>
              <w:spacing w:before="40" w:after="120"/>
              <w:ind w:right="113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auto" w:fill="auto"/>
          </w:tcPr>
          <w:p w:rsidR="000C4515" w:rsidRPr="000C4515" w:rsidRDefault="000C4515" w:rsidP="000C4515">
            <w:pPr>
              <w:spacing w:before="40" w:after="120"/>
              <w:ind w:right="113"/>
            </w:pP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auto"/>
          </w:tcPr>
          <w:p w:rsidR="000C4515" w:rsidRPr="000C4515" w:rsidRDefault="000C4515" w:rsidP="000C4515">
            <w:pPr>
              <w:spacing w:before="40" w:after="120"/>
              <w:ind w:right="113"/>
            </w:pPr>
          </w:p>
        </w:tc>
      </w:tr>
      <w:tr w:rsidR="00507506" w:rsidRPr="000C4515" w:rsidTr="000C4515">
        <w:tc>
          <w:tcPr>
            <w:tcW w:w="4988" w:type="dxa"/>
            <w:tcBorders>
              <w:bottom w:val="single" w:sz="12" w:space="0" w:color="auto"/>
            </w:tcBorders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</w:pPr>
            <w:r w:rsidRPr="000C4515">
              <w:t>DÉCHET D’HÔPITAL, CATÉGORIE A, NON SPÉCIFIÉ, N.S.A. ou DÉCHET (BIO) MÉDICAL, CATÉGORIE A, N.S.A. ou DÉCHET MÉDICAL RÉGLEMENTÉ, CATÉGORIE A, N.S.A.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</w:pPr>
            <w:r w:rsidRPr="000C4515">
              <w:t>6.2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</w:tcPr>
          <w:p w:rsidR="00507506" w:rsidRPr="000C4515" w:rsidRDefault="00507506" w:rsidP="000C4515">
            <w:pPr>
              <w:spacing w:before="40" w:after="120"/>
              <w:ind w:right="113"/>
            </w:pPr>
            <w:r w:rsidRPr="000C4515">
              <w:t>35XX</w:t>
            </w:r>
          </w:p>
        </w:tc>
      </w:tr>
    </w:tbl>
    <w:p w:rsidR="00507506" w:rsidRPr="00511DA9" w:rsidRDefault="00507506" w:rsidP="00507506">
      <w:pPr>
        <w:pStyle w:val="SingleTxtG"/>
        <w:spacing w:before="240" w:line="240" w:lineRule="auto"/>
        <w:rPr>
          <w:b/>
        </w:rPr>
      </w:pPr>
      <w:r w:rsidRPr="00511DA9">
        <w:t>Modifier la désignation officielle de transport du No ONU 3291 comme suit</w:t>
      </w:r>
      <w:r w:rsidR="008618BD">
        <w:t> </w:t>
      </w:r>
      <w:r w:rsidRPr="00511DA9">
        <w:t>: «</w:t>
      </w:r>
      <w:r w:rsidR="008618BD">
        <w:t> </w:t>
      </w:r>
      <w:r w:rsidRPr="00511DA9">
        <w:t>DÉCHET D</w:t>
      </w:r>
      <w:r>
        <w:t>’</w:t>
      </w:r>
      <w:r w:rsidRPr="00511DA9">
        <w:t>HÔPITAL</w:t>
      </w:r>
      <w:r w:rsidRPr="00511DA9">
        <w:rPr>
          <w:u w:val="single"/>
        </w:rPr>
        <w:t>, CATÉGORIE B</w:t>
      </w:r>
      <w:r w:rsidRPr="00511DA9">
        <w:t>, NON SPÉCIFIÉ, N.S.A. ou DÉCHET (BIO) MÉDICAL</w:t>
      </w:r>
      <w:r w:rsidRPr="00511DA9">
        <w:rPr>
          <w:u w:val="single"/>
        </w:rPr>
        <w:t>, CATÉGORIE B</w:t>
      </w:r>
      <w:r w:rsidRPr="00511DA9">
        <w:t>, N.S.A. ou DÉCHET MÉDICAL RÉGLEMENTÉ</w:t>
      </w:r>
      <w:r w:rsidRPr="00511DA9">
        <w:rPr>
          <w:u w:val="single"/>
        </w:rPr>
        <w:t>, CATÉGORIE B</w:t>
      </w:r>
      <w:r w:rsidRPr="00511DA9">
        <w:t>, N.S.A.</w:t>
      </w:r>
      <w:r w:rsidR="008618BD">
        <w:t> </w:t>
      </w:r>
      <w:r w:rsidRPr="00511DA9">
        <w:t>».</w:t>
      </w:r>
    </w:p>
    <w:p w:rsidR="00507506" w:rsidRPr="00511DA9" w:rsidRDefault="00507506" w:rsidP="003C09C8">
      <w:pPr>
        <w:pStyle w:val="ParNoG"/>
      </w:pPr>
      <w:r w:rsidRPr="00511DA9">
        <w:br w:type="page"/>
      </w:r>
      <w:r w:rsidRPr="00511DA9">
        <w:lastRenderedPageBreak/>
        <w:t>Ajouter la nouvelle instruction d</w:t>
      </w:r>
      <w:r>
        <w:t>’</w:t>
      </w:r>
      <w:r w:rsidRPr="00511DA9">
        <w:t>emballage P62X, conçue comme suit</w:t>
      </w:r>
      <w:r w:rsidR="003C09C8">
        <w:t> </w:t>
      </w:r>
      <w:r w:rsidRPr="00511DA9">
        <w:t>:</w:t>
      </w:r>
    </w:p>
    <w:tbl>
      <w:tblPr>
        <w:tblW w:w="964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7938"/>
        <w:gridCol w:w="850"/>
      </w:tblGrid>
      <w:tr w:rsidR="00507506" w:rsidRPr="00511DA9" w:rsidTr="00C17D28">
        <w:tc>
          <w:tcPr>
            <w:tcW w:w="855" w:type="dxa"/>
            <w:tcBorders>
              <w:bottom w:val="single" w:sz="4" w:space="0" w:color="000000"/>
            </w:tcBorders>
          </w:tcPr>
          <w:p w:rsidR="00507506" w:rsidRPr="00511DA9" w:rsidRDefault="00507506" w:rsidP="00C17D28">
            <w:pPr>
              <w:spacing w:before="60" w:after="60" w:line="240" w:lineRule="auto"/>
              <w:ind w:firstLine="1134"/>
              <w:rPr>
                <w:b/>
                <w:bCs/>
                <w:color w:val="000000"/>
              </w:rPr>
            </w:pPr>
            <w:r w:rsidRPr="00511DA9">
              <w:rPr>
                <w:b/>
                <w:color w:val="000000"/>
              </w:rPr>
              <w:t>P62X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507506" w:rsidRPr="00511DA9" w:rsidRDefault="00507506" w:rsidP="00C17D28">
            <w:pPr>
              <w:spacing w:before="240" w:after="60" w:line="240" w:lineRule="auto"/>
              <w:ind w:firstLine="1134"/>
              <w:jc w:val="center"/>
              <w:rPr>
                <w:b/>
                <w:bCs/>
                <w:color w:val="000000"/>
              </w:rPr>
            </w:pPr>
            <w:r w:rsidRPr="00511DA9">
              <w:rPr>
                <w:b/>
                <w:color w:val="000000"/>
              </w:rPr>
              <w:t>INSTRUCTION D</w:t>
            </w:r>
            <w:r>
              <w:rPr>
                <w:b/>
                <w:color w:val="000000"/>
              </w:rPr>
              <w:t>’</w:t>
            </w:r>
            <w:r w:rsidRPr="00511DA9">
              <w:rPr>
                <w:b/>
                <w:color w:val="000000"/>
              </w:rPr>
              <w:t>EMBALLAGE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07506" w:rsidRPr="00511DA9" w:rsidRDefault="00507506" w:rsidP="00C17D28">
            <w:pPr>
              <w:spacing w:before="60" w:after="60" w:line="240" w:lineRule="auto"/>
              <w:ind w:firstLine="1134"/>
              <w:rPr>
                <w:b/>
                <w:bCs/>
                <w:color w:val="000000"/>
              </w:rPr>
            </w:pPr>
            <w:r w:rsidRPr="00511DA9">
              <w:rPr>
                <w:b/>
                <w:color w:val="000000"/>
              </w:rPr>
              <w:t>P 62X</w:t>
            </w:r>
          </w:p>
        </w:tc>
      </w:tr>
      <w:tr w:rsidR="00507506" w:rsidRPr="00511DA9" w:rsidTr="00C17D28">
        <w:tc>
          <w:tcPr>
            <w:tcW w:w="96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07506" w:rsidRPr="00511DA9" w:rsidRDefault="00507506" w:rsidP="00C17D28">
            <w:pPr>
              <w:spacing w:before="60" w:after="60" w:line="240" w:lineRule="auto"/>
              <w:ind w:firstLine="1134"/>
              <w:rPr>
                <w:color w:val="000000"/>
              </w:rPr>
            </w:pPr>
            <w:r w:rsidRPr="00511DA9">
              <w:rPr>
                <w:color w:val="000000"/>
              </w:rPr>
              <w:t>La présente instruction s</w:t>
            </w:r>
            <w:r>
              <w:rPr>
                <w:color w:val="000000"/>
              </w:rPr>
              <w:t>’</w:t>
            </w:r>
            <w:r w:rsidRPr="00511DA9">
              <w:rPr>
                <w:color w:val="000000"/>
              </w:rPr>
              <w:t>applique au No ONU 35XX.</w:t>
            </w:r>
          </w:p>
        </w:tc>
      </w:tr>
      <w:tr w:rsidR="00507506" w:rsidRPr="00511DA9" w:rsidTr="00C17D28">
        <w:trPr>
          <w:trHeight w:val="4068"/>
        </w:trPr>
        <w:tc>
          <w:tcPr>
            <w:tcW w:w="9643" w:type="dxa"/>
            <w:gridSpan w:val="3"/>
          </w:tcPr>
          <w:p w:rsidR="00507506" w:rsidRPr="00511DA9" w:rsidRDefault="00507506" w:rsidP="00C17D28">
            <w:pPr>
              <w:spacing w:before="60" w:after="60" w:line="240" w:lineRule="auto"/>
              <w:rPr>
                <w:color w:val="000000"/>
              </w:rPr>
            </w:pPr>
            <w:r w:rsidRPr="00511DA9">
              <w:rPr>
                <w:color w:val="000000"/>
              </w:rPr>
              <w:t>Les emballages suivants sont autorisés s</w:t>
            </w:r>
            <w:r>
              <w:rPr>
                <w:color w:val="000000"/>
              </w:rPr>
              <w:t>’</w:t>
            </w:r>
            <w:r w:rsidRPr="00511DA9">
              <w:rPr>
                <w:color w:val="000000"/>
              </w:rPr>
              <w:t>il est satisfait aux dispositions générales du 4.1.8.</w:t>
            </w:r>
          </w:p>
          <w:p w:rsidR="008618BD" w:rsidRDefault="00507506" w:rsidP="008618BD">
            <w:pPr>
              <w:spacing w:before="60" w:after="60" w:line="240" w:lineRule="auto"/>
              <w:rPr>
                <w:color w:val="000000"/>
              </w:rPr>
            </w:pPr>
            <w:r w:rsidRPr="00511DA9">
              <w:rPr>
                <w:color w:val="000000"/>
              </w:rPr>
              <w:t>Emballages satisfaisant aux prescriptions du chapitre 6.3 et agréés conformément à ces prescriptions consistant en</w:t>
            </w:r>
            <w:r w:rsidR="008618BD">
              <w:rPr>
                <w:color w:val="000000"/>
              </w:rPr>
              <w:t> </w:t>
            </w:r>
            <w:r w:rsidRPr="00511DA9">
              <w:rPr>
                <w:color w:val="000000"/>
              </w:rPr>
              <w:t>:</w:t>
            </w:r>
          </w:p>
          <w:p w:rsidR="00507506" w:rsidRPr="008618BD" w:rsidRDefault="00507506" w:rsidP="008618BD">
            <w:pPr>
              <w:spacing w:before="60" w:after="60" w:line="240" w:lineRule="auto"/>
              <w:rPr>
                <w:color w:val="000000"/>
              </w:rPr>
            </w:pPr>
            <w:r w:rsidRPr="008618BD">
              <w:t>a)</w:t>
            </w:r>
            <w:r w:rsidRPr="008618BD">
              <w:tab/>
              <w:t>Un emballage intérieur comprenant</w:t>
            </w:r>
            <w:r w:rsidR="008618BD">
              <w:t> </w:t>
            </w:r>
            <w:r w:rsidRPr="008618BD">
              <w:t>:</w:t>
            </w:r>
          </w:p>
          <w:p w:rsidR="00507506" w:rsidRPr="00511DA9" w:rsidRDefault="00507506" w:rsidP="002D6542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line="240" w:lineRule="auto"/>
              <w:ind w:hanging="567"/>
              <w:jc w:val="left"/>
            </w:pPr>
            <w:r w:rsidRPr="00511DA9">
              <w:t>i)</w:t>
            </w:r>
            <w:r w:rsidRPr="00511DA9">
              <w:tab/>
            </w:r>
            <w:r w:rsidR="002D6542">
              <w:t>U</w:t>
            </w:r>
            <w:r w:rsidRPr="00511DA9">
              <w:t>n récipient primaire étanche</w:t>
            </w:r>
            <w:r w:rsidR="008618BD">
              <w:t> </w:t>
            </w:r>
            <w:r w:rsidRPr="00511DA9">
              <w:t>;</w:t>
            </w:r>
          </w:p>
          <w:p w:rsidR="00507506" w:rsidRPr="00511DA9" w:rsidRDefault="00507506" w:rsidP="002D6542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line="240" w:lineRule="auto"/>
              <w:ind w:hanging="567"/>
              <w:jc w:val="left"/>
            </w:pPr>
            <w:r w:rsidRPr="00511DA9">
              <w:t>ii)</w:t>
            </w:r>
            <w:r w:rsidRPr="00511DA9">
              <w:tab/>
            </w:r>
            <w:r w:rsidR="002D6542">
              <w:t>U</w:t>
            </w:r>
            <w:r w:rsidRPr="00511DA9">
              <w:t>n emballage secondaire étanche</w:t>
            </w:r>
            <w:r w:rsidR="008618BD">
              <w:t> </w:t>
            </w:r>
            <w:r w:rsidRPr="00511DA9">
              <w:t>;</w:t>
            </w:r>
          </w:p>
          <w:p w:rsidR="002D6542" w:rsidRDefault="00507506" w:rsidP="002D6542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line="240" w:lineRule="auto"/>
              <w:ind w:hanging="567"/>
              <w:jc w:val="left"/>
            </w:pPr>
            <w:r w:rsidRPr="00511DA9">
              <w:t>iii)</w:t>
            </w:r>
            <w:r w:rsidRPr="00511DA9">
              <w:tab/>
            </w:r>
            <w:r w:rsidR="002D6542">
              <w:t>S</w:t>
            </w:r>
            <w:r w:rsidRPr="00511DA9">
              <w:t>uffisamment de matériau absorbant pour absorber la totalité du liquide présent</w:t>
            </w:r>
            <w:r w:rsidR="008618BD">
              <w:t> </w:t>
            </w:r>
            <w:r w:rsidRPr="00511DA9">
              <w:t xml:space="preserve">; </w:t>
            </w:r>
          </w:p>
          <w:p w:rsidR="00507506" w:rsidRPr="00511DA9" w:rsidRDefault="002D6542" w:rsidP="002D6542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line="240" w:lineRule="auto"/>
              <w:ind w:hanging="567"/>
              <w:jc w:val="left"/>
            </w:pPr>
            <w:r>
              <w:tab/>
            </w:r>
            <w:r w:rsidR="00507506" w:rsidRPr="00511DA9">
              <w:t>Chaque emballage secondaire doit contenir un seul récipient primaire. Le récipient primaire et l</w:t>
            </w:r>
            <w:r w:rsidR="00507506">
              <w:t>’</w:t>
            </w:r>
            <w:r w:rsidR="00507506" w:rsidRPr="00511DA9">
              <w:t>emballage secondaire doivent être constitués de métal ou de plastique.</w:t>
            </w:r>
          </w:p>
          <w:p w:rsidR="00507506" w:rsidRPr="00511DA9" w:rsidRDefault="00507506" w:rsidP="00C17D28">
            <w:pPr>
              <w:pStyle w:val="SingleTxtG"/>
              <w:spacing w:line="240" w:lineRule="auto"/>
              <w:ind w:left="0"/>
              <w:jc w:val="left"/>
            </w:pPr>
            <w:r w:rsidRPr="00511DA9">
              <w:t>b)</w:t>
            </w:r>
            <w:r w:rsidRPr="00511DA9">
              <w:tab/>
              <w:t>Un emballage extérieur rigide</w:t>
            </w:r>
            <w:r w:rsidR="008618BD">
              <w:t> </w:t>
            </w:r>
            <w:r w:rsidRPr="00511DA9">
              <w:t>:</w:t>
            </w:r>
          </w:p>
          <w:p w:rsidR="00507506" w:rsidRPr="00511DA9" w:rsidRDefault="00507506" w:rsidP="008618BD">
            <w:pPr>
              <w:pStyle w:val="SingleTxtG"/>
            </w:pPr>
            <w:r w:rsidRPr="00511DA9">
              <w:t>Fûts (1A2, 1B2, 1N2, 1H2)</w:t>
            </w:r>
          </w:p>
          <w:p w:rsidR="00507506" w:rsidRPr="00511DA9" w:rsidRDefault="00507506" w:rsidP="008618BD">
            <w:pPr>
              <w:pStyle w:val="SingleTxtG"/>
            </w:pPr>
            <w:r w:rsidRPr="00511DA9">
              <w:t>Caisses (4A, 4B, 4 N, 4H2)</w:t>
            </w:r>
          </w:p>
          <w:p w:rsidR="00507506" w:rsidRPr="00511DA9" w:rsidRDefault="00507506" w:rsidP="008618BD">
            <w:pPr>
              <w:pStyle w:val="SingleTxtG"/>
            </w:pPr>
            <w:r w:rsidRPr="00511DA9">
              <w:t>Bidons (jerricanes) (3A2, 3B2, 3H2)</w:t>
            </w:r>
          </w:p>
        </w:tc>
      </w:tr>
      <w:tr w:rsidR="00507506" w:rsidRPr="00511DA9" w:rsidTr="00C17D28">
        <w:trPr>
          <w:trHeight w:val="244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</w:tcPr>
          <w:p w:rsidR="00507506" w:rsidRPr="00511DA9" w:rsidRDefault="00507506" w:rsidP="00C17D28">
            <w:pPr>
              <w:spacing w:before="60" w:after="60" w:line="240" w:lineRule="auto"/>
              <w:rPr>
                <w:color w:val="000000"/>
              </w:rPr>
            </w:pPr>
            <w:r w:rsidRPr="00511DA9">
              <w:rPr>
                <w:b/>
              </w:rPr>
              <w:t>Prescription supplémentaire</w:t>
            </w:r>
            <w:r w:rsidR="00866F13">
              <w:rPr>
                <w:b/>
              </w:rPr>
              <w:t> </w:t>
            </w:r>
            <w:r w:rsidRPr="00511DA9">
              <w:t>:</w:t>
            </w:r>
          </w:p>
        </w:tc>
      </w:tr>
      <w:tr w:rsidR="00507506" w:rsidRPr="00511DA9" w:rsidTr="00C17D28">
        <w:trPr>
          <w:trHeight w:val="360"/>
        </w:trPr>
        <w:tc>
          <w:tcPr>
            <w:tcW w:w="9643" w:type="dxa"/>
            <w:gridSpan w:val="3"/>
            <w:tcBorders>
              <w:top w:val="nil"/>
              <w:bottom w:val="nil"/>
            </w:tcBorders>
            <w:vAlign w:val="center"/>
          </w:tcPr>
          <w:p w:rsidR="00507506" w:rsidRPr="00511DA9" w:rsidRDefault="00507506" w:rsidP="00C17D28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230" w:hanging="230"/>
              <w:rPr>
                <w:color w:val="000000"/>
              </w:rPr>
            </w:pPr>
            <w:r w:rsidRPr="00511DA9">
              <w:rPr>
                <w:color w:val="000000"/>
              </w:rPr>
              <w:t>1.</w:t>
            </w:r>
            <w:r w:rsidRPr="00511DA9">
              <w:rPr>
                <w:color w:val="000000"/>
              </w:rPr>
              <w:tab/>
            </w:r>
            <w:r w:rsidRPr="00511DA9">
              <w:t>Quelle que soit la température prévue de l</w:t>
            </w:r>
            <w:r>
              <w:t>’</w:t>
            </w:r>
            <w:r w:rsidRPr="00511DA9">
              <w:t>envoi, le récipient primaire ou l</w:t>
            </w:r>
            <w:r>
              <w:t>’</w:t>
            </w:r>
            <w:r w:rsidRPr="00511DA9">
              <w:t>emballage secondaire doit pouvoir résister, sans fuite, à une pression interne qui donne une différence de pression d</w:t>
            </w:r>
            <w:r>
              <w:t>’</w:t>
            </w:r>
            <w:r w:rsidRPr="00511DA9">
              <w:t xml:space="preserve">au moins </w:t>
            </w:r>
            <w:r w:rsidR="008618BD">
              <w:t>95 </w:t>
            </w:r>
            <w:r w:rsidRPr="00511DA9">
              <w:t>kPa.</w:t>
            </w:r>
          </w:p>
          <w:p w:rsidR="00507506" w:rsidRPr="00511DA9" w:rsidRDefault="00507506" w:rsidP="00C17D28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230" w:hanging="230"/>
              <w:rPr>
                <w:color w:val="000000"/>
              </w:rPr>
            </w:pPr>
            <w:r w:rsidRPr="00511DA9">
              <w:rPr>
                <w:color w:val="000000"/>
              </w:rPr>
              <w:t>2.</w:t>
            </w:r>
            <w:r w:rsidRPr="00511DA9">
              <w:rPr>
                <w:color w:val="000000"/>
              </w:rPr>
              <w:tab/>
              <w:t>Les surfaces extérieures des emballages primaire et secondaire doivent être désinfectées avant que ceux-ci soient chacun conditionnés dans l</w:t>
            </w:r>
            <w:r>
              <w:rPr>
                <w:color w:val="000000"/>
              </w:rPr>
              <w:t>’</w:t>
            </w:r>
            <w:r w:rsidRPr="00511DA9">
              <w:rPr>
                <w:color w:val="000000"/>
              </w:rPr>
              <w:t>emballage extérieur conformément aux recommandations de l</w:t>
            </w:r>
            <w:r>
              <w:rPr>
                <w:color w:val="000000"/>
              </w:rPr>
              <w:t>’</w:t>
            </w:r>
            <w:r w:rsidRPr="00511DA9">
              <w:rPr>
                <w:color w:val="000000"/>
              </w:rPr>
              <w:t>autorité de santé publique compétente.</w:t>
            </w:r>
          </w:p>
          <w:p w:rsidR="00507506" w:rsidRPr="00511DA9" w:rsidRDefault="00FA4205" w:rsidP="00C17D28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230" w:hanging="230"/>
              <w:rPr>
                <w:b/>
                <w:color w:val="000000"/>
              </w:rPr>
            </w:pPr>
            <w:r w:rsidRPr="00511DA9">
              <w:rPr>
                <w:color w:val="000000"/>
              </w:rPr>
              <w:t>3.</w:t>
            </w:r>
            <w:r w:rsidRPr="00511DA9">
              <w:rPr>
                <w:color w:val="000000"/>
              </w:rPr>
              <w:tab/>
              <w:t>Avant d</w:t>
            </w:r>
            <w:r>
              <w:rPr>
                <w:color w:val="000000"/>
              </w:rPr>
              <w:t>’</w:t>
            </w:r>
            <w:r w:rsidRPr="00511DA9">
              <w:rPr>
                <w:color w:val="000000"/>
              </w:rPr>
              <w:t>être conditionnés dans l</w:t>
            </w:r>
            <w:r>
              <w:rPr>
                <w:color w:val="000000"/>
              </w:rPr>
              <w:t>’</w:t>
            </w:r>
            <w:r w:rsidRPr="00511DA9">
              <w:rPr>
                <w:color w:val="000000"/>
              </w:rPr>
              <w:t>emballage primaire, les articles tranchants, tels que les morceaux de verre cassé ou les aiguilles doivent être conditionnés dans un emballage résistant à la perforation et capable</w:t>
            </w:r>
            <w:r>
              <w:rPr>
                <w:color w:val="000000"/>
              </w:rPr>
              <w:t>s</w:t>
            </w:r>
            <w:r w:rsidRPr="00511DA9">
              <w:rPr>
                <w:color w:val="000000"/>
              </w:rPr>
              <w:t xml:space="preserve"> de retenir les liquides dans les conditions prévues pour les épreuves fonctionnelles applicables au groupe d</w:t>
            </w:r>
            <w:r>
              <w:rPr>
                <w:color w:val="000000"/>
              </w:rPr>
              <w:t>’</w:t>
            </w:r>
            <w:r w:rsidRPr="00511DA9">
              <w:rPr>
                <w:color w:val="000000"/>
              </w:rPr>
              <w:t>emballage II, au chapitre 6.1.</w:t>
            </w:r>
          </w:p>
        </w:tc>
      </w:tr>
      <w:tr w:rsidR="00507506" w:rsidRPr="00511DA9" w:rsidTr="00C17D28">
        <w:trPr>
          <w:trHeight w:val="66"/>
        </w:trPr>
        <w:tc>
          <w:tcPr>
            <w:tcW w:w="9643" w:type="dxa"/>
            <w:gridSpan w:val="3"/>
            <w:tcBorders>
              <w:top w:val="nil"/>
            </w:tcBorders>
            <w:vAlign w:val="center"/>
          </w:tcPr>
          <w:p w:rsidR="00507506" w:rsidRPr="00511DA9" w:rsidRDefault="00507506" w:rsidP="00C17D28">
            <w:pPr>
              <w:spacing w:before="60" w:after="60" w:line="240" w:lineRule="auto"/>
              <w:ind w:left="230"/>
              <w:rPr>
                <w:color w:val="000000"/>
              </w:rPr>
            </w:pPr>
          </w:p>
        </w:tc>
      </w:tr>
    </w:tbl>
    <w:p w:rsidR="00507506" w:rsidRPr="00511DA9" w:rsidRDefault="00507506" w:rsidP="003C09C8">
      <w:pPr>
        <w:pStyle w:val="ParNoG"/>
        <w:tabs>
          <w:tab w:val="clear" w:pos="1701"/>
        </w:tabs>
        <w:spacing w:before="120"/>
      </w:pPr>
      <w:r w:rsidRPr="00511DA9">
        <w:t>Modifier le 6.3.4 comme suit</w:t>
      </w:r>
      <w:r w:rsidR="008618BD">
        <w:t> </w:t>
      </w:r>
      <w:r w:rsidRPr="00511DA9">
        <w:t xml:space="preserve">: </w:t>
      </w:r>
    </w:p>
    <w:p w:rsidR="00507506" w:rsidRPr="00511DA9" w:rsidRDefault="00507506" w:rsidP="00507506">
      <w:pPr>
        <w:pStyle w:val="SingleTxtG"/>
        <w:spacing w:line="240" w:lineRule="auto"/>
        <w:ind w:firstLine="567"/>
      </w:pPr>
      <w:r w:rsidRPr="00511DA9">
        <w:t xml:space="preserve">Ajouter </w:t>
      </w:r>
      <w:r w:rsidR="00725D21">
        <w:t>deux nouveaux alinéas </w:t>
      </w:r>
      <w:r w:rsidRPr="00511DA9">
        <w:t xml:space="preserve">d) et e) au 6.3.4.2, </w:t>
      </w:r>
      <w:r>
        <w:t>libellés comme suit</w:t>
      </w:r>
      <w:r w:rsidR="008618BD">
        <w:t> </w:t>
      </w:r>
      <w:r w:rsidRPr="00511DA9">
        <w:t>:</w:t>
      </w:r>
    </w:p>
    <w:p w:rsidR="00507506" w:rsidRPr="00511DA9" w:rsidRDefault="00507506" w:rsidP="0018640E">
      <w:pPr>
        <w:pStyle w:val="SingleTxtG"/>
        <w:spacing w:line="240" w:lineRule="auto"/>
        <w:ind w:left="2268" w:hanging="567"/>
      </w:pPr>
      <w:r w:rsidRPr="00511DA9">
        <w:t>«</w:t>
      </w:r>
      <w:r w:rsidR="008618BD">
        <w:t> </w:t>
      </w:r>
      <w:r w:rsidRPr="00511DA9">
        <w:t>d)</w:t>
      </w:r>
      <w:r w:rsidRPr="00511DA9">
        <w:tab/>
        <w:t>Pour les emballages testés pour les matières infectieuses solides uniquement, la masse brute maximale en kilogrammes</w:t>
      </w:r>
      <w:r w:rsidR="008618BD">
        <w:t> </w:t>
      </w:r>
      <w:r w:rsidRPr="00511DA9">
        <w:t xml:space="preserve">; </w:t>
      </w:r>
    </w:p>
    <w:p w:rsidR="00507506" w:rsidRPr="00511DA9" w:rsidRDefault="00507506" w:rsidP="002D6542">
      <w:pPr>
        <w:pStyle w:val="SingleTxtG"/>
        <w:spacing w:line="240" w:lineRule="auto"/>
        <w:ind w:left="2268" w:hanging="567"/>
      </w:pPr>
      <w:r w:rsidRPr="00511DA9">
        <w:t>e)</w:t>
      </w:r>
      <w:r w:rsidRPr="00511DA9">
        <w:tab/>
        <w:t>Pour les emballages testés pour les matières infectieuses so</w:t>
      </w:r>
      <w:r w:rsidR="008618BD">
        <w:t>lides uniquement, la lettre “S”</w:t>
      </w:r>
      <w:r w:rsidRPr="00511DA9">
        <w:t>;</w:t>
      </w:r>
      <w:r w:rsidR="008618BD">
        <w:t> </w:t>
      </w:r>
      <w:r w:rsidRPr="00511DA9">
        <w:t>».</w:t>
      </w:r>
    </w:p>
    <w:p w:rsidR="00507506" w:rsidRPr="00511DA9" w:rsidRDefault="00507506" w:rsidP="002D6542">
      <w:pPr>
        <w:pStyle w:val="SingleTxtG"/>
        <w:spacing w:line="240" w:lineRule="auto"/>
        <w:ind w:firstLine="567"/>
      </w:pPr>
      <w:r w:rsidRPr="00511DA9">
        <w:t>Les alinéas d) à g) du paragraphe 6.3.4.2 deviennent les alinéas f) à i). Dans la sous</w:t>
      </w:r>
      <w:r w:rsidR="002D6542">
        <w:noBreakHyphen/>
      </w:r>
      <w:r w:rsidRPr="00511DA9">
        <w:t>section 6.3.4.3, remplac</w:t>
      </w:r>
      <w:r w:rsidR="00725D21">
        <w:t>er « alinéas a) à g) du 6.3.4.2 » par « alinéas a) à i) du 6.3.4.2 </w:t>
      </w:r>
      <w:r w:rsidRPr="00511DA9">
        <w:t>».</w:t>
      </w:r>
    </w:p>
    <w:p w:rsidR="00507506" w:rsidRPr="00511DA9" w:rsidRDefault="00507506" w:rsidP="00507506">
      <w:pPr>
        <w:pStyle w:val="SingleTxtG"/>
        <w:spacing w:line="240" w:lineRule="auto"/>
      </w:pPr>
      <w:r w:rsidRPr="00511DA9">
        <w:t>Modifier le 6.3.4.4 comme suit</w:t>
      </w:r>
      <w:r w:rsidR="008618BD">
        <w:t> </w:t>
      </w:r>
      <w:r w:rsidRPr="00511DA9">
        <w:t>:</w:t>
      </w:r>
    </w:p>
    <w:p w:rsidR="00507506" w:rsidRPr="00511DA9" w:rsidRDefault="00507506" w:rsidP="00507506">
      <w:pPr>
        <w:pStyle w:val="SingleTxtG"/>
        <w:spacing w:line="240" w:lineRule="auto"/>
      </w:pPr>
      <w:r>
        <w:t>« </w:t>
      </w:r>
      <w:r w:rsidR="00725D21">
        <w:t>6.3.4.4</w:t>
      </w:r>
      <w:r w:rsidR="00725D21">
        <w:tab/>
      </w:r>
      <w:r w:rsidRPr="00511DA9">
        <w:t>Exemples de marques</w:t>
      </w:r>
    </w:p>
    <w:p w:rsidR="00507506" w:rsidRPr="00511DA9" w:rsidRDefault="00507506" w:rsidP="00507506">
      <w:pPr>
        <w:pStyle w:val="SingleTxtG"/>
        <w:spacing w:line="240" w:lineRule="auto"/>
      </w:pPr>
      <w:r w:rsidRPr="00511DA9">
        <w:t>4G/CLASSE 6.2/06</w:t>
      </w:r>
      <w:r w:rsidRPr="00511DA9">
        <w:tab/>
      </w:r>
      <w:r w:rsidRPr="00511DA9">
        <w:tab/>
      </w:r>
      <w:r w:rsidR="008618BD">
        <w:tab/>
      </w:r>
      <w:r w:rsidRPr="00511DA9">
        <w:t xml:space="preserve">selon 6.3.4.2 a), b), c) et </w:t>
      </w:r>
      <w:r w:rsidRPr="00511DA9">
        <w:rPr>
          <w:u w:val="single"/>
        </w:rPr>
        <w:t>f)</w:t>
      </w:r>
    </w:p>
    <w:p w:rsidR="00507506" w:rsidRPr="00511DA9" w:rsidRDefault="00507506" w:rsidP="00507506">
      <w:pPr>
        <w:pStyle w:val="SingleTxtG"/>
        <w:spacing w:line="240" w:lineRule="auto"/>
      </w:pPr>
      <w:r w:rsidRPr="00511DA9">
        <w:t>S/SP-9989-ERIKSSON</w:t>
      </w:r>
      <w:r w:rsidRPr="00511DA9">
        <w:tab/>
      </w:r>
      <w:r w:rsidRPr="00511DA9">
        <w:tab/>
        <w:t xml:space="preserve">selon 6.3.4.2 </w:t>
      </w:r>
      <w:r w:rsidRPr="00511DA9">
        <w:rPr>
          <w:u w:val="single"/>
        </w:rPr>
        <w:t>g) et h)</w:t>
      </w:r>
    </w:p>
    <w:p w:rsidR="00507506" w:rsidRPr="00511DA9" w:rsidRDefault="00507506" w:rsidP="00507506">
      <w:pPr>
        <w:pStyle w:val="SingleTxtG"/>
        <w:spacing w:line="240" w:lineRule="auto"/>
        <w:rPr>
          <w:u w:val="single"/>
        </w:rPr>
      </w:pPr>
      <w:r w:rsidRPr="00511DA9">
        <w:rPr>
          <w:u w:val="single"/>
        </w:rPr>
        <w:t>4G/CLASSE 6.2/15/S/06</w:t>
      </w:r>
      <w:r w:rsidRPr="00511DA9">
        <w:tab/>
      </w:r>
      <w:r w:rsidRPr="00511DA9">
        <w:tab/>
      </w:r>
      <w:r w:rsidRPr="00511DA9">
        <w:rPr>
          <w:u w:val="single"/>
        </w:rPr>
        <w:t>selon 6.3.4.2 a), b), c), d) et e)</w:t>
      </w:r>
    </w:p>
    <w:p w:rsidR="00507506" w:rsidRPr="00511DA9" w:rsidRDefault="00507506" w:rsidP="00507506">
      <w:pPr>
        <w:pStyle w:val="SingleTxtG"/>
        <w:spacing w:line="240" w:lineRule="auto"/>
        <w:rPr>
          <w:u w:val="single"/>
        </w:rPr>
      </w:pPr>
      <w:r w:rsidRPr="00511DA9">
        <w:rPr>
          <w:u w:val="single"/>
        </w:rPr>
        <w:lastRenderedPageBreak/>
        <w:t>S/SP-9989-ERIKSSON</w:t>
      </w:r>
      <w:r w:rsidRPr="00511DA9">
        <w:tab/>
      </w:r>
      <w:r w:rsidRPr="00511DA9">
        <w:tab/>
      </w:r>
      <w:r w:rsidRPr="00511DA9">
        <w:rPr>
          <w:u w:val="single"/>
        </w:rPr>
        <w:t>selon 6.3.4.2 g) et h</w:t>
      </w:r>
      <w:proofErr w:type="gramStart"/>
      <w:r w:rsidRPr="00511DA9">
        <w:rPr>
          <w:u w:val="single"/>
        </w:rPr>
        <w:t>)</w:t>
      </w:r>
      <w:r w:rsidRPr="00366302">
        <w:t> </w:t>
      </w:r>
      <w:r w:rsidR="002D6542">
        <w:t>.</w:t>
      </w:r>
      <w:proofErr w:type="gramEnd"/>
      <w:r w:rsidRPr="00366302">
        <w:t>».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>À l</w:t>
      </w:r>
      <w:r>
        <w:t>’</w:t>
      </w:r>
      <w:r w:rsidR="00866F13">
        <w:t>alinéa 6.3.5.1.6 g), remplacer « 6.3.4.2 a) à f) </w:t>
      </w:r>
      <w:r w:rsidRPr="00511DA9">
        <w:t>» par «</w:t>
      </w:r>
      <w:r w:rsidR="00866F13">
        <w:t> 6.3.4.2 a) à h) » et « 6.3.4.2 g) » par « </w:t>
      </w:r>
      <w:r w:rsidRPr="00511DA9">
        <w:t>6.3.4.2 i</w:t>
      </w:r>
      <w:r w:rsidR="00866F13">
        <w:t>) </w:t>
      </w:r>
      <w:r w:rsidRPr="00511DA9">
        <w:t>».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 xml:space="preserve">Modifier le 6.3.5.2.1 comme suit (nouveau texte </w:t>
      </w:r>
      <w:r w:rsidRPr="00511DA9">
        <w:rPr>
          <w:u w:val="single"/>
        </w:rPr>
        <w:t>souligné</w:t>
      </w:r>
      <w:r w:rsidRPr="00511DA9">
        <w:t>)</w:t>
      </w:r>
      <w:r w:rsidR="00866F13">
        <w:t> </w:t>
      </w:r>
      <w:r w:rsidRPr="00511DA9">
        <w:t>:</w:t>
      </w:r>
    </w:p>
    <w:p w:rsidR="00507506" w:rsidRPr="00511DA9" w:rsidRDefault="00507506" w:rsidP="00866F13">
      <w:pPr>
        <w:pStyle w:val="SingleTxtG"/>
        <w:spacing w:line="240" w:lineRule="auto"/>
        <w:ind w:left="2835" w:hanging="1134"/>
        <w:rPr>
          <w:u w:val="single"/>
        </w:rPr>
      </w:pPr>
      <w:r w:rsidRPr="00511DA9">
        <w:t>«</w:t>
      </w:r>
      <w:r w:rsidR="00866F13">
        <w:t> </w:t>
      </w:r>
      <w:r w:rsidRPr="00511DA9">
        <w:t>6.3.5.2.1</w:t>
      </w:r>
      <w:r w:rsidR="00866F13">
        <w:tab/>
      </w:r>
      <w:r w:rsidRPr="00511DA9">
        <w:t>Il faut préparer des échantillons de chaque emballage comme pour un transport, si ce n</w:t>
      </w:r>
      <w:r>
        <w:t>’</w:t>
      </w:r>
      <w:r w:rsidRPr="00511DA9">
        <w:t>est qu</w:t>
      </w:r>
      <w:r>
        <w:t>’</w:t>
      </w:r>
      <w:r w:rsidRPr="00511DA9">
        <w:t>une matière infectieuse liquide ou solide doit être remplacée par de l</w:t>
      </w:r>
      <w:r>
        <w:t>’</w:t>
      </w:r>
      <w:r w:rsidRPr="00511DA9">
        <w:t xml:space="preserve">eau ou, quand un conditionnement à </w:t>
      </w:r>
      <w:r w:rsidR="00866F13">
        <w:t>-18 </w:t>
      </w:r>
      <w:r w:rsidRPr="00511DA9">
        <w:t>°C est spécifié, par un mélange eau/antigel. Chaque récipient primaire</w:t>
      </w:r>
      <w:r w:rsidR="00866F13">
        <w:t xml:space="preserve"> doit être rempli à au moins 98 </w:t>
      </w:r>
      <w:r w:rsidRPr="00511DA9">
        <w:t xml:space="preserve">% de sa contenance. </w:t>
      </w:r>
      <w:r w:rsidRPr="00511DA9">
        <w:rPr>
          <w:u w:val="single"/>
        </w:rPr>
        <w:t>Par dérogation, les récipients primaires des emballages utilisés pour conditionner les déchets d</w:t>
      </w:r>
      <w:r>
        <w:rPr>
          <w:u w:val="single"/>
        </w:rPr>
        <w:t>’</w:t>
      </w:r>
      <w:r w:rsidRPr="00511DA9">
        <w:rPr>
          <w:u w:val="single"/>
        </w:rPr>
        <w:t>hôpital de la catégorie A (No ONU 35XX) peuvent être remplis de solides à hauteur de leur masse brute maximale.</w:t>
      </w:r>
      <w:r w:rsidRPr="00366302">
        <w:t> »</w:t>
      </w:r>
      <w:r>
        <w:t>.</w:t>
      </w:r>
    </w:p>
    <w:p w:rsidR="00507506" w:rsidRPr="00511DA9" w:rsidRDefault="00507506" w:rsidP="003C09C8">
      <w:pPr>
        <w:pStyle w:val="ParNoG"/>
        <w:tabs>
          <w:tab w:val="clear" w:pos="1701"/>
        </w:tabs>
      </w:pPr>
      <w:r w:rsidRPr="00511DA9">
        <w:t xml:space="preserve">Modifier le 6.3.5.3.1 comme suit (nouveau texte </w:t>
      </w:r>
      <w:r w:rsidRPr="00511DA9">
        <w:rPr>
          <w:u w:val="single"/>
        </w:rPr>
        <w:t>souligné</w:t>
      </w:r>
      <w:r w:rsidRPr="00511DA9">
        <w:t>)</w:t>
      </w:r>
      <w:r w:rsidR="00866F13">
        <w:t> </w:t>
      </w:r>
      <w:r w:rsidRPr="00511DA9">
        <w:t>:</w:t>
      </w:r>
    </w:p>
    <w:p w:rsidR="00507506" w:rsidRPr="00511DA9" w:rsidRDefault="00507506" w:rsidP="00866F13">
      <w:pPr>
        <w:pStyle w:val="SingleTxtG"/>
        <w:spacing w:line="240" w:lineRule="auto"/>
        <w:ind w:left="2835" w:hanging="1134"/>
      </w:pPr>
      <w:r w:rsidRPr="00511DA9">
        <w:t>«</w:t>
      </w:r>
      <w:r w:rsidR="00866F13">
        <w:t> 6.3.5.3.1</w:t>
      </w:r>
      <w:r w:rsidR="00866F13">
        <w:tab/>
      </w:r>
      <w:r w:rsidRPr="00511DA9">
        <w:t>Les échantillons doivent être soumis à des épreuves de chute libre d</w:t>
      </w:r>
      <w:r>
        <w:t>’</w:t>
      </w:r>
      <w:r w:rsidR="000C4515">
        <w:t>une hauteur de 9 </w:t>
      </w:r>
      <w:r w:rsidRPr="00511DA9">
        <w:t xml:space="preserve">m sur une surface non élastique, horizontale, plane, massive et rigide conformément aux prescriptions du 6.1.5.3.4. </w:t>
      </w:r>
      <w:r w:rsidRPr="00511DA9">
        <w:rPr>
          <w:u w:val="single"/>
        </w:rPr>
        <w:t>L</w:t>
      </w:r>
      <w:r>
        <w:rPr>
          <w:u w:val="single"/>
        </w:rPr>
        <w:t>’</w:t>
      </w:r>
      <w:r w:rsidRPr="00511DA9">
        <w:rPr>
          <w:u w:val="single"/>
        </w:rPr>
        <w:t>autorité compétente peut autoriser des méthodes d</w:t>
      </w:r>
      <w:r>
        <w:rPr>
          <w:u w:val="single"/>
        </w:rPr>
        <w:t>’</w:t>
      </w:r>
      <w:r w:rsidRPr="00511DA9">
        <w:rPr>
          <w:u w:val="single"/>
        </w:rPr>
        <w:t>évaluation équivalentes.</w:t>
      </w:r>
      <w:r w:rsidR="00866F13">
        <w:rPr>
          <w:u w:val="single"/>
        </w:rPr>
        <w:t> </w:t>
      </w:r>
      <w:r w:rsidRPr="00511DA9">
        <w:t>».</w:t>
      </w:r>
    </w:p>
    <w:p w:rsidR="00507506" w:rsidRPr="00511DA9" w:rsidRDefault="00507506" w:rsidP="000C4515">
      <w:pPr>
        <w:pStyle w:val="ParNoG"/>
        <w:rPr>
          <w:u w:val="single"/>
        </w:rPr>
      </w:pPr>
      <w:r w:rsidRPr="00511DA9">
        <w:t xml:space="preserve">Modifier le 6.3.5.3.5 comme suit (nouveau texte </w:t>
      </w:r>
      <w:r w:rsidRPr="00511DA9">
        <w:rPr>
          <w:u w:val="single"/>
        </w:rPr>
        <w:t>souligné</w:t>
      </w:r>
      <w:r w:rsidRPr="00511DA9">
        <w:t>)</w:t>
      </w:r>
      <w:r w:rsidR="00866F13">
        <w:t> </w:t>
      </w:r>
      <w:r w:rsidRPr="00511DA9">
        <w:t>:</w:t>
      </w:r>
    </w:p>
    <w:p w:rsidR="00507506" w:rsidRPr="00511DA9" w:rsidRDefault="00507506" w:rsidP="00866F13">
      <w:pPr>
        <w:pStyle w:val="SingleTxtG"/>
        <w:spacing w:line="240" w:lineRule="auto"/>
        <w:ind w:left="2835" w:hanging="1134"/>
        <w:rPr>
          <w:u w:val="single"/>
        </w:rPr>
      </w:pPr>
      <w:r w:rsidRPr="00511DA9">
        <w:t>«</w:t>
      </w:r>
      <w:r w:rsidR="00866F13">
        <w:t> 6.3.5.3.5</w:t>
      </w:r>
      <w:r w:rsidR="00866F13">
        <w:tab/>
      </w:r>
      <w:r w:rsidRPr="00511DA9">
        <w:t>Après la série d</w:t>
      </w:r>
      <w:r>
        <w:t>’</w:t>
      </w:r>
      <w:r w:rsidRPr="00511DA9">
        <w:t>essais de chute applicable, on ne doit constater aucune fuite provenant du ou des récipients primaires qui doivent rester protégés par le matériau de rembourrage ou absorbant dans l</w:t>
      </w:r>
      <w:r>
        <w:t>’</w:t>
      </w:r>
      <w:r w:rsidRPr="00511DA9">
        <w:t xml:space="preserve">emballage secondaire. </w:t>
      </w:r>
      <w:r w:rsidRPr="00511DA9">
        <w:rPr>
          <w:u w:val="single"/>
        </w:rPr>
        <w:t>Le contenu des emballages de déchets d</w:t>
      </w:r>
      <w:r>
        <w:rPr>
          <w:u w:val="single"/>
        </w:rPr>
        <w:t>’</w:t>
      </w:r>
      <w:r w:rsidRPr="00511DA9">
        <w:rPr>
          <w:u w:val="single"/>
        </w:rPr>
        <w:t xml:space="preserve">hôpital de la catégorie A (No ONU 35XX) </w:t>
      </w:r>
      <w:r>
        <w:rPr>
          <w:u w:val="single"/>
        </w:rPr>
        <w:t>doit être</w:t>
      </w:r>
      <w:r w:rsidRPr="00511DA9">
        <w:rPr>
          <w:u w:val="single"/>
        </w:rPr>
        <w:t xml:space="preserve"> retenu dans sa totalité par le récipient intérieur, même si la fermeture, tout en continuant d</w:t>
      </w:r>
      <w:r>
        <w:rPr>
          <w:u w:val="single"/>
        </w:rPr>
        <w:t>’</w:t>
      </w:r>
      <w:r w:rsidRPr="00511DA9">
        <w:rPr>
          <w:u w:val="single"/>
        </w:rPr>
        <w:t>assurer sa fonction de retenue, n</w:t>
      </w:r>
      <w:r>
        <w:rPr>
          <w:u w:val="single"/>
        </w:rPr>
        <w:t>’</w:t>
      </w:r>
      <w:r w:rsidRPr="00511DA9">
        <w:rPr>
          <w:u w:val="single"/>
        </w:rPr>
        <w:t>est plus étanche aux pulvérulents.</w:t>
      </w:r>
      <w:r w:rsidR="008A7A29">
        <w:rPr>
          <w:u w:val="single"/>
        </w:rPr>
        <w:t> </w:t>
      </w:r>
      <w:r w:rsidRPr="00511DA9">
        <w:rPr>
          <w:u w:val="single"/>
        </w:rPr>
        <w:t>».</w:t>
      </w:r>
    </w:p>
    <w:p w:rsidR="00507506" w:rsidRPr="00511DA9" w:rsidRDefault="00507506" w:rsidP="00507506">
      <w:pPr>
        <w:pStyle w:val="SingleTxtG"/>
        <w:spacing w:before="240" w:after="0" w:line="240" w:lineRule="auto"/>
        <w:jc w:val="center"/>
      </w:pPr>
      <w:r w:rsidRPr="00511DA9">
        <w:rPr>
          <w:u w:val="single"/>
        </w:rPr>
        <w:tab/>
      </w:r>
      <w:r w:rsidRPr="00511DA9">
        <w:rPr>
          <w:u w:val="single"/>
        </w:rPr>
        <w:tab/>
      </w:r>
      <w:r w:rsidRPr="00511DA9">
        <w:rPr>
          <w:u w:val="single"/>
        </w:rPr>
        <w:tab/>
      </w:r>
    </w:p>
    <w:p w:rsidR="00446FE5" w:rsidRPr="00AC3823" w:rsidRDefault="00446FE5" w:rsidP="00AC3823"/>
    <w:sectPr w:rsidR="00446FE5" w:rsidRPr="00AC3823" w:rsidSect="005075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3E" w:rsidRDefault="0081583E" w:rsidP="00F95C08">
      <w:pPr>
        <w:spacing w:line="240" w:lineRule="auto"/>
      </w:pPr>
    </w:p>
  </w:endnote>
  <w:endnote w:type="continuationSeparator" w:id="0">
    <w:p w:rsidR="0081583E" w:rsidRPr="00AC3823" w:rsidRDefault="0081583E" w:rsidP="00AC3823">
      <w:pPr>
        <w:pStyle w:val="Footer"/>
      </w:pPr>
    </w:p>
  </w:endnote>
  <w:endnote w:type="continuationNotice" w:id="1">
    <w:p w:rsidR="0081583E" w:rsidRDefault="008158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06" w:rsidRPr="00507506" w:rsidRDefault="00507506" w:rsidP="00507506">
    <w:pPr>
      <w:pStyle w:val="Footer"/>
      <w:tabs>
        <w:tab w:val="right" w:pos="9638"/>
      </w:tabs>
    </w:pPr>
    <w:r w:rsidRPr="00507506">
      <w:rPr>
        <w:b/>
        <w:sz w:val="18"/>
      </w:rPr>
      <w:fldChar w:fldCharType="begin"/>
    </w:r>
    <w:r w:rsidRPr="00507506">
      <w:rPr>
        <w:b/>
        <w:sz w:val="18"/>
      </w:rPr>
      <w:instrText xml:space="preserve"> PAGE  \* MERGEFORMAT </w:instrText>
    </w:r>
    <w:r w:rsidRPr="00507506">
      <w:rPr>
        <w:b/>
        <w:sz w:val="18"/>
      </w:rPr>
      <w:fldChar w:fldCharType="separate"/>
    </w:r>
    <w:r w:rsidR="00B14747">
      <w:rPr>
        <w:b/>
        <w:noProof/>
        <w:sz w:val="18"/>
      </w:rPr>
      <w:t>6</w:t>
    </w:r>
    <w:r w:rsidRPr="00507506">
      <w:rPr>
        <w:b/>
        <w:sz w:val="18"/>
      </w:rPr>
      <w:fldChar w:fldCharType="end"/>
    </w:r>
    <w:r>
      <w:rPr>
        <w:b/>
        <w:sz w:val="18"/>
      </w:rPr>
      <w:tab/>
    </w:r>
    <w:r>
      <w:t>GE.16-15298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06" w:rsidRPr="00507506" w:rsidRDefault="00507506" w:rsidP="00507506">
    <w:pPr>
      <w:pStyle w:val="Footer"/>
      <w:tabs>
        <w:tab w:val="right" w:pos="9638"/>
      </w:tabs>
      <w:rPr>
        <w:b/>
        <w:sz w:val="18"/>
      </w:rPr>
    </w:pPr>
    <w:r>
      <w:t>GE.16-15298</w:t>
    </w:r>
    <w:r>
      <w:tab/>
    </w:r>
    <w:r w:rsidRPr="00507506">
      <w:rPr>
        <w:b/>
        <w:sz w:val="18"/>
      </w:rPr>
      <w:fldChar w:fldCharType="begin"/>
    </w:r>
    <w:r w:rsidRPr="00507506">
      <w:rPr>
        <w:b/>
        <w:sz w:val="18"/>
      </w:rPr>
      <w:instrText xml:space="preserve"> PAGE  \* MERGEFORMAT </w:instrText>
    </w:r>
    <w:r w:rsidRPr="00507506">
      <w:rPr>
        <w:b/>
        <w:sz w:val="18"/>
      </w:rPr>
      <w:fldChar w:fldCharType="separate"/>
    </w:r>
    <w:r w:rsidR="00B14747">
      <w:rPr>
        <w:b/>
        <w:noProof/>
        <w:sz w:val="18"/>
      </w:rPr>
      <w:t>7</w:t>
    </w:r>
    <w:r w:rsidRPr="005075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507506" w:rsidRDefault="00507506" w:rsidP="0050750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CF8163F" wp14:editId="347A5B3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16-15298  (F)</w:t>
    </w:r>
    <w:r w:rsidR="003C09C8">
      <w:rPr>
        <w:sz w:val="20"/>
      </w:rPr>
      <w:t xml:space="preserve">    111016    121016</w:t>
    </w:r>
    <w:r>
      <w:rPr>
        <w:sz w:val="20"/>
      </w:rPr>
      <w:br/>
    </w:r>
    <w:r w:rsidRPr="00507506">
      <w:rPr>
        <w:rFonts w:ascii="C39T30Lfz" w:hAnsi="C39T30Lfz"/>
        <w:sz w:val="56"/>
      </w:rPr>
      <w:t></w:t>
    </w:r>
    <w:r w:rsidRPr="00507506">
      <w:rPr>
        <w:rFonts w:ascii="C39T30Lfz" w:hAnsi="C39T30Lfz"/>
        <w:sz w:val="56"/>
      </w:rPr>
      <w:t></w:t>
    </w:r>
    <w:r w:rsidRPr="00507506">
      <w:rPr>
        <w:rFonts w:ascii="C39T30Lfz" w:hAnsi="C39T30Lfz"/>
        <w:sz w:val="56"/>
      </w:rPr>
      <w:t></w:t>
    </w:r>
    <w:r w:rsidRPr="00507506">
      <w:rPr>
        <w:rFonts w:ascii="C39T30Lfz" w:hAnsi="C39T30Lfz"/>
        <w:sz w:val="56"/>
      </w:rPr>
      <w:t></w:t>
    </w:r>
    <w:r w:rsidRPr="00507506">
      <w:rPr>
        <w:rFonts w:ascii="C39T30Lfz" w:hAnsi="C39T30Lfz"/>
        <w:sz w:val="56"/>
      </w:rPr>
      <w:t></w:t>
    </w:r>
    <w:r w:rsidRPr="00507506">
      <w:rPr>
        <w:rFonts w:ascii="C39T30Lfz" w:hAnsi="C39T30Lfz"/>
        <w:sz w:val="56"/>
      </w:rPr>
      <w:t></w:t>
    </w:r>
    <w:r w:rsidRPr="00507506">
      <w:rPr>
        <w:rFonts w:ascii="C39T30Lfz" w:hAnsi="C39T30Lfz"/>
        <w:sz w:val="56"/>
      </w:rPr>
      <w:t></w:t>
    </w:r>
    <w:r w:rsidRPr="00507506">
      <w:rPr>
        <w:rFonts w:ascii="C39T30Lfz" w:hAnsi="C39T30Lfz"/>
        <w:sz w:val="56"/>
      </w:rPr>
      <w:t></w:t>
    </w:r>
    <w:r w:rsidRPr="0050750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6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6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3E" w:rsidRPr="00AC3823" w:rsidRDefault="008158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583E" w:rsidRPr="00AC3823" w:rsidRDefault="008158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583E" w:rsidRPr="00AC3823" w:rsidRDefault="0081583E">
      <w:pPr>
        <w:spacing w:line="240" w:lineRule="auto"/>
        <w:rPr>
          <w:sz w:val="2"/>
          <w:szCs w:val="2"/>
        </w:rPr>
      </w:pPr>
    </w:p>
  </w:footnote>
  <w:footnote w:id="2">
    <w:p w:rsidR="00507506" w:rsidRPr="00511DA9" w:rsidRDefault="003C09C8" w:rsidP="003C09C8">
      <w:pPr>
        <w:pStyle w:val="FootnoteText"/>
        <w:rPr>
          <w:lang w:val="en-US"/>
        </w:rPr>
      </w:pPr>
      <w:r>
        <w:tab/>
      </w:r>
      <w:r w:rsidR="00507506">
        <w:rPr>
          <w:rStyle w:val="FootnoteReference"/>
        </w:rPr>
        <w:footnoteRef/>
      </w:r>
      <w:r>
        <w:t xml:space="preserve"> </w:t>
      </w:r>
      <w:r>
        <w:tab/>
      </w:r>
      <w:r w:rsidR="00507506">
        <w:t>Conformément au programme de travail du Sous-Comité pour la période 2015-2016, adopté par le Comité à sa septième session (voir ST/SG/AC.10/C.3/92, par. 95, et ST/SG/AC.10/42, par.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06" w:rsidRPr="00507506" w:rsidRDefault="00507506">
    <w:pPr>
      <w:pStyle w:val="Header"/>
    </w:pPr>
    <w:r>
      <w:t>ST/SG/AC.10/C.3/2016/69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06" w:rsidRPr="00507506" w:rsidRDefault="00507506" w:rsidP="00507506">
    <w:pPr>
      <w:pStyle w:val="Header"/>
      <w:jc w:val="right"/>
    </w:pPr>
    <w:r>
      <w:t>ST/SG/AC.10/C.3/2016/69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3E"/>
    <w:rsid w:val="00017F94"/>
    <w:rsid w:val="00023842"/>
    <w:rsid w:val="000305D3"/>
    <w:rsid w:val="000334F9"/>
    <w:rsid w:val="0007796D"/>
    <w:rsid w:val="000B7790"/>
    <w:rsid w:val="000C4515"/>
    <w:rsid w:val="00111F2F"/>
    <w:rsid w:val="00132EA9"/>
    <w:rsid w:val="0014365E"/>
    <w:rsid w:val="00176178"/>
    <w:rsid w:val="0018640E"/>
    <w:rsid w:val="001F525A"/>
    <w:rsid w:val="00223272"/>
    <w:rsid w:val="0024779E"/>
    <w:rsid w:val="00283190"/>
    <w:rsid w:val="002832AC"/>
    <w:rsid w:val="002D6542"/>
    <w:rsid w:val="002D7C93"/>
    <w:rsid w:val="003C09C8"/>
    <w:rsid w:val="00441C3B"/>
    <w:rsid w:val="00446FE5"/>
    <w:rsid w:val="00452396"/>
    <w:rsid w:val="00474E38"/>
    <w:rsid w:val="004C6B27"/>
    <w:rsid w:val="004E468C"/>
    <w:rsid w:val="00507506"/>
    <w:rsid w:val="005505B7"/>
    <w:rsid w:val="00573BE5"/>
    <w:rsid w:val="00586ED3"/>
    <w:rsid w:val="00596AA9"/>
    <w:rsid w:val="0068456F"/>
    <w:rsid w:val="0071601D"/>
    <w:rsid w:val="00725D21"/>
    <w:rsid w:val="00791D15"/>
    <w:rsid w:val="007A62E6"/>
    <w:rsid w:val="0080684C"/>
    <w:rsid w:val="0081583E"/>
    <w:rsid w:val="008618BD"/>
    <w:rsid w:val="00866F13"/>
    <w:rsid w:val="00871C75"/>
    <w:rsid w:val="008776DC"/>
    <w:rsid w:val="008A7A29"/>
    <w:rsid w:val="009705C8"/>
    <w:rsid w:val="009C1CF4"/>
    <w:rsid w:val="00A30353"/>
    <w:rsid w:val="00AC3823"/>
    <w:rsid w:val="00AE323C"/>
    <w:rsid w:val="00B00181"/>
    <w:rsid w:val="00B00B0D"/>
    <w:rsid w:val="00B14747"/>
    <w:rsid w:val="00B765F7"/>
    <w:rsid w:val="00BA0CA9"/>
    <w:rsid w:val="00BC167C"/>
    <w:rsid w:val="00C02897"/>
    <w:rsid w:val="00C36DE4"/>
    <w:rsid w:val="00D3439C"/>
    <w:rsid w:val="00DB1831"/>
    <w:rsid w:val="00DD3BFD"/>
    <w:rsid w:val="00DD603A"/>
    <w:rsid w:val="00DF6678"/>
    <w:rsid w:val="00EF2E22"/>
    <w:rsid w:val="00F660DF"/>
    <w:rsid w:val="00F730C8"/>
    <w:rsid w:val="00F95C08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507506"/>
    <w:pPr>
      <w:kinsoku/>
      <w:overflowPunct/>
      <w:autoSpaceDE/>
      <w:autoSpaceDN/>
      <w:adjustRightInd/>
      <w:snapToGrid/>
    </w:pPr>
    <w:rPr>
      <w:sz w:val="24"/>
      <w:szCs w:val="24"/>
      <w:lang w:eastAsia="fr-CH" w:bidi="fr-CH"/>
    </w:rPr>
  </w:style>
  <w:style w:type="character" w:customStyle="1" w:styleId="HChGChar">
    <w:name w:val="_ H _Ch_G Char"/>
    <w:link w:val="HChG"/>
    <w:rsid w:val="00507506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50750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507506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Default">
    <w:name w:val="Default"/>
    <w:rsid w:val="00507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CH" w:bidi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507506"/>
    <w:pPr>
      <w:kinsoku/>
      <w:overflowPunct/>
      <w:autoSpaceDE/>
      <w:autoSpaceDN/>
      <w:adjustRightInd/>
      <w:snapToGrid/>
    </w:pPr>
    <w:rPr>
      <w:sz w:val="24"/>
      <w:szCs w:val="24"/>
      <w:lang w:eastAsia="fr-CH" w:bidi="fr-CH"/>
    </w:rPr>
  </w:style>
  <w:style w:type="character" w:customStyle="1" w:styleId="HChGChar">
    <w:name w:val="_ H _Ch_G Char"/>
    <w:link w:val="HChG"/>
    <w:rsid w:val="00507506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50750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507506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Default">
    <w:name w:val="Default"/>
    <w:rsid w:val="00507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ST/SG/AC.10/C.3/2016/69</vt:lpstr>
      <vt:lpstr>ST/SG/AC.10/C.3/2016/69</vt:lpstr>
    </vt:vector>
  </TitlesOfParts>
  <Company>DCM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ST/SG/AC.10/C.3/2016/69</dc:title>
  <dc:subject>final</dc:subject>
  <dc:creator>Beaunee</dc:creator>
  <cp:lastModifiedBy>Laurence Berthet</cp:lastModifiedBy>
  <cp:revision>2</cp:revision>
  <cp:lastPrinted>2016-10-13T06:49:00Z</cp:lastPrinted>
  <dcterms:created xsi:type="dcterms:W3CDTF">2016-10-13T06:50:00Z</dcterms:created>
  <dcterms:modified xsi:type="dcterms:W3CDTF">2016-10-13T06:50:00Z</dcterms:modified>
</cp:coreProperties>
</file>