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1527C7" w:rsidTr="000305D3">
        <w:trPr>
          <w:trHeight w:hRule="exact" w:val="851"/>
        </w:trPr>
        <w:tc>
          <w:tcPr>
            <w:tcW w:w="1276" w:type="dxa"/>
            <w:tcBorders>
              <w:bottom w:val="single" w:sz="4" w:space="0" w:color="auto"/>
            </w:tcBorders>
          </w:tcPr>
          <w:p w:rsidR="00132EA9" w:rsidRPr="001527C7" w:rsidRDefault="00132EA9" w:rsidP="00DE2F2A">
            <w:bookmarkStart w:id="0" w:name="_GoBack"/>
            <w:bookmarkEnd w:id="0"/>
          </w:p>
        </w:tc>
        <w:tc>
          <w:tcPr>
            <w:tcW w:w="2268" w:type="dxa"/>
            <w:tcBorders>
              <w:bottom w:val="single" w:sz="4" w:space="0" w:color="auto"/>
            </w:tcBorders>
            <w:vAlign w:val="bottom"/>
          </w:tcPr>
          <w:p w:rsidR="00132EA9" w:rsidRPr="001527C7" w:rsidRDefault="00132EA9" w:rsidP="009C3129">
            <w:pPr>
              <w:spacing w:after="80" w:line="300" w:lineRule="exact"/>
              <w:rPr>
                <w:sz w:val="28"/>
              </w:rPr>
            </w:pPr>
            <w:r w:rsidRPr="001527C7">
              <w:rPr>
                <w:sz w:val="28"/>
              </w:rPr>
              <w:t>Nations Unies</w:t>
            </w:r>
          </w:p>
        </w:tc>
        <w:tc>
          <w:tcPr>
            <w:tcW w:w="6095" w:type="dxa"/>
            <w:gridSpan w:val="2"/>
            <w:tcBorders>
              <w:bottom w:val="single" w:sz="4" w:space="0" w:color="auto"/>
            </w:tcBorders>
            <w:vAlign w:val="bottom"/>
          </w:tcPr>
          <w:p w:rsidR="00132EA9" w:rsidRPr="001527C7" w:rsidRDefault="00DE2F2A" w:rsidP="00DE2F2A">
            <w:pPr>
              <w:jc w:val="right"/>
            </w:pPr>
            <w:r w:rsidRPr="001527C7">
              <w:rPr>
                <w:sz w:val="40"/>
              </w:rPr>
              <w:t>ST</w:t>
            </w:r>
            <w:r w:rsidRPr="001527C7">
              <w:t>/SG/AC.10/C.3/2016/65</w:t>
            </w:r>
          </w:p>
        </w:tc>
      </w:tr>
      <w:tr w:rsidR="00132EA9" w:rsidRPr="001527C7" w:rsidTr="009C3129">
        <w:trPr>
          <w:trHeight w:hRule="exact" w:val="2835"/>
        </w:trPr>
        <w:tc>
          <w:tcPr>
            <w:tcW w:w="1276" w:type="dxa"/>
            <w:tcBorders>
              <w:top w:val="single" w:sz="4" w:space="0" w:color="auto"/>
              <w:bottom w:val="single" w:sz="12" w:space="0" w:color="auto"/>
            </w:tcBorders>
          </w:tcPr>
          <w:p w:rsidR="00132EA9" w:rsidRPr="001527C7" w:rsidRDefault="00132EA9" w:rsidP="009C3129">
            <w:pPr>
              <w:spacing w:before="120"/>
              <w:jc w:val="center"/>
            </w:pPr>
            <w:r w:rsidRPr="001527C7">
              <w:rPr>
                <w:noProof/>
                <w:lang w:val="en-GB" w:eastAsia="en-GB"/>
              </w:rPr>
              <w:drawing>
                <wp:inline distT="0" distB="0" distL="0" distR="0" wp14:anchorId="735B0322" wp14:editId="05942B1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1527C7" w:rsidRDefault="00132EA9" w:rsidP="009C3129">
            <w:pPr>
              <w:spacing w:before="120" w:line="420" w:lineRule="exact"/>
              <w:rPr>
                <w:b/>
                <w:sz w:val="40"/>
                <w:szCs w:val="40"/>
              </w:rPr>
            </w:pPr>
            <w:r w:rsidRPr="001527C7">
              <w:rPr>
                <w:b/>
                <w:sz w:val="40"/>
                <w:szCs w:val="40"/>
              </w:rPr>
              <w:t>Secrétariat</w:t>
            </w:r>
          </w:p>
        </w:tc>
        <w:tc>
          <w:tcPr>
            <w:tcW w:w="2835" w:type="dxa"/>
            <w:tcBorders>
              <w:top w:val="single" w:sz="4" w:space="0" w:color="auto"/>
              <w:bottom w:val="single" w:sz="12" w:space="0" w:color="auto"/>
            </w:tcBorders>
          </w:tcPr>
          <w:p w:rsidR="00132EA9" w:rsidRPr="001527C7" w:rsidRDefault="00DE2F2A" w:rsidP="009C3129">
            <w:pPr>
              <w:spacing w:before="240"/>
            </w:pPr>
            <w:r w:rsidRPr="001527C7">
              <w:t>Distr. générale</w:t>
            </w:r>
          </w:p>
          <w:p w:rsidR="00DE2F2A" w:rsidRPr="001527C7" w:rsidRDefault="00DE2F2A" w:rsidP="00DE2F2A">
            <w:pPr>
              <w:spacing w:line="240" w:lineRule="exact"/>
            </w:pPr>
            <w:r w:rsidRPr="001527C7">
              <w:t>2 septembre 2019</w:t>
            </w:r>
          </w:p>
          <w:p w:rsidR="00DE2F2A" w:rsidRPr="001527C7" w:rsidRDefault="00DE2F2A" w:rsidP="00DE2F2A">
            <w:pPr>
              <w:spacing w:line="240" w:lineRule="exact"/>
            </w:pPr>
            <w:r w:rsidRPr="001527C7">
              <w:t>Français</w:t>
            </w:r>
          </w:p>
          <w:p w:rsidR="00DE2F2A" w:rsidRPr="001527C7" w:rsidRDefault="00DE2F2A" w:rsidP="00DE2F2A">
            <w:pPr>
              <w:spacing w:line="240" w:lineRule="exact"/>
            </w:pPr>
            <w:r w:rsidRPr="001527C7">
              <w:t>Original</w:t>
            </w:r>
            <w:r w:rsidR="006F453A" w:rsidRPr="001527C7">
              <w:t> :</w:t>
            </w:r>
            <w:r w:rsidRPr="001527C7">
              <w:t xml:space="preserve"> anglais</w:t>
            </w:r>
          </w:p>
        </w:tc>
      </w:tr>
    </w:tbl>
    <w:p w:rsidR="00DE2F2A" w:rsidRPr="001527C7" w:rsidRDefault="00DE2F2A" w:rsidP="00DE2F2A">
      <w:pPr>
        <w:spacing w:before="120" w:after="120"/>
        <w:rPr>
          <w:b/>
          <w:bCs/>
          <w:sz w:val="24"/>
          <w:szCs w:val="24"/>
        </w:rPr>
      </w:pPr>
      <w:r w:rsidRPr="001527C7">
        <w:rPr>
          <w:b/>
          <w:bCs/>
          <w:sz w:val="24"/>
          <w:szCs w:val="24"/>
        </w:rPr>
        <w:t xml:space="preserve">Comité d’experts du transport des marchandises dangereuses </w:t>
      </w:r>
      <w:r w:rsidRPr="001527C7">
        <w:rPr>
          <w:b/>
          <w:bCs/>
          <w:sz w:val="24"/>
          <w:szCs w:val="24"/>
        </w:rPr>
        <w:br/>
        <w:t xml:space="preserve">et du Système général harmonisé de classification </w:t>
      </w:r>
      <w:r w:rsidRPr="001527C7">
        <w:rPr>
          <w:b/>
          <w:bCs/>
          <w:sz w:val="24"/>
          <w:szCs w:val="24"/>
        </w:rPr>
        <w:br/>
        <w:t>et d’étiquetage des produits chimiques</w:t>
      </w:r>
    </w:p>
    <w:p w:rsidR="00DE2F2A" w:rsidRPr="001527C7" w:rsidRDefault="00DE2F2A" w:rsidP="006F453A">
      <w:pPr>
        <w:spacing w:after="120"/>
        <w:rPr>
          <w:b/>
          <w:bCs/>
        </w:rPr>
      </w:pPr>
      <w:r w:rsidRPr="001527C7">
        <w:rPr>
          <w:b/>
          <w:bCs/>
        </w:rPr>
        <w:t>Sous-Comité d’experts du transport des marchandises dangereuses</w:t>
      </w:r>
    </w:p>
    <w:p w:rsidR="00DE2F2A" w:rsidRPr="001527C7" w:rsidRDefault="00DE2F2A" w:rsidP="00DE2F2A">
      <w:pPr>
        <w:rPr>
          <w:b/>
          <w:bCs/>
        </w:rPr>
      </w:pPr>
      <w:r w:rsidRPr="001527C7">
        <w:rPr>
          <w:b/>
          <w:bCs/>
        </w:rPr>
        <w:t>Cinquantième session</w:t>
      </w:r>
    </w:p>
    <w:p w:rsidR="00DE2F2A" w:rsidRPr="001527C7" w:rsidRDefault="00DE2F2A" w:rsidP="00DE2F2A">
      <w:r w:rsidRPr="001527C7">
        <w:t>Genève, 28 novembre-6 décembre 2016</w:t>
      </w:r>
    </w:p>
    <w:p w:rsidR="00DE2F2A" w:rsidRPr="001527C7" w:rsidRDefault="00DE2F2A" w:rsidP="00DE2F2A">
      <w:r w:rsidRPr="001527C7">
        <w:t xml:space="preserve">Point 2 c) de l’ordre du jour provisoire </w:t>
      </w:r>
    </w:p>
    <w:p w:rsidR="00DE2F2A" w:rsidRPr="001527C7" w:rsidRDefault="00DE2F2A" w:rsidP="006F453A">
      <w:pPr>
        <w:rPr>
          <w:b/>
          <w:bCs/>
        </w:rPr>
      </w:pPr>
      <w:r w:rsidRPr="001527C7">
        <w:rPr>
          <w:b/>
          <w:bCs/>
        </w:rPr>
        <w:t xml:space="preserve">Recommandations du Sous-Comité formulées à ses quarante-septième, </w:t>
      </w:r>
      <w:r w:rsidR="006F453A" w:rsidRPr="001527C7">
        <w:rPr>
          <w:b/>
          <w:bCs/>
        </w:rPr>
        <w:br/>
      </w:r>
      <w:r w:rsidRPr="001527C7">
        <w:rPr>
          <w:b/>
          <w:bCs/>
        </w:rPr>
        <w:t>quarante-huitième et quarante-neuvième sessions et questions en suspens</w:t>
      </w:r>
      <w:r w:rsidR="006F453A" w:rsidRPr="001527C7">
        <w:rPr>
          <w:b/>
          <w:bCs/>
        </w:rPr>
        <w:t> :</w:t>
      </w:r>
      <w:r w:rsidRPr="001527C7">
        <w:rPr>
          <w:b/>
          <w:bCs/>
        </w:rPr>
        <w:t xml:space="preserve"> </w:t>
      </w:r>
      <w:r w:rsidRPr="001527C7">
        <w:rPr>
          <w:b/>
          <w:bCs/>
        </w:rPr>
        <w:br/>
        <w:t>Inscription, classement et emballage</w:t>
      </w:r>
    </w:p>
    <w:p w:rsidR="00DE2F2A" w:rsidRPr="001527C7" w:rsidRDefault="00DE2F2A" w:rsidP="006F453A">
      <w:pPr>
        <w:pStyle w:val="HChG"/>
      </w:pPr>
      <w:r w:rsidRPr="001527C7">
        <w:tab/>
      </w:r>
      <w:r w:rsidRPr="001527C7">
        <w:tab/>
        <w:t>Transport des déchets infectieux de catégorie A</w:t>
      </w:r>
    </w:p>
    <w:p w:rsidR="00DE2F2A" w:rsidRPr="001527C7" w:rsidRDefault="00DE2F2A" w:rsidP="006F453A">
      <w:pPr>
        <w:pStyle w:val="H1G"/>
      </w:pPr>
      <w:r w:rsidRPr="001527C7">
        <w:tab/>
      </w:r>
      <w:r w:rsidRPr="001527C7">
        <w:tab/>
        <w:t>Communication des experts du Royaume-Uni et du Canada</w:t>
      </w:r>
      <w:r w:rsidRPr="001527C7">
        <w:rPr>
          <w:rStyle w:val="FootnoteReference"/>
        </w:rPr>
        <w:footnoteReference w:id="2"/>
      </w:r>
    </w:p>
    <w:p w:rsidR="00DE2F2A" w:rsidRPr="001527C7" w:rsidRDefault="00DE2F2A" w:rsidP="006F453A">
      <w:pPr>
        <w:pStyle w:val="HChG"/>
      </w:pPr>
      <w:r w:rsidRPr="001527C7">
        <w:t xml:space="preserve"> </w:t>
      </w:r>
      <w:r w:rsidRPr="001527C7">
        <w:tab/>
      </w:r>
      <w:r w:rsidRPr="001527C7">
        <w:tab/>
      </w:r>
      <w:r w:rsidR="00A50F74">
        <w:t>Introduction</w:t>
      </w:r>
    </w:p>
    <w:p w:rsidR="00DE2F2A" w:rsidRPr="001527C7" w:rsidRDefault="00DE2F2A" w:rsidP="001527C7">
      <w:pPr>
        <w:pStyle w:val="ParNoG"/>
      </w:pPr>
      <w:r w:rsidRPr="001527C7">
        <w:t>À la quarante-neuvième session du Sous-Comité, plusieurs propositions ont été examinées concernant les mod</w:t>
      </w:r>
      <w:r w:rsidR="00622655" w:rsidRPr="001527C7">
        <w:t>alités</w:t>
      </w:r>
      <w:r w:rsidRPr="001527C7">
        <w:t xml:space="preserve"> de transport des déchets infectieux de catégorie</w:t>
      </w:r>
      <w:r w:rsidR="00622655" w:rsidRPr="001527C7">
        <w:t> </w:t>
      </w:r>
      <w:r w:rsidRPr="001527C7">
        <w:t xml:space="preserve">A (voir le document ST/SG/AC.10/C.3/2016/9 et les documents INF.10, INF.52 et INF.75). L’avis général du </w:t>
      </w:r>
      <w:r w:rsidR="00622655" w:rsidRPr="001527C7">
        <w:t>S</w:t>
      </w:r>
      <w:r w:rsidRPr="001527C7">
        <w:t xml:space="preserve">ous-Comité était que le texte s’appliquant actuellement aux matières </w:t>
      </w:r>
      <w:r w:rsidR="00622655" w:rsidRPr="001527C7">
        <w:t xml:space="preserve">relevant </w:t>
      </w:r>
      <w:r w:rsidRPr="001527C7">
        <w:t>de la C</w:t>
      </w:r>
      <w:r w:rsidR="00622655" w:rsidRPr="001527C7">
        <w:t>atégorie </w:t>
      </w:r>
      <w:r w:rsidRPr="001527C7">
        <w:t xml:space="preserve">A portait essentiellement sur des petits échantillons et n’était pas conçu pour le traitement de gros volumes de déchets contaminés. Les documents présentés se </w:t>
      </w:r>
      <w:r w:rsidR="00622655" w:rsidRPr="001527C7">
        <w:t>ramenaient</w:t>
      </w:r>
      <w:r w:rsidRPr="001527C7">
        <w:t xml:space="preserve"> à deux courants de pensée principaux</w:t>
      </w:r>
      <w:r w:rsidR="00622655" w:rsidRPr="001527C7">
        <w:t> :</w:t>
      </w:r>
      <w:r w:rsidRPr="001527C7">
        <w:t xml:space="preserve"> d’aucuns souhaitaient apporter des modifications au </w:t>
      </w:r>
      <w:r w:rsidR="00A50F74">
        <w:t>Chapitre </w:t>
      </w:r>
      <w:r w:rsidRPr="001527C7">
        <w:t xml:space="preserve">6.3 et à l’instruction d’emballage P620, alors que d’autres penchaient en faveur de l’élaboration d’un nouveau texte </w:t>
      </w:r>
      <w:r w:rsidR="00622655" w:rsidRPr="001527C7">
        <w:t xml:space="preserve">pour que </w:t>
      </w:r>
      <w:r w:rsidRPr="001527C7">
        <w:t>l</w:t>
      </w:r>
      <w:r w:rsidR="00622655" w:rsidRPr="001527C7">
        <w:t xml:space="preserve">es </w:t>
      </w:r>
      <w:r w:rsidRPr="001527C7">
        <w:t>emballage</w:t>
      </w:r>
      <w:r w:rsidR="00622655" w:rsidRPr="001527C7">
        <w:t xml:space="preserve">s pour matières infectieuses de la catégorie A soient visés par le </w:t>
      </w:r>
      <w:r w:rsidR="00A50F74">
        <w:t>Chapitre </w:t>
      </w:r>
      <w:r w:rsidR="00622655" w:rsidRPr="001527C7">
        <w:t>6.1</w:t>
      </w:r>
      <w:r w:rsidRPr="001527C7">
        <w:t xml:space="preserve">. </w:t>
      </w:r>
    </w:p>
    <w:p w:rsidR="00DE2F2A" w:rsidRPr="001527C7" w:rsidRDefault="00DE2F2A" w:rsidP="00622655">
      <w:pPr>
        <w:pStyle w:val="ParNoG"/>
      </w:pPr>
      <w:r w:rsidRPr="001527C7">
        <w:t xml:space="preserve">Un groupe de travail réuni à l’heure du déjeuner est parvenu à obtenir un large consensus en faveur de l’élaboration de prescriptions relatives au triple emballage décrites dans l’instruction P620, les matières infectieuses étant emballées avec un matériau absorbant afin qu’elles soient considérées comme des matières solides et des procédures de nettoyage ou de désinfection des emballages intérieurs étant prévues avant leur placement dans l’emballage extérieur ou intermédiaire. Cependant, le </w:t>
      </w:r>
      <w:r w:rsidR="00622655" w:rsidRPr="001527C7">
        <w:t>g</w:t>
      </w:r>
      <w:r w:rsidRPr="001527C7">
        <w:t xml:space="preserve">roupe </w:t>
      </w:r>
      <w:r w:rsidR="00622655" w:rsidRPr="001527C7">
        <w:t xml:space="preserve">de travail </w:t>
      </w:r>
      <w:r w:rsidRPr="001527C7">
        <w:t xml:space="preserve">n’a pu </w:t>
      </w:r>
      <w:r w:rsidRPr="001527C7">
        <w:lastRenderedPageBreak/>
        <w:t>convenir d’une solution unique et les délégations ont été invitées à élaborer des propositions pour la prochaine réunion du Sous-Comité.</w:t>
      </w:r>
      <w:r w:rsidR="006F453A" w:rsidRPr="001527C7">
        <w:t xml:space="preserve"> </w:t>
      </w:r>
    </w:p>
    <w:p w:rsidR="00DE2F2A" w:rsidRPr="001527C7" w:rsidRDefault="00DE2F2A" w:rsidP="006F453A">
      <w:pPr>
        <w:pStyle w:val="ParNoG"/>
      </w:pPr>
      <w:r w:rsidRPr="001527C7">
        <w:t>Le présent document propose l’adoption d’un nouveau numéro ONU et l’introduction des modifications correspondantes en matière d’instructions d’emballage et de détails sur l’emballage.</w:t>
      </w:r>
      <w:r w:rsidR="006F453A" w:rsidRPr="001527C7">
        <w:t xml:space="preserve"> </w:t>
      </w:r>
    </w:p>
    <w:p w:rsidR="00DE2F2A" w:rsidRPr="001527C7" w:rsidRDefault="00DE2F2A" w:rsidP="00A50F74">
      <w:pPr>
        <w:pStyle w:val="HChG"/>
      </w:pPr>
      <w:r w:rsidRPr="001527C7">
        <w:tab/>
      </w:r>
      <w:r w:rsidRPr="001527C7">
        <w:tab/>
        <w:t>Justification</w:t>
      </w:r>
    </w:p>
    <w:p w:rsidR="00DE2F2A" w:rsidRPr="001527C7" w:rsidRDefault="00DE2F2A" w:rsidP="006F453A">
      <w:pPr>
        <w:pStyle w:val="ParNoG"/>
      </w:pPr>
      <w:r w:rsidRPr="001527C7">
        <w:t>L’expérience concrète de nombreuses autorités compétentes a révélé que nombre d’entre elles ont adopté une approche similaire pour aborder ce problème, en ayant recours à l’agrément délivré par l’autorité compétente. L’ONU a connu des précédents dans ce domaine</w:t>
      </w:r>
      <w:r w:rsidR="006F453A" w:rsidRPr="001527C7">
        <w:t> ;</w:t>
      </w:r>
      <w:r w:rsidRPr="001527C7">
        <w:t xml:space="preserve"> les déchets de la catégorie B ont un autre numéro ONU et d’autres conditions d’emballage que les matières de cette catégorie qui ne sont pas des déchets.</w:t>
      </w:r>
      <w:r w:rsidR="006F453A" w:rsidRPr="001527C7">
        <w:t xml:space="preserve"> </w:t>
      </w:r>
    </w:p>
    <w:p w:rsidR="00DE2F2A" w:rsidRPr="001527C7" w:rsidRDefault="00DE2F2A" w:rsidP="00622655">
      <w:pPr>
        <w:pStyle w:val="ParNoG"/>
      </w:pPr>
      <w:r w:rsidRPr="001527C7">
        <w:t xml:space="preserve">Les prescriptions supplémentaires en matière d’emballage confèrent un niveau de sécurité adéquat aux </w:t>
      </w:r>
      <w:r w:rsidR="00622655" w:rsidRPr="001527C7">
        <w:t xml:space="preserve">colis </w:t>
      </w:r>
      <w:r w:rsidRPr="001527C7">
        <w:t>qui ne sont pas directement jetés dans un incinérateur ou un site de destruction final autorisé avec une manutention minimum.</w:t>
      </w:r>
    </w:p>
    <w:p w:rsidR="00DE2F2A" w:rsidRPr="001527C7" w:rsidRDefault="00DE2F2A" w:rsidP="00A50F74">
      <w:pPr>
        <w:pStyle w:val="HChG"/>
      </w:pPr>
      <w:r w:rsidRPr="001527C7">
        <w:tab/>
      </w:r>
      <w:r w:rsidRPr="001527C7">
        <w:tab/>
        <w:t xml:space="preserve">Proposition </w:t>
      </w:r>
    </w:p>
    <w:p w:rsidR="00DE2F2A" w:rsidRPr="001527C7" w:rsidRDefault="00DE2F2A" w:rsidP="00BB2F9E">
      <w:pPr>
        <w:pStyle w:val="ParNoG"/>
      </w:pPr>
      <w:r w:rsidRPr="001527C7">
        <w:t>Modifier comme suit le paragraphe 2.6.3.5 (</w:t>
      </w:r>
      <w:r w:rsidR="00BB2F9E">
        <w:t>l</w:t>
      </w:r>
      <w:r w:rsidRPr="001527C7">
        <w:t xml:space="preserve">es ajouts sont </w:t>
      </w:r>
      <w:r w:rsidRPr="001527C7">
        <w:rPr>
          <w:u w:val="single"/>
        </w:rPr>
        <w:t>soulignés</w:t>
      </w:r>
      <w:r w:rsidRPr="001527C7">
        <w:t xml:space="preserve">, les passages supprimés sont </w:t>
      </w:r>
      <w:r w:rsidRPr="001527C7">
        <w:rPr>
          <w:strike/>
        </w:rPr>
        <w:t>biffés</w:t>
      </w:r>
      <w:r w:rsidRPr="001527C7">
        <w:t>)</w:t>
      </w:r>
      <w:r w:rsidR="006F453A" w:rsidRPr="001527C7">
        <w:t> :</w:t>
      </w:r>
    </w:p>
    <w:p w:rsidR="00DE2F2A" w:rsidRPr="001527C7" w:rsidRDefault="006F453A" w:rsidP="00A50F74">
      <w:pPr>
        <w:pStyle w:val="SingleTxtG"/>
        <w:ind w:left="1701"/>
      </w:pPr>
      <w:r w:rsidRPr="001527C7">
        <w:t>« </w:t>
      </w:r>
      <w:r w:rsidR="00DE2F2A" w:rsidRPr="001527C7">
        <w:t>2.6.3.5.1</w:t>
      </w:r>
      <w:r w:rsidR="00A50F74">
        <w:tab/>
      </w:r>
      <w:r w:rsidR="00DE2F2A" w:rsidRPr="001527C7">
        <w:t xml:space="preserve">Les déchets médicaux ou déchets d’hôpital contenant des matières infectieuses de la catégorie A sont affectés </w:t>
      </w:r>
      <w:r w:rsidR="00DE2F2A" w:rsidRPr="001527C7">
        <w:rPr>
          <w:strike/>
        </w:rPr>
        <w:t xml:space="preserve">aux Nos ONU 2814 ou 2900 </w:t>
      </w:r>
      <w:r w:rsidR="00DE2F2A" w:rsidRPr="001527C7">
        <w:t xml:space="preserve">au No ONU XXXX, </w:t>
      </w:r>
      <w:r w:rsidR="00DE2F2A" w:rsidRPr="001527C7">
        <w:rPr>
          <w:strike/>
        </w:rPr>
        <w:t>selon le cas</w:t>
      </w:r>
      <w:r w:rsidR="00DE2F2A" w:rsidRPr="001527C7">
        <w:t>.</w:t>
      </w:r>
      <w:r w:rsidRPr="001527C7">
        <w:t> ».</w:t>
      </w:r>
    </w:p>
    <w:p w:rsidR="00DE2F2A" w:rsidRPr="001527C7" w:rsidRDefault="00DE2F2A" w:rsidP="00A50F74">
      <w:pPr>
        <w:pStyle w:val="SingleTxtG"/>
        <w:ind w:left="1701"/>
      </w:pPr>
      <w:r w:rsidRPr="001527C7">
        <w:t>Modifier le tableau A du Chapitre 3.2 comme suit</w:t>
      </w:r>
      <w:r w:rsidR="006F453A" w:rsidRPr="001527C7">
        <w:t> :</w:t>
      </w:r>
      <w:r w:rsidRPr="001527C7">
        <w:t xml:space="preserve"> N</w:t>
      </w:r>
      <w:r w:rsidR="00622655" w:rsidRPr="001527C7">
        <w:t>o</w:t>
      </w:r>
      <w:r w:rsidR="00A50F74">
        <w:t xml:space="preserve"> ONU </w:t>
      </w:r>
      <w:r w:rsidRPr="001527C7">
        <w:t>3291</w:t>
      </w:r>
      <w:r w:rsidR="006F453A" w:rsidRPr="001527C7">
        <w:t> :</w:t>
      </w:r>
      <w:r w:rsidRPr="001527C7">
        <w:t xml:space="preserve"> ajouter la Catégorie B à la désignation officielle de transport, supprimer le </w:t>
      </w:r>
      <w:r w:rsidR="00622655" w:rsidRPr="001527C7">
        <w:t>g</w:t>
      </w:r>
      <w:r w:rsidRPr="001527C7">
        <w:t>roupe d’emballage dans la colonne 5 (pour les groupes d’emballage non assignés à la classe 6.2 voir 2.0.1.3) et créer une nouvelle entrée pour les déchets de Catégorie A</w:t>
      </w:r>
      <w:r w:rsidR="006F453A" w:rsidRPr="001527C7">
        <w:t> ;</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3"/>
        <w:gridCol w:w="1918"/>
        <w:gridCol w:w="672"/>
        <w:gridCol w:w="798"/>
        <w:gridCol w:w="784"/>
        <w:gridCol w:w="798"/>
        <w:gridCol w:w="447"/>
        <w:gridCol w:w="453"/>
        <w:gridCol w:w="858"/>
        <w:gridCol w:w="790"/>
        <w:gridCol w:w="811"/>
        <w:gridCol w:w="785"/>
      </w:tblGrid>
      <w:tr w:rsidR="00F440D2" w:rsidRPr="001527C7" w:rsidTr="00622655">
        <w:trPr>
          <w:tblHeader/>
        </w:trPr>
        <w:tc>
          <w:tcPr>
            <w:tcW w:w="523" w:type="dxa"/>
            <w:vMerge w:val="restart"/>
            <w:shd w:val="clear" w:color="auto" w:fill="auto"/>
            <w:vAlign w:val="center"/>
          </w:tcPr>
          <w:p w:rsidR="00F440D2" w:rsidRPr="001527C7" w:rsidRDefault="00F440D2" w:rsidP="00622655">
            <w:pPr>
              <w:spacing w:before="80" w:after="80" w:line="180" w:lineRule="exact"/>
              <w:ind w:left="57" w:right="57"/>
              <w:jc w:val="center"/>
              <w:rPr>
                <w:b/>
                <w:bCs/>
                <w:iCs/>
                <w:spacing w:val="-2"/>
                <w:sz w:val="13"/>
                <w:szCs w:val="13"/>
              </w:rPr>
            </w:pPr>
            <w:r w:rsidRPr="001527C7">
              <w:rPr>
                <w:b/>
                <w:bCs/>
                <w:iCs/>
                <w:spacing w:val="-2"/>
                <w:sz w:val="13"/>
                <w:szCs w:val="13"/>
              </w:rPr>
              <w:t>N</w:t>
            </w:r>
            <w:r w:rsidR="00622655" w:rsidRPr="001527C7">
              <w:rPr>
                <w:b/>
                <w:bCs/>
                <w:iCs/>
                <w:spacing w:val="-2"/>
                <w:sz w:val="13"/>
                <w:szCs w:val="13"/>
              </w:rPr>
              <w:t>o</w:t>
            </w:r>
            <w:r w:rsidRPr="001527C7">
              <w:rPr>
                <w:b/>
                <w:bCs/>
                <w:iCs/>
                <w:spacing w:val="-2"/>
                <w:sz w:val="13"/>
                <w:szCs w:val="13"/>
              </w:rPr>
              <w:t xml:space="preserve"> ONU</w:t>
            </w:r>
          </w:p>
        </w:tc>
        <w:tc>
          <w:tcPr>
            <w:tcW w:w="1918" w:type="dxa"/>
            <w:vMerge w:val="restart"/>
            <w:shd w:val="clear" w:color="auto" w:fill="auto"/>
            <w:vAlign w:val="center"/>
          </w:tcPr>
          <w:p w:rsidR="00F440D2" w:rsidRPr="001527C7" w:rsidRDefault="00F440D2" w:rsidP="00622655">
            <w:pPr>
              <w:spacing w:before="80" w:after="80" w:line="180" w:lineRule="exact"/>
              <w:ind w:left="57" w:right="57"/>
              <w:jc w:val="center"/>
              <w:rPr>
                <w:b/>
                <w:bCs/>
                <w:iCs/>
                <w:spacing w:val="-2"/>
                <w:sz w:val="13"/>
                <w:szCs w:val="13"/>
              </w:rPr>
            </w:pPr>
            <w:r w:rsidRPr="001527C7">
              <w:rPr>
                <w:b/>
                <w:bCs/>
                <w:iCs/>
                <w:spacing w:val="-2"/>
                <w:sz w:val="13"/>
                <w:szCs w:val="13"/>
              </w:rPr>
              <w:t>Nom et description</w:t>
            </w:r>
          </w:p>
        </w:tc>
        <w:tc>
          <w:tcPr>
            <w:tcW w:w="672" w:type="dxa"/>
            <w:vMerge w:val="restart"/>
            <w:shd w:val="clear" w:color="auto" w:fill="auto"/>
            <w:vAlign w:val="center"/>
          </w:tcPr>
          <w:p w:rsidR="00F440D2" w:rsidRPr="001527C7" w:rsidRDefault="00F440D2" w:rsidP="00622655">
            <w:pPr>
              <w:spacing w:before="80" w:after="80" w:line="180" w:lineRule="exact"/>
              <w:ind w:left="57" w:right="57"/>
              <w:jc w:val="center"/>
              <w:rPr>
                <w:b/>
                <w:bCs/>
                <w:iCs/>
                <w:spacing w:val="-2"/>
                <w:sz w:val="13"/>
                <w:szCs w:val="13"/>
              </w:rPr>
            </w:pPr>
            <w:r w:rsidRPr="001527C7">
              <w:rPr>
                <w:b/>
                <w:bCs/>
                <w:iCs/>
                <w:spacing w:val="-2"/>
                <w:sz w:val="13"/>
                <w:szCs w:val="13"/>
              </w:rPr>
              <w:t>Classe ou division</w:t>
            </w:r>
          </w:p>
        </w:tc>
        <w:tc>
          <w:tcPr>
            <w:tcW w:w="798" w:type="dxa"/>
            <w:vMerge w:val="restart"/>
            <w:shd w:val="clear" w:color="auto" w:fill="auto"/>
            <w:vAlign w:val="center"/>
          </w:tcPr>
          <w:p w:rsidR="00F440D2" w:rsidRPr="001527C7" w:rsidRDefault="00F440D2" w:rsidP="00622655">
            <w:pPr>
              <w:spacing w:before="80" w:after="80" w:line="180" w:lineRule="exact"/>
              <w:ind w:left="57" w:right="57"/>
              <w:jc w:val="center"/>
              <w:rPr>
                <w:b/>
                <w:bCs/>
                <w:iCs/>
                <w:spacing w:val="-2"/>
                <w:sz w:val="13"/>
                <w:szCs w:val="13"/>
              </w:rPr>
            </w:pPr>
            <w:r w:rsidRPr="001527C7">
              <w:rPr>
                <w:b/>
                <w:bCs/>
                <w:iCs/>
                <w:spacing w:val="-2"/>
                <w:sz w:val="13"/>
                <w:szCs w:val="13"/>
              </w:rPr>
              <w:t>Risque subsidiaire</w:t>
            </w:r>
          </w:p>
        </w:tc>
        <w:tc>
          <w:tcPr>
            <w:tcW w:w="784" w:type="dxa"/>
            <w:vMerge w:val="restart"/>
            <w:shd w:val="clear" w:color="auto" w:fill="auto"/>
            <w:vAlign w:val="center"/>
          </w:tcPr>
          <w:p w:rsidR="00F440D2" w:rsidRPr="001527C7" w:rsidRDefault="00F440D2" w:rsidP="00622655">
            <w:pPr>
              <w:spacing w:before="80" w:after="80" w:line="180" w:lineRule="exact"/>
              <w:ind w:left="57" w:right="57"/>
              <w:jc w:val="center"/>
              <w:rPr>
                <w:b/>
                <w:bCs/>
                <w:iCs/>
                <w:spacing w:val="-2"/>
                <w:sz w:val="13"/>
                <w:szCs w:val="13"/>
              </w:rPr>
            </w:pPr>
            <w:r w:rsidRPr="001527C7">
              <w:rPr>
                <w:b/>
                <w:bCs/>
                <w:iCs/>
                <w:spacing w:val="-2"/>
                <w:sz w:val="13"/>
                <w:szCs w:val="13"/>
              </w:rPr>
              <w:t>Groupe d’emballage</w:t>
            </w:r>
          </w:p>
        </w:tc>
        <w:tc>
          <w:tcPr>
            <w:tcW w:w="798" w:type="dxa"/>
            <w:vMerge w:val="restart"/>
            <w:shd w:val="clear" w:color="auto" w:fill="auto"/>
            <w:vAlign w:val="center"/>
          </w:tcPr>
          <w:p w:rsidR="00F440D2" w:rsidRPr="001527C7" w:rsidRDefault="00F440D2" w:rsidP="00622655">
            <w:pPr>
              <w:spacing w:before="80" w:after="80" w:line="180" w:lineRule="exact"/>
              <w:ind w:left="57" w:right="57"/>
              <w:jc w:val="center"/>
              <w:rPr>
                <w:b/>
                <w:bCs/>
                <w:iCs/>
                <w:spacing w:val="-2"/>
                <w:sz w:val="13"/>
                <w:szCs w:val="13"/>
              </w:rPr>
            </w:pPr>
            <w:r w:rsidRPr="001527C7">
              <w:rPr>
                <w:b/>
                <w:bCs/>
                <w:iCs/>
                <w:spacing w:val="-2"/>
                <w:sz w:val="13"/>
                <w:szCs w:val="13"/>
              </w:rPr>
              <w:t>Dispositions spéciales</w:t>
            </w:r>
          </w:p>
        </w:tc>
        <w:tc>
          <w:tcPr>
            <w:tcW w:w="900" w:type="dxa"/>
            <w:gridSpan w:val="2"/>
            <w:vMerge w:val="restart"/>
            <w:shd w:val="clear" w:color="auto" w:fill="auto"/>
            <w:vAlign w:val="center"/>
          </w:tcPr>
          <w:p w:rsidR="00F440D2" w:rsidRPr="001527C7" w:rsidRDefault="00F440D2" w:rsidP="00622655">
            <w:pPr>
              <w:spacing w:before="80" w:after="80" w:line="180" w:lineRule="exact"/>
              <w:ind w:left="57" w:right="57"/>
              <w:jc w:val="center"/>
              <w:rPr>
                <w:b/>
                <w:bCs/>
                <w:iCs/>
                <w:spacing w:val="-2"/>
                <w:sz w:val="13"/>
                <w:szCs w:val="13"/>
              </w:rPr>
            </w:pPr>
            <w:r w:rsidRPr="001527C7">
              <w:rPr>
                <w:b/>
                <w:bCs/>
                <w:iCs/>
                <w:spacing w:val="-2"/>
                <w:sz w:val="13"/>
                <w:szCs w:val="13"/>
              </w:rPr>
              <w:t>Quantités limitées et quantités exceptées</w:t>
            </w:r>
          </w:p>
        </w:tc>
        <w:tc>
          <w:tcPr>
            <w:tcW w:w="1648" w:type="dxa"/>
            <w:gridSpan w:val="2"/>
            <w:shd w:val="clear" w:color="auto" w:fill="auto"/>
            <w:vAlign w:val="center"/>
          </w:tcPr>
          <w:p w:rsidR="00F440D2" w:rsidRPr="001527C7" w:rsidRDefault="00F440D2" w:rsidP="00622655">
            <w:pPr>
              <w:spacing w:before="80" w:after="80" w:line="180" w:lineRule="exact"/>
              <w:ind w:left="57" w:right="57"/>
              <w:jc w:val="center"/>
              <w:rPr>
                <w:b/>
                <w:bCs/>
                <w:iCs/>
                <w:spacing w:val="-2"/>
                <w:sz w:val="13"/>
                <w:szCs w:val="13"/>
              </w:rPr>
            </w:pPr>
            <w:r w:rsidRPr="001527C7">
              <w:rPr>
                <w:b/>
                <w:bCs/>
                <w:iCs/>
                <w:spacing w:val="-2"/>
                <w:sz w:val="13"/>
                <w:szCs w:val="13"/>
              </w:rPr>
              <w:t>Emballages et GRV</w:t>
            </w:r>
          </w:p>
        </w:tc>
        <w:tc>
          <w:tcPr>
            <w:tcW w:w="1596" w:type="dxa"/>
            <w:gridSpan w:val="2"/>
            <w:shd w:val="clear" w:color="auto" w:fill="auto"/>
            <w:vAlign w:val="center"/>
          </w:tcPr>
          <w:p w:rsidR="00F440D2" w:rsidRPr="001527C7" w:rsidRDefault="00F440D2" w:rsidP="00622655">
            <w:pPr>
              <w:spacing w:before="80" w:after="80" w:line="180" w:lineRule="exact"/>
              <w:ind w:left="57" w:right="57"/>
              <w:jc w:val="center"/>
              <w:rPr>
                <w:b/>
                <w:bCs/>
                <w:iCs/>
                <w:spacing w:val="-2"/>
                <w:sz w:val="13"/>
                <w:szCs w:val="13"/>
              </w:rPr>
            </w:pPr>
            <w:r w:rsidRPr="001527C7">
              <w:rPr>
                <w:b/>
                <w:bCs/>
                <w:iCs/>
                <w:spacing w:val="-2"/>
                <w:sz w:val="13"/>
                <w:szCs w:val="13"/>
              </w:rPr>
              <w:t>Citernes mobiles et conteneurs pour vrac</w:t>
            </w:r>
          </w:p>
        </w:tc>
      </w:tr>
      <w:tr w:rsidR="00F440D2" w:rsidRPr="001527C7" w:rsidTr="00622655">
        <w:trPr>
          <w:tblHeader/>
        </w:trPr>
        <w:tc>
          <w:tcPr>
            <w:tcW w:w="523" w:type="dxa"/>
            <w:vMerge/>
            <w:shd w:val="clear" w:color="auto" w:fill="auto"/>
            <w:vAlign w:val="center"/>
          </w:tcPr>
          <w:p w:rsidR="00F440D2" w:rsidRPr="001527C7" w:rsidRDefault="00F440D2" w:rsidP="00F440D2">
            <w:pPr>
              <w:spacing w:before="80" w:after="80" w:line="180" w:lineRule="exact"/>
              <w:ind w:left="57" w:right="57"/>
              <w:rPr>
                <w:b/>
                <w:bCs/>
                <w:iCs/>
                <w:spacing w:val="-2"/>
                <w:sz w:val="13"/>
                <w:szCs w:val="13"/>
              </w:rPr>
            </w:pPr>
          </w:p>
        </w:tc>
        <w:tc>
          <w:tcPr>
            <w:tcW w:w="1918" w:type="dxa"/>
            <w:vMerge/>
            <w:shd w:val="clear" w:color="auto" w:fill="auto"/>
            <w:vAlign w:val="center"/>
          </w:tcPr>
          <w:p w:rsidR="00F440D2" w:rsidRPr="001527C7" w:rsidRDefault="00F440D2" w:rsidP="00F440D2">
            <w:pPr>
              <w:spacing w:before="80" w:after="80" w:line="180" w:lineRule="exact"/>
              <w:ind w:left="57" w:right="57"/>
              <w:rPr>
                <w:b/>
                <w:bCs/>
                <w:iCs/>
                <w:spacing w:val="-2"/>
                <w:sz w:val="13"/>
                <w:szCs w:val="13"/>
              </w:rPr>
            </w:pPr>
          </w:p>
        </w:tc>
        <w:tc>
          <w:tcPr>
            <w:tcW w:w="672" w:type="dxa"/>
            <w:vMerge/>
            <w:shd w:val="clear" w:color="auto" w:fill="auto"/>
            <w:vAlign w:val="center"/>
          </w:tcPr>
          <w:p w:rsidR="00F440D2" w:rsidRPr="001527C7" w:rsidRDefault="00F440D2" w:rsidP="00F440D2">
            <w:pPr>
              <w:spacing w:before="80" w:after="80" w:line="180" w:lineRule="exact"/>
              <w:ind w:left="57" w:right="57"/>
              <w:rPr>
                <w:b/>
                <w:bCs/>
                <w:iCs/>
                <w:spacing w:val="-2"/>
                <w:sz w:val="13"/>
                <w:szCs w:val="13"/>
              </w:rPr>
            </w:pPr>
          </w:p>
        </w:tc>
        <w:tc>
          <w:tcPr>
            <w:tcW w:w="798" w:type="dxa"/>
            <w:vMerge/>
            <w:shd w:val="clear" w:color="auto" w:fill="auto"/>
            <w:vAlign w:val="center"/>
          </w:tcPr>
          <w:p w:rsidR="00F440D2" w:rsidRPr="001527C7" w:rsidRDefault="00F440D2" w:rsidP="00F440D2">
            <w:pPr>
              <w:spacing w:before="80" w:after="80" w:line="180" w:lineRule="exact"/>
              <w:ind w:left="57" w:right="57"/>
              <w:rPr>
                <w:b/>
                <w:bCs/>
                <w:iCs/>
                <w:spacing w:val="-2"/>
                <w:sz w:val="13"/>
                <w:szCs w:val="13"/>
              </w:rPr>
            </w:pPr>
          </w:p>
        </w:tc>
        <w:tc>
          <w:tcPr>
            <w:tcW w:w="784" w:type="dxa"/>
            <w:vMerge/>
            <w:shd w:val="clear" w:color="auto" w:fill="auto"/>
            <w:vAlign w:val="center"/>
          </w:tcPr>
          <w:p w:rsidR="00F440D2" w:rsidRPr="001527C7" w:rsidRDefault="00F440D2" w:rsidP="00F440D2">
            <w:pPr>
              <w:spacing w:before="80" w:after="80" w:line="180" w:lineRule="exact"/>
              <w:ind w:left="57" w:right="57"/>
              <w:rPr>
                <w:b/>
                <w:bCs/>
                <w:iCs/>
                <w:spacing w:val="-2"/>
                <w:sz w:val="13"/>
                <w:szCs w:val="13"/>
              </w:rPr>
            </w:pPr>
          </w:p>
        </w:tc>
        <w:tc>
          <w:tcPr>
            <w:tcW w:w="798" w:type="dxa"/>
            <w:vMerge/>
            <w:shd w:val="clear" w:color="auto" w:fill="auto"/>
            <w:vAlign w:val="center"/>
          </w:tcPr>
          <w:p w:rsidR="00F440D2" w:rsidRPr="001527C7" w:rsidRDefault="00F440D2" w:rsidP="00F440D2">
            <w:pPr>
              <w:spacing w:before="80" w:after="80" w:line="180" w:lineRule="exact"/>
              <w:ind w:left="57" w:right="57"/>
              <w:rPr>
                <w:b/>
                <w:bCs/>
                <w:iCs/>
                <w:spacing w:val="-2"/>
                <w:sz w:val="13"/>
                <w:szCs w:val="13"/>
              </w:rPr>
            </w:pPr>
          </w:p>
        </w:tc>
        <w:tc>
          <w:tcPr>
            <w:tcW w:w="900" w:type="dxa"/>
            <w:gridSpan w:val="2"/>
            <w:vMerge/>
            <w:shd w:val="clear" w:color="auto" w:fill="auto"/>
            <w:vAlign w:val="center"/>
          </w:tcPr>
          <w:p w:rsidR="00F440D2" w:rsidRPr="001527C7" w:rsidRDefault="00F440D2" w:rsidP="00F440D2">
            <w:pPr>
              <w:spacing w:before="80" w:after="80" w:line="180" w:lineRule="exact"/>
              <w:ind w:left="57" w:right="57"/>
              <w:rPr>
                <w:b/>
                <w:bCs/>
                <w:iCs/>
                <w:spacing w:val="-2"/>
                <w:sz w:val="13"/>
                <w:szCs w:val="13"/>
              </w:rPr>
            </w:pPr>
          </w:p>
        </w:tc>
        <w:tc>
          <w:tcPr>
            <w:tcW w:w="858" w:type="dxa"/>
            <w:shd w:val="clear" w:color="auto" w:fill="auto"/>
            <w:vAlign w:val="center"/>
          </w:tcPr>
          <w:p w:rsidR="00F440D2" w:rsidRPr="001527C7" w:rsidRDefault="00F440D2" w:rsidP="00622655">
            <w:pPr>
              <w:spacing w:before="80" w:after="80" w:line="180" w:lineRule="exact"/>
              <w:ind w:left="57" w:right="57"/>
              <w:jc w:val="center"/>
              <w:rPr>
                <w:b/>
                <w:bCs/>
                <w:iCs/>
                <w:spacing w:val="-2"/>
                <w:sz w:val="13"/>
                <w:szCs w:val="13"/>
              </w:rPr>
            </w:pPr>
            <w:r w:rsidRPr="001527C7">
              <w:rPr>
                <w:b/>
                <w:bCs/>
                <w:iCs/>
                <w:spacing w:val="-2"/>
                <w:sz w:val="13"/>
                <w:szCs w:val="13"/>
              </w:rPr>
              <w:t>Instructions d’emballage</w:t>
            </w:r>
          </w:p>
        </w:tc>
        <w:tc>
          <w:tcPr>
            <w:tcW w:w="790" w:type="dxa"/>
            <w:shd w:val="clear" w:color="auto" w:fill="auto"/>
            <w:vAlign w:val="center"/>
          </w:tcPr>
          <w:p w:rsidR="00F440D2" w:rsidRPr="001527C7" w:rsidRDefault="00F440D2" w:rsidP="00622655">
            <w:pPr>
              <w:spacing w:before="80" w:after="80" w:line="180" w:lineRule="exact"/>
              <w:ind w:left="57" w:right="57"/>
              <w:jc w:val="center"/>
              <w:rPr>
                <w:b/>
                <w:bCs/>
                <w:iCs/>
                <w:spacing w:val="-2"/>
                <w:sz w:val="13"/>
                <w:szCs w:val="13"/>
              </w:rPr>
            </w:pPr>
            <w:r w:rsidRPr="001527C7">
              <w:rPr>
                <w:b/>
                <w:bCs/>
                <w:iCs/>
                <w:spacing w:val="-2"/>
                <w:sz w:val="13"/>
                <w:szCs w:val="13"/>
              </w:rPr>
              <w:t>Dispositions spéciales</w:t>
            </w:r>
          </w:p>
        </w:tc>
        <w:tc>
          <w:tcPr>
            <w:tcW w:w="811" w:type="dxa"/>
            <w:shd w:val="clear" w:color="auto" w:fill="auto"/>
            <w:vAlign w:val="center"/>
          </w:tcPr>
          <w:p w:rsidR="00F440D2" w:rsidRPr="001527C7" w:rsidRDefault="00F440D2" w:rsidP="00622655">
            <w:pPr>
              <w:spacing w:before="80" w:after="80" w:line="180" w:lineRule="exact"/>
              <w:ind w:left="57" w:right="57"/>
              <w:jc w:val="center"/>
              <w:rPr>
                <w:b/>
                <w:bCs/>
                <w:iCs/>
                <w:spacing w:val="-2"/>
                <w:sz w:val="13"/>
                <w:szCs w:val="13"/>
              </w:rPr>
            </w:pPr>
            <w:r w:rsidRPr="001527C7">
              <w:rPr>
                <w:b/>
                <w:bCs/>
                <w:iCs/>
                <w:spacing w:val="-2"/>
                <w:sz w:val="13"/>
                <w:szCs w:val="13"/>
              </w:rPr>
              <w:t>Instructions de transport</w:t>
            </w:r>
          </w:p>
        </w:tc>
        <w:tc>
          <w:tcPr>
            <w:tcW w:w="785" w:type="dxa"/>
            <w:shd w:val="clear" w:color="auto" w:fill="auto"/>
            <w:vAlign w:val="center"/>
          </w:tcPr>
          <w:p w:rsidR="00F440D2" w:rsidRPr="001527C7" w:rsidRDefault="00F440D2" w:rsidP="00622655">
            <w:pPr>
              <w:spacing w:before="80" w:after="80" w:line="180" w:lineRule="exact"/>
              <w:ind w:left="57" w:right="57"/>
              <w:jc w:val="center"/>
              <w:rPr>
                <w:b/>
                <w:bCs/>
                <w:iCs/>
                <w:spacing w:val="-2"/>
                <w:sz w:val="13"/>
                <w:szCs w:val="13"/>
              </w:rPr>
            </w:pPr>
            <w:r w:rsidRPr="001527C7">
              <w:rPr>
                <w:b/>
                <w:bCs/>
                <w:iCs/>
                <w:spacing w:val="-2"/>
                <w:sz w:val="13"/>
                <w:szCs w:val="13"/>
              </w:rPr>
              <w:t>Dispositions spéciales</w:t>
            </w:r>
          </w:p>
        </w:tc>
      </w:tr>
      <w:tr w:rsidR="00F440D2" w:rsidRPr="001527C7" w:rsidTr="00622655">
        <w:tc>
          <w:tcPr>
            <w:tcW w:w="523" w:type="dxa"/>
            <w:shd w:val="clear" w:color="auto" w:fill="auto"/>
          </w:tcPr>
          <w:p w:rsidR="00DE2F2A" w:rsidRPr="001527C7" w:rsidRDefault="00DE2F2A" w:rsidP="00A50F74">
            <w:pPr>
              <w:spacing w:before="60" w:after="60" w:line="220" w:lineRule="atLeast"/>
              <w:ind w:left="57" w:right="57"/>
              <w:jc w:val="center"/>
              <w:rPr>
                <w:sz w:val="17"/>
                <w:szCs w:val="17"/>
              </w:rPr>
            </w:pPr>
            <w:r w:rsidRPr="001527C7">
              <w:rPr>
                <w:b/>
                <w:bCs/>
                <w:sz w:val="17"/>
                <w:szCs w:val="17"/>
              </w:rPr>
              <w:t>(1)</w:t>
            </w:r>
          </w:p>
        </w:tc>
        <w:tc>
          <w:tcPr>
            <w:tcW w:w="1918" w:type="dxa"/>
            <w:shd w:val="clear" w:color="auto" w:fill="auto"/>
          </w:tcPr>
          <w:p w:rsidR="00DE2F2A" w:rsidRPr="001527C7" w:rsidRDefault="00DE2F2A" w:rsidP="00A50F74">
            <w:pPr>
              <w:spacing w:before="60" w:after="60" w:line="220" w:lineRule="atLeast"/>
              <w:ind w:left="57" w:right="57"/>
              <w:jc w:val="center"/>
              <w:rPr>
                <w:sz w:val="17"/>
                <w:szCs w:val="17"/>
              </w:rPr>
            </w:pPr>
            <w:r w:rsidRPr="001527C7">
              <w:rPr>
                <w:b/>
                <w:bCs/>
                <w:sz w:val="17"/>
                <w:szCs w:val="17"/>
              </w:rPr>
              <w:t>(2)</w:t>
            </w:r>
          </w:p>
        </w:tc>
        <w:tc>
          <w:tcPr>
            <w:tcW w:w="672" w:type="dxa"/>
            <w:shd w:val="clear" w:color="auto" w:fill="auto"/>
          </w:tcPr>
          <w:p w:rsidR="00DE2F2A" w:rsidRPr="001527C7" w:rsidRDefault="00DE2F2A" w:rsidP="00A50F74">
            <w:pPr>
              <w:spacing w:before="60" w:after="60" w:line="220" w:lineRule="atLeast"/>
              <w:ind w:left="57" w:right="57"/>
              <w:jc w:val="center"/>
              <w:rPr>
                <w:sz w:val="17"/>
                <w:szCs w:val="17"/>
              </w:rPr>
            </w:pPr>
            <w:r w:rsidRPr="001527C7">
              <w:rPr>
                <w:b/>
                <w:bCs/>
                <w:sz w:val="17"/>
                <w:szCs w:val="17"/>
              </w:rPr>
              <w:t>(3)</w:t>
            </w:r>
          </w:p>
        </w:tc>
        <w:tc>
          <w:tcPr>
            <w:tcW w:w="798" w:type="dxa"/>
            <w:shd w:val="clear" w:color="auto" w:fill="auto"/>
          </w:tcPr>
          <w:p w:rsidR="00DE2F2A" w:rsidRPr="001527C7" w:rsidRDefault="00DE2F2A" w:rsidP="00A50F74">
            <w:pPr>
              <w:spacing w:before="60" w:after="60" w:line="220" w:lineRule="atLeast"/>
              <w:ind w:left="57" w:right="57"/>
              <w:jc w:val="center"/>
              <w:rPr>
                <w:sz w:val="17"/>
                <w:szCs w:val="17"/>
              </w:rPr>
            </w:pPr>
            <w:r w:rsidRPr="001527C7">
              <w:rPr>
                <w:b/>
                <w:bCs/>
                <w:sz w:val="17"/>
                <w:szCs w:val="17"/>
              </w:rPr>
              <w:t>(4)</w:t>
            </w:r>
          </w:p>
        </w:tc>
        <w:tc>
          <w:tcPr>
            <w:tcW w:w="784" w:type="dxa"/>
            <w:shd w:val="clear" w:color="auto" w:fill="auto"/>
          </w:tcPr>
          <w:p w:rsidR="00DE2F2A" w:rsidRPr="001527C7" w:rsidRDefault="00DE2F2A" w:rsidP="00A50F74">
            <w:pPr>
              <w:spacing w:before="60" w:after="60" w:line="220" w:lineRule="atLeast"/>
              <w:ind w:left="57" w:right="57"/>
              <w:jc w:val="center"/>
              <w:rPr>
                <w:sz w:val="17"/>
                <w:szCs w:val="17"/>
              </w:rPr>
            </w:pPr>
            <w:r w:rsidRPr="001527C7">
              <w:rPr>
                <w:b/>
                <w:bCs/>
                <w:sz w:val="17"/>
                <w:szCs w:val="17"/>
              </w:rPr>
              <w:t>(5)</w:t>
            </w:r>
          </w:p>
        </w:tc>
        <w:tc>
          <w:tcPr>
            <w:tcW w:w="798" w:type="dxa"/>
            <w:shd w:val="clear" w:color="auto" w:fill="auto"/>
          </w:tcPr>
          <w:p w:rsidR="00DE2F2A" w:rsidRPr="001527C7" w:rsidRDefault="00DE2F2A" w:rsidP="00A50F74">
            <w:pPr>
              <w:spacing w:before="60" w:after="60" w:line="220" w:lineRule="atLeast"/>
              <w:ind w:left="57" w:right="57"/>
              <w:jc w:val="center"/>
              <w:rPr>
                <w:sz w:val="17"/>
                <w:szCs w:val="17"/>
              </w:rPr>
            </w:pPr>
            <w:r w:rsidRPr="001527C7">
              <w:rPr>
                <w:b/>
                <w:bCs/>
                <w:sz w:val="17"/>
                <w:szCs w:val="17"/>
              </w:rPr>
              <w:t>(6)</w:t>
            </w:r>
          </w:p>
        </w:tc>
        <w:tc>
          <w:tcPr>
            <w:tcW w:w="447" w:type="dxa"/>
            <w:shd w:val="clear" w:color="auto" w:fill="auto"/>
          </w:tcPr>
          <w:p w:rsidR="00DE2F2A" w:rsidRPr="001527C7" w:rsidRDefault="00DE2F2A" w:rsidP="00A50F74">
            <w:pPr>
              <w:spacing w:before="60" w:after="60" w:line="220" w:lineRule="atLeast"/>
              <w:ind w:left="57" w:right="57"/>
              <w:jc w:val="center"/>
              <w:rPr>
                <w:sz w:val="17"/>
                <w:szCs w:val="17"/>
              </w:rPr>
            </w:pPr>
            <w:r w:rsidRPr="001527C7">
              <w:rPr>
                <w:b/>
                <w:bCs/>
                <w:sz w:val="17"/>
                <w:szCs w:val="17"/>
              </w:rPr>
              <w:t>(7a)</w:t>
            </w:r>
          </w:p>
        </w:tc>
        <w:tc>
          <w:tcPr>
            <w:tcW w:w="453" w:type="dxa"/>
            <w:shd w:val="clear" w:color="auto" w:fill="auto"/>
          </w:tcPr>
          <w:p w:rsidR="00DE2F2A" w:rsidRPr="001527C7" w:rsidRDefault="00DE2F2A" w:rsidP="00A50F74">
            <w:pPr>
              <w:spacing w:before="60" w:after="60" w:line="220" w:lineRule="atLeast"/>
              <w:ind w:left="57" w:right="57"/>
              <w:jc w:val="center"/>
              <w:rPr>
                <w:sz w:val="17"/>
                <w:szCs w:val="17"/>
              </w:rPr>
            </w:pPr>
            <w:r w:rsidRPr="001527C7">
              <w:rPr>
                <w:b/>
                <w:bCs/>
                <w:sz w:val="17"/>
                <w:szCs w:val="17"/>
              </w:rPr>
              <w:t>(7b)</w:t>
            </w:r>
          </w:p>
        </w:tc>
        <w:tc>
          <w:tcPr>
            <w:tcW w:w="858" w:type="dxa"/>
            <w:shd w:val="clear" w:color="auto" w:fill="auto"/>
          </w:tcPr>
          <w:p w:rsidR="00DE2F2A" w:rsidRPr="001527C7" w:rsidRDefault="00DE2F2A" w:rsidP="00A50F74">
            <w:pPr>
              <w:spacing w:before="60" w:after="60" w:line="220" w:lineRule="atLeast"/>
              <w:ind w:left="57" w:right="57"/>
              <w:jc w:val="center"/>
              <w:rPr>
                <w:sz w:val="17"/>
                <w:szCs w:val="17"/>
              </w:rPr>
            </w:pPr>
            <w:r w:rsidRPr="001527C7">
              <w:rPr>
                <w:b/>
                <w:bCs/>
                <w:sz w:val="17"/>
                <w:szCs w:val="17"/>
              </w:rPr>
              <w:t>(8)</w:t>
            </w:r>
          </w:p>
        </w:tc>
        <w:tc>
          <w:tcPr>
            <w:tcW w:w="790" w:type="dxa"/>
            <w:shd w:val="clear" w:color="auto" w:fill="auto"/>
          </w:tcPr>
          <w:p w:rsidR="00DE2F2A" w:rsidRPr="001527C7" w:rsidRDefault="00DE2F2A" w:rsidP="00A50F74">
            <w:pPr>
              <w:spacing w:before="60" w:after="60" w:line="220" w:lineRule="atLeast"/>
              <w:ind w:left="57" w:right="57"/>
              <w:jc w:val="center"/>
              <w:rPr>
                <w:sz w:val="17"/>
                <w:szCs w:val="17"/>
              </w:rPr>
            </w:pPr>
            <w:r w:rsidRPr="001527C7">
              <w:rPr>
                <w:b/>
                <w:bCs/>
                <w:sz w:val="17"/>
                <w:szCs w:val="17"/>
              </w:rPr>
              <w:t>(9)</w:t>
            </w:r>
          </w:p>
        </w:tc>
        <w:tc>
          <w:tcPr>
            <w:tcW w:w="811" w:type="dxa"/>
            <w:shd w:val="clear" w:color="auto" w:fill="auto"/>
          </w:tcPr>
          <w:p w:rsidR="00DE2F2A" w:rsidRPr="001527C7" w:rsidRDefault="00DE2F2A" w:rsidP="00A50F74">
            <w:pPr>
              <w:spacing w:before="60" w:after="60" w:line="220" w:lineRule="atLeast"/>
              <w:ind w:left="57" w:right="57"/>
              <w:jc w:val="center"/>
              <w:rPr>
                <w:sz w:val="17"/>
                <w:szCs w:val="17"/>
              </w:rPr>
            </w:pPr>
            <w:r w:rsidRPr="001527C7">
              <w:rPr>
                <w:b/>
                <w:bCs/>
                <w:sz w:val="17"/>
                <w:szCs w:val="17"/>
              </w:rPr>
              <w:t>(10)</w:t>
            </w:r>
          </w:p>
        </w:tc>
        <w:tc>
          <w:tcPr>
            <w:tcW w:w="785" w:type="dxa"/>
            <w:shd w:val="clear" w:color="auto" w:fill="auto"/>
          </w:tcPr>
          <w:p w:rsidR="00DE2F2A" w:rsidRPr="001527C7" w:rsidRDefault="00DE2F2A" w:rsidP="00A50F74">
            <w:pPr>
              <w:spacing w:before="60" w:after="60" w:line="220" w:lineRule="atLeast"/>
              <w:ind w:left="57" w:right="57"/>
              <w:jc w:val="center"/>
              <w:rPr>
                <w:sz w:val="17"/>
                <w:szCs w:val="17"/>
              </w:rPr>
            </w:pPr>
            <w:r w:rsidRPr="001527C7">
              <w:rPr>
                <w:b/>
                <w:bCs/>
                <w:sz w:val="17"/>
                <w:szCs w:val="17"/>
              </w:rPr>
              <w:t>(11)</w:t>
            </w:r>
          </w:p>
        </w:tc>
      </w:tr>
      <w:tr w:rsidR="00F440D2" w:rsidRPr="001527C7" w:rsidTr="00622655">
        <w:tc>
          <w:tcPr>
            <w:tcW w:w="523" w:type="dxa"/>
            <w:shd w:val="clear" w:color="auto" w:fill="auto"/>
          </w:tcPr>
          <w:p w:rsidR="00DE2F2A" w:rsidRPr="001527C7" w:rsidRDefault="00DE2F2A" w:rsidP="00A50F74">
            <w:pPr>
              <w:spacing w:before="60" w:after="60" w:line="220" w:lineRule="atLeast"/>
              <w:ind w:left="57" w:right="57"/>
              <w:jc w:val="center"/>
              <w:rPr>
                <w:sz w:val="17"/>
                <w:szCs w:val="17"/>
              </w:rPr>
            </w:pPr>
            <w:r w:rsidRPr="001527C7">
              <w:rPr>
                <w:sz w:val="17"/>
                <w:szCs w:val="17"/>
              </w:rPr>
              <w:t>-</w:t>
            </w:r>
          </w:p>
        </w:tc>
        <w:tc>
          <w:tcPr>
            <w:tcW w:w="1918" w:type="dxa"/>
            <w:shd w:val="clear" w:color="auto" w:fill="auto"/>
          </w:tcPr>
          <w:p w:rsidR="00DE2F2A" w:rsidRPr="001527C7" w:rsidRDefault="00DE2F2A" w:rsidP="00A50F74">
            <w:pPr>
              <w:spacing w:before="60" w:after="60" w:line="220" w:lineRule="atLeast"/>
              <w:ind w:left="57" w:right="57"/>
              <w:jc w:val="center"/>
              <w:rPr>
                <w:sz w:val="17"/>
                <w:szCs w:val="17"/>
              </w:rPr>
            </w:pPr>
            <w:r w:rsidRPr="001527C7">
              <w:rPr>
                <w:b/>
                <w:bCs/>
                <w:sz w:val="17"/>
                <w:szCs w:val="17"/>
              </w:rPr>
              <w:t>3.1.2</w:t>
            </w:r>
          </w:p>
        </w:tc>
        <w:tc>
          <w:tcPr>
            <w:tcW w:w="672" w:type="dxa"/>
            <w:shd w:val="clear" w:color="auto" w:fill="auto"/>
          </w:tcPr>
          <w:p w:rsidR="00DE2F2A" w:rsidRPr="001527C7" w:rsidRDefault="00DE2F2A" w:rsidP="00A50F74">
            <w:pPr>
              <w:spacing w:before="60" w:after="60" w:line="220" w:lineRule="atLeast"/>
              <w:ind w:left="57" w:right="57"/>
              <w:jc w:val="center"/>
              <w:rPr>
                <w:sz w:val="17"/>
                <w:szCs w:val="17"/>
              </w:rPr>
            </w:pPr>
            <w:r w:rsidRPr="001527C7">
              <w:rPr>
                <w:b/>
                <w:bCs/>
                <w:sz w:val="17"/>
                <w:szCs w:val="17"/>
              </w:rPr>
              <w:t>2.0</w:t>
            </w:r>
          </w:p>
        </w:tc>
        <w:tc>
          <w:tcPr>
            <w:tcW w:w="798" w:type="dxa"/>
            <w:shd w:val="clear" w:color="auto" w:fill="auto"/>
          </w:tcPr>
          <w:p w:rsidR="00DE2F2A" w:rsidRPr="001527C7" w:rsidRDefault="00DE2F2A" w:rsidP="00A50F74">
            <w:pPr>
              <w:spacing w:before="60" w:after="60" w:line="220" w:lineRule="atLeast"/>
              <w:ind w:left="57" w:right="57"/>
              <w:jc w:val="center"/>
              <w:rPr>
                <w:sz w:val="17"/>
                <w:szCs w:val="17"/>
              </w:rPr>
            </w:pPr>
            <w:r w:rsidRPr="001527C7">
              <w:rPr>
                <w:b/>
                <w:bCs/>
                <w:sz w:val="17"/>
                <w:szCs w:val="17"/>
              </w:rPr>
              <w:t>2.0</w:t>
            </w:r>
          </w:p>
        </w:tc>
        <w:tc>
          <w:tcPr>
            <w:tcW w:w="784" w:type="dxa"/>
            <w:shd w:val="clear" w:color="auto" w:fill="auto"/>
          </w:tcPr>
          <w:p w:rsidR="00DE2F2A" w:rsidRPr="001527C7" w:rsidRDefault="00DE2F2A" w:rsidP="00A50F74">
            <w:pPr>
              <w:spacing w:before="60" w:after="60" w:line="220" w:lineRule="atLeast"/>
              <w:ind w:left="57" w:right="57"/>
              <w:jc w:val="center"/>
              <w:rPr>
                <w:sz w:val="17"/>
                <w:szCs w:val="17"/>
              </w:rPr>
            </w:pPr>
            <w:r w:rsidRPr="001527C7">
              <w:rPr>
                <w:b/>
                <w:bCs/>
                <w:sz w:val="17"/>
                <w:szCs w:val="17"/>
              </w:rPr>
              <w:t>2.0.1.3</w:t>
            </w:r>
          </w:p>
        </w:tc>
        <w:tc>
          <w:tcPr>
            <w:tcW w:w="798" w:type="dxa"/>
            <w:shd w:val="clear" w:color="auto" w:fill="auto"/>
          </w:tcPr>
          <w:p w:rsidR="00DE2F2A" w:rsidRPr="001527C7" w:rsidRDefault="00DE2F2A" w:rsidP="00A50F74">
            <w:pPr>
              <w:spacing w:before="60" w:after="60" w:line="220" w:lineRule="atLeast"/>
              <w:ind w:left="57" w:right="57"/>
              <w:jc w:val="center"/>
              <w:rPr>
                <w:sz w:val="17"/>
                <w:szCs w:val="17"/>
              </w:rPr>
            </w:pPr>
            <w:r w:rsidRPr="001527C7">
              <w:rPr>
                <w:b/>
                <w:bCs/>
                <w:sz w:val="17"/>
                <w:szCs w:val="17"/>
              </w:rPr>
              <w:t>3.3</w:t>
            </w:r>
          </w:p>
        </w:tc>
        <w:tc>
          <w:tcPr>
            <w:tcW w:w="447" w:type="dxa"/>
            <w:shd w:val="clear" w:color="auto" w:fill="auto"/>
          </w:tcPr>
          <w:p w:rsidR="00DE2F2A" w:rsidRPr="001527C7" w:rsidRDefault="00DE2F2A" w:rsidP="00A50F74">
            <w:pPr>
              <w:spacing w:before="60" w:after="60" w:line="220" w:lineRule="atLeast"/>
              <w:ind w:left="57" w:right="57"/>
              <w:jc w:val="center"/>
              <w:rPr>
                <w:sz w:val="17"/>
                <w:szCs w:val="17"/>
              </w:rPr>
            </w:pPr>
            <w:r w:rsidRPr="001527C7">
              <w:rPr>
                <w:b/>
                <w:bCs/>
                <w:sz w:val="17"/>
                <w:szCs w:val="17"/>
              </w:rPr>
              <w:t>3.4</w:t>
            </w:r>
          </w:p>
        </w:tc>
        <w:tc>
          <w:tcPr>
            <w:tcW w:w="453" w:type="dxa"/>
            <w:shd w:val="clear" w:color="auto" w:fill="auto"/>
          </w:tcPr>
          <w:p w:rsidR="00DE2F2A" w:rsidRPr="001527C7" w:rsidRDefault="00DE2F2A" w:rsidP="00A50F74">
            <w:pPr>
              <w:spacing w:before="60" w:after="60" w:line="220" w:lineRule="atLeast"/>
              <w:ind w:left="57" w:right="57"/>
              <w:jc w:val="center"/>
              <w:rPr>
                <w:sz w:val="17"/>
                <w:szCs w:val="17"/>
              </w:rPr>
            </w:pPr>
            <w:r w:rsidRPr="001527C7">
              <w:rPr>
                <w:b/>
                <w:bCs/>
                <w:sz w:val="17"/>
                <w:szCs w:val="17"/>
              </w:rPr>
              <w:t>3.5</w:t>
            </w:r>
          </w:p>
        </w:tc>
        <w:tc>
          <w:tcPr>
            <w:tcW w:w="858" w:type="dxa"/>
            <w:shd w:val="clear" w:color="auto" w:fill="auto"/>
          </w:tcPr>
          <w:p w:rsidR="00DE2F2A" w:rsidRPr="001527C7" w:rsidRDefault="00DE2F2A" w:rsidP="00A50F74">
            <w:pPr>
              <w:spacing w:before="60" w:after="60" w:line="220" w:lineRule="atLeast"/>
              <w:ind w:left="57" w:right="57"/>
              <w:jc w:val="center"/>
              <w:rPr>
                <w:sz w:val="17"/>
                <w:szCs w:val="17"/>
              </w:rPr>
            </w:pPr>
            <w:r w:rsidRPr="001527C7">
              <w:rPr>
                <w:b/>
                <w:bCs/>
                <w:sz w:val="17"/>
                <w:szCs w:val="17"/>
              </w:rPr>
              <w:t>4.1.4</w:t>
            </w:r>
          </w:p>
        </w:tc>
        <w:tc>
          <w:tcPr>
            <w:tcW w:w="790" w:type="dxa"/>
            <w:shd w:val="clear" w:color="auto" w:fill="auto"/>
          </w:tcPr>
          <w:p w:rsidR="00DE2F2A" w:rsidRPr="001527C7" w:rsidRDefault="00DE2F2A" w:rsidP="00A50F74">
            <w:pPr>
              <w:spacing w:before="60" w:after="60" w:line="220" w:lineRule="atLeast"/>
              <w:ind w:left="57" w:right="57"/>
              <w:jc w:val="center"/>
              <w:rPr>
                <w:sz w:val="17"/>
                <w:szCs w:val="17"/>
              </w:rPr>
            </w:pPr>
            <w:r w:rsidRPr="001527C7">
              <w:rPr>
                <w:b/>
                <w:bCs/>
                <w:sz w:val="17"/>
                <w:szCs w:val="17"/>
              </w:rPr>
              <w:t>4.1.4</w:t>
            </w:r>
          </w:p>
        </w:tc>
        <w:tc>
          <w:tcPr>
            <w:tcW w:w="811" w:type="dxa"/>
            <w:shd w:val="clear" w:color="auto" w:fill="auto"/>
          </w:tcPr>
          <w:p w:rsidR="00DE2F2A" w:rsidRPr="001527C7" w:rsidRDefault="00DE2F2A" w:rsidP="00A50F74">
            <w:pPr>
              <w:spacing w:before="60" w:after="60" w:line="220" w:lineRule="atLeast"/>
              <w:ind w:left="57" w:right="57"/>
              <w:jc w:val="center"/>
              <w:rPr>
                <w:sz w:val="17"/>
                <w:szCs w:val="17"/>
              </w:rPr>
            </w:pPr>
            <w:r w:rsidRPr="001527C7">
              <w:rPr>
                <w:b/>
                <w:bCs/>
                <w:sz w:val="17"/>
                <w:szCs w:val="17"/>
              </w:rPr>
              <w:t>4.2.5</w:t>
            </w:r>
            <w:r w:rsidR="00A50F74">
              <w:rPr>
                <w:b/>
                <w:bCs/>
                <w:sz w:val="17"/>
                <w:szCs w:val="17"/>
              </w:rPr>
              <w:t> </w:t>
            </w:r>
            <w:r w:rsidRPr="001527C7">
              <w:rPr>
                <w:b/>
                <w:bCs/>
                <w:sz w:val="17"/>
                <w:szCs w:val="17"/>
              </w:rPr>
              <w:t>/</w:t>
            </w:r>
            <w:r w:rsidR="00A50F74">
              <w:rPr>
                <w:b/>
                <w:bCs/>
                <w:sz w:val="17"/>
                <w:szCs w:val="17"/>
              </w:rPr>
              <w:t xml:space="preserve"> </w:t>
            </w:r>
            <w:r w:rsidRPr="001527C7">
              <w:rPr>
                <w:b/>
                <w:bCs/>
                <w:sz w:val="17"/>
                <w:szCs w:val="17"/>
              </w:rPr>
              <w:t>4.3.2</w:t>
            </w:r>
          </w:p>
        </w:tc>
        <w:tc>
          <w:tcPr>
            <w:tcW w:w="785" w:type="dxa"/>
            <w:shd w:val="clear" w:color="auto" w:fill="auto"/>
          </w:tcPr>
          <w:p w:rsidR="00DE2F2A" w:rsidRPr="001527C7" w:rsidRDefault="00DE2F2A" w:rsidP="00A50F74">
            <w:pPr>
              <w:spacing w:before="60" w:after="60" w:line="220" w:lineRule="atLeast"/>
              <w:ind w:left="57" w:right="57"/>
              <w:jc w:val="center"/>
              <w:rPr>
                <w:sz w:val="17"/>
                <w:szCs w:val="17"/>
              </w:rPr>
            </w:pPr>
            <w:r w:rsidRPr="001527C7">
              <w:rPr>
                <w:b/>
                <w:bCs/>
                <w:sz w:val="17"/>
                <w:szCs w:val="17"/>
              </w:rPr>
              <w:t>4.2.5</w:t>
            </w:r>
          </w:p>
        </w:tc>
      </w:tr>
      <w:tr w:rsidR="00F440D2" w:rsidRPr="001527C7" w:rsidTr="00622655">
        <w:tc>
          <w:tcPr>
            <w:tcW w:w="523" w:type="dxa"/>
            <w:shd w:val="clear" w:color="auto" w:fill="auto"/>
          </w:tcPr>
          <w:p w:rsidR="00DE2F2A" w:rsidRPr="001527C7" w:rsidRDefault="00DE2F2A" w:rsidP="00A50F74">
            <w:pPr>
              <w:spacing w:before="60" w:after="60" w:line="220" w:lineRule="atLeast"/>
              <w:ind w:left="57" w:right="57"/>
              <w:rPr>
                <w:sz w:val="17"/>
                <w:szCs w:val="17"/>
              </w:rPr>
            </w:pPr>
            <w:r w:rsidRPr="001527C7">
              <w:rPr>
                <w:sz w:val="17"/>
                <w:szCs w:val="17"/>
              </w:rPr>
              <w:t>3291</w:t>
            </w:r>
          </w:p>
        </w:tc>
        <w:tc>
          <w:tcPr>
            <w:tcW w:w="1918" w:type="dxa"/>
            <w:shd w:val="clear" w:color="auto" w:fill="auto"/>
          </w:tcPr>
          <w:p w:rsidR="00DE2F2A" w:rsidRPr="001527C7" w:rsidRDefault="00DE2F2A" w:rsidP="00A50F74">
            <w:pPr>
              <w:spacing w:before="60" w:after="60" w:line="220" w:lineRule="atLeast"/>
              <w:ind w:left="57" w:right="57"/>
              <w:rPr>
                <w:sz w:val="17"/>
                <w:szCs w:val="17"/>
              </w:rPr>
            </w:pPr>
            <w:r w:rsidRPr="001527C7">
              <w:rPr>
                <w:sz w:val="17"/>
                <w:szCs w:val="17"/>
              </w:rPr>
              <w:t>DÉCHET D’HÔPITAL DE CATÉGORIE B, NON SPÉCIFIÉ</w:t>
            </w:r>
            <w:r w:rsidR="00622655" w:rsidRPr="001527C7">
              <w:rPr>
                <w:sz w:val="17"/>
                <w:szCs w:val="17"/>
              </w:rPr>
              <w:t>, N.S.A.</w:t>
            </w:r>
            <w:r w:rsidR="00A50F74">
              <w:rPr>
                <w:sz w:val="17"/>
                <w:szCs w:val="17"/>
              </w:rPr>
              <w:t>,</w:t>
            </w:r>
            <w:r w:rsidRPr="001527C7">
              <w:rPr>
                <w:sz w:val="17"/>
                <w:szCs w:val="17"/>
              </w:rPr>
              <w:t xml:space="preserve"> ou DÉCHET </w:t>
            </w:r>
            <w:r w:rsidR="00622655" w:rsidRPr="001527C7">
              <w:rPr>
                <w:sz w:val="17"/>
                <w:szCs w:val="17"/>
              </w:rPr>
              <w:t xml:space="preserve">(BIO) </w:t>
            </w:r>
            <w:r w:rsidRPr="001527C7">
              <w:rPr>
                <w:sz w:val="17"/>
                <w:szCs w:val="17"/>
              </w:rPr>
              <w:t xml:space="preserve">MÉDICAL </w:t>
            </w:r>
            <w:r w:rsidR="00622655" w:rsidRPr="001527C7">
              <w:rPr>
                <w:sz w:val="17"/>
                <w:szCs w:val="17"/>
              </w:rPr>
              <w:t>DE CATÉGORIE B, N.S.A.</w:t>
            </w:r>
            <w:r w:rsidR="00A50F74">
              <w:rPr>
                <w:sz w:val="17"/>
                <w:szCs w:val="17"/>
              </w:rPr>
              <w:t>,</w:t>
            </w:r>
            <w:r w:rsidR="00622655" w:rsidRPr="001527C7">
              <w:rPr>
                <w:sz w:val="17"/>
                <w:szCs w:val="17"/>
              </w:rPr>
              <w:t xml:space="preserve"> OU DÉCHET MÉDICAL </w:t>
            </w:r>
            <w:r w:rsidRPr="001527C7">
              <w:rPr>
                <w:sz w:val="17"/>
                <w:szCs w:val="17"/>
              </w:rPr>
              <w:t>RÉGLEMENTÉ</w:t>
            </w:r>
            <w:r w:rsidR="00622655" w:rsidRPr="001527C7">
              <w:rPr>
                <w:sz w:val="17"/>
                <w:szCs w:val="17"/>
              </w:rPr>
              <w:t xml:space="preserve"> DE CATÉGORIE B</w:t>
            </w:r>
            <w:r w:rsidRPr="001527C7">
              <w:rPr>
                <w:sz w:val="17"/>
                <w:szCs w:val="17"/>
              </w:rPr>
              <w:t>, N.S.A.</w:t>
            </w:r>
          </w:p>
        </w:tc>
        <w:tc>
          <w:tcPr>
            <w:tcW w:w="672" w:type="dxa"/>
            <w:shd w:val="clear" w:color="auto" w:fill="auto"/>
          </w:tcPr>
          <w:p w:rsidR="00DE2F2A" w:rsidRPr="001527C7" w:rsidRDefault="00DE2F2A" w:rsidP="00A50F74">
            <w:pPr>
              <w:spacing w:before="60" w:after="60" w:line="220" w:lineRule="atLeast"/>
              <w:ind w:left="57" w:right="57"/>
              <w:jc w:val="center"/>
              <w:rPr>
                <w:sz w:val="17"/>
                <w:szCs w:val="17"/>
              </w:rPr>
            </w:pPr>
            <w:r w:rsidRPr="001527C7">
              <w:rPr>
                <w:sz w:val="17"/>
                <w:szCs w:val="17"/>
              </w:rPr>
              <w:t>6.2</w:t>
            </w:r>
          </w:p>
        </w:tc>
        <w:tc>
          <w:tcPr>
            <w:tcW w:w="798" w:type="dxa"/>
            <w:shd w:val="clear" w:color="auto" w:fill="auto"/>
          </w:tcPr>
          <w:p w:rsidR="00DE2F2A" w:rsidRPr="001527C7" w:rsidRDefault="00DE2F2A" w:rsidP="00A50F74">
            <w:pPr>
              <w:spacing w:before="60" w:after="60" w:line="220" w:lineRule="atLeast"/>
              <w:ind w:left="57" w:right="57"/>
              <w:jc w:val="center"/>
              <w:rPr>
                <w:sz w:val="17"/>
                <w:szCs w:val="17"/>
              </w:rPr>
            </w:pPr>
          </w:p>
        </w:tc>
        <w:tc>
          <w:tcPr>
            <w:tcW w:w="784" w:type="dxa"/>
            <w:shd w:val="clear" w:color="auto" w:fill="auto"/>
          </w:tcPr>
          <w:p w:rsidR="00DE2F2A" w:rsidRPr="001527C7" w:rsidRDefault="00DE2F2A" w:rsidP="00A50F74">
            <w:pPr>
              <w:spacing w:before="60" w:after="60" w:line="220" w:lineRule="atLeast"/>
              <w:ind w:left="57" w:right="57"/>
              <w:jc w:val="center"/>
              <w:rPr>
                <w:sz w:val="17"/>
                <w:szCs w:val="17"/>
              </w:rPr>
            </w:pPr>
            <w:r w:rsidRPr="001527C7">
              <w:rPr>
                <w:sz w:val="17"/>
                <w:szCs w:val="17"/>
              </w:rPr>
              <w:t>-</w:t>
            </w:r>
          </w:p>
        </w:tc>
        <w:tc>
          <w:tcPr>
            <w:tcW w:w="798" w:type="dxa"/>
            <w:shd w:val="clear" w:color="auto" w:fill="auto"/>
          </w:tcPr>
          <w:p w:rsidR="00DE2F2A" w:rsidRPr="001527C7" w:rsidRDefault="00DE2F2A" w:rsidP="00A50F74">
            <w:pPr>
              <w:spacing w:before="60" w:after="60" w:line="220" w:lineRule="atLeast"/>
              <w:ind w:left="57" w:right="57"/>
              <w:jc w:val="center"/>
              <w:rPr>
                <w:sz w:val="17"/>
                <w:szCs w:val="17"/>
              </w:rPr>
            </w:pPr>
          </w:p>
        </w:tc>
        <w:tc>
          <w:tcPr>
            <w:tcW w:w="447" w:type="dxa"/>
            <w:shd w:val="clear" w:color="auto" w:fill="auto"/>
          </w:tcPr>
          <w:p w:rsidR="00DE2F2A" w:rsidRPr="001527C7" w:rsidRDefault="00DE2F2A" w:rsidP="00A50F74">
            <w:pPr>
              <w:spacing w:before="60" w:after="60" w:line="220" w:lineRule="atLeast"/>
              <w:ind w:left="57" w:right="57"/>
              <w:jc w:val="center"/>
              <w:rPr>
                <w:sz w:val="17"/>
                <w:szCs w:val="17"/>
              </w:rPr>
            </w:pPr>
            <w:r w:rsidRPr="001527C7">
              <w:rPr>
                <w:sz w:val="17"/>
                <w:szCs w:val="17"/>
              </w:rPr>
              <w:t>0</w:t>
            </w:r>
          </w:p>
        </w:tc>
        <w:tc>
          <w:tcPr>
            <w:tcW w:w="453" w:type="dxa"/>
            <w:shd w:val="clear" w:color="auto" w:fill="auto"/>
          </w:tcPr>
          <w:p w:rsidR="00DE2F2A" w:rsidRPr="001527C7" w:rsidRDefault="00DE2F2A" w:rsidP="00A50F74">
            <w:pPr>
              <w:spacing w:before="60" w:after="60" w:line="220" w:lineRule="atLeast"/>
              <w:ind w:left="57" w:right="57"/>
              <w:jc w:val="center"/>
              <w:rPr>
                <w:sz w:val="17"/>
                <w:szCs w:val="17"/>
              </w:rPr>
            </w:pPr>
            <w:r w:rsidRPr="001527C7">
              <w:rPr>
                <w:sz w:val="17"/>
                <w:szCs w:val="17"/>
              </w:rPr>
              <w:t>E0</w:t>
            </w:r>
          </w:p>
        </w:tc>
        <w:tc>
          <w:tcPr>
            <w:tcW w:w="858" w:type="dxa"/>
            <w:shd w:val="clear" w:color="auto" w:fill="auto"/>
          </w:tcPr>
          <w:p w:rsidR="00DE2F2A" w:rsidRPr="001527C7" w:rsidRDefault="00DE2F2A" w:rsidP="00A50F74">
            <w:pPr>
              <w:spacing w:before="60" w:after="60" w:line="220" w:lineRule="atLeast"/>
              <w:ind w:left="57" w:right="57"/>
              <w:jc w:val="center"/>
              <w:rPr>
                <w:sz w:val="17"/>
                <w:szCs w:val="17"/>
              </w:rPr>
            </w:pPr>
            <w:r w:rsidRPr="001527C7">
              <w:rPr>
                <w:sz w:val="17"/>
                <w:szCs w:val="17"/>
              </w:rPr>
              <w:t>P621</w:t>
            </w:r>
            <w:r w:rsidR="00622655" w:rsidRPr="001527C7">
              <w:rPr>
                <w:sz w:val="17"/>
                <w:szCs w:val="17"/>
              </w:rPr>
              <w:br/>
            </w:r>
            <w:r w:rsidRPr="001527C7">
              <w:rPr>
                <w:sz w:val="17"/>
                <w:szCs w:val="17"/>
              </w:rPr>
              <w:t>IBC620</w:t>
            </w:r>
            <w:r w:rsidR="00622655" w:rsidRPr="001527C7">
              <w:rPr>
                <w:sz w:val="17"/>
                <w:szCs w:val="17"/>
              </w:rPr>
              <w:br/>
            </w:r>
            <w:r w:rsidRPr="001527C7">
              <w:rPr>
                <w:sz w:val="17"/>
                <w:szCs w:val="17"/>
              </w:rPr>
              <w:t>LP621</w:t>
            </w:r>
          </w:p>
        </w:tc>
        <w:tc>
          <w:tcPr>
            <w:tcW w:w="790" w:type="dxa"/>
            <w:shd w:val="clear" w:color="auto" w:fill="auto"/>
          </w:tcPr>
          <w:p w:rsidR="00DE2F2A" w:rsidRPr="001527C7" w:rsidRDefault="00DE2F2A" w:rsidP="00A50F74">
            <w:pPr>
              <w:spacing w:before="60" w:after="60" w:line="220" w:lineRule="atLeast"/>
              <w:ind w:left="57" w:right="57"/>
              <w:jc w:val="center"/>
              <w:rPr>
                <w:sz w:val="17"/>
                <w:szCs w:val="17"/>
              </w:rPr>
            </w:pPr>
          </w:p>
        </w:tc>
        <w:tc>
          <w:tcPr>
            <w:tcW w:w="811" w:type="dxa"/>
            <w:shd w:val="clear" w:color="auto" w:fill="auto"/>
          </w:tcPr>
          <w:p w:rsidR="00DE2F2A" w:rsidRPr="001527C7" w:rsidRDefault="00DE2F2A" w:rsidP="00A50F74">
            <w:pPr>
              <w:spacing w:before="60" w:after="60" w:line="220" w:lineRule="atLeast"/>
              <w:ind w:left="57" w:right="57"/>
              <w:jc w:val="center"/>
              <w:rPr>
                <w:sz w:val="17"/>
                <w:szCs w:val="17"/>
              </w:rPr>
            </w:pPr>
            <w:r w:rsidRPr="001527C7">
              <w:rPr>
                <w:sz w:val="17"/>
                <w:szCs w:val="17"/>
              </w:rPr>
              <w:t>BK2</w:t>
            </w:r>
          </w:p>
        </w:tc>
        <w:tc>
          <w:tcPr>
            <w:tcW w:w="785" w:type="dxa"/>
            <w:shd w:val="clear" w:color="auto" w:fill="auto"/>
          </w:tcPr>
          <w:p w:rsidR="00DE2F2A" w:rsidRPr="001527C7" w:rsidRDefault="00DE2F2A" w:rsidP="00A50F74">
            <w:pPr>
              <w:spacing w:before="60" w:after="60" w:line="220" w:lineRule="atLeast"/>
              <w:ind w:left="57" w:right="57"/>
              <w:jc w:val="center"/>
              <w:rPr>
                <w:sz w:val="17"/>
                <w:szCs w:val="17"/>
              </w:rPr>
            </w:pPr>
          </w:p>
        </w:tc>
      </w:tr>
      <w:tr w:rsidR="00F440D2" w:rsidRPr="001527C7" w:rsidTr="00622655">
        <w:trPr>
          <w:cantSplit/>
        </w:trPr>
        <w:tc>
          <w:tcPr>
            <w:tcW w:w="523" w:type="dxa"/>
            <w:shd w:val="clear" w:color="auto" w:fill="auto"/>
          </w:tcPr>
          <w:p w:rsidR="00DE2F2A" w:rsidRPr="001527C7" w:rsidRDefault="00DE2F2A" w:rsidP="00A50F74">
            <w:pPr>
              <w:spacing w:before="60" w:after="60" w:line="220" w:lineRule="atLeast"/>
              <w:ind w:left="57" w:right="57"/>
              <w:rPr>
                <w:sz w:val="17"/>
                <w:szCs w:val="17"/>
              </w:rPr>
            </w:pPr>
            <w:r w:rsidRPr="001527C7">
              <w:rPr>
                <w:sz w:val="17"/>
                <w:szCs w:val="17"/>
              </w:rPr>
              <w:lastRenderedPageBreak/>
              <w:t>xxxx</w:t>
            </w:r>
          </w:p>
        </w:tc>
        <w:tc>
          <w:tcPr>
            <w:tcW w:w="1918" w:type="dxa"/>
            <w:shd w:val="clear" w:color="auto" w:fill="auto"/>
          </w:tcPr>
          <w:p w:rsidR="00DE2F2A" w:rsidRPr="001527C7" w:rsidRDefault="00622655" w:rsidP="00A50F74">
            <w:pPr>
              <w:spacing w:before="60" w:after="60" w:line="220" w:lineRule="atLeast"/>
              <w:ind w:left="57" w:right="57"/>
              <w:rPr>
                <w:sz w:val="17"/>
                <w:szCs w:val="17"/>
              </w:rPr>
            </w:pPr>
            <w:r w:rsidRPr="001527C7">
              <w:rPr>
                <w:sz w:val="17"/>
                <w:szCs w:val="17"/>
              </w:rPr>
              <w:t>DÉCHET D’HÔPITAL DE CATÉGORIE A, NON SPÉCIFIÉ, N.S.A.</w:t>
            </w:r>
            <w:r w:rsidR="00A50F74">
              <w:rPr>
                <w:sz w:val="17"/>
                <w:szCs w:val="17"/>
              </w:rPr>
              <w:t>,</w:t>
            </w:r>
            <w:r w:rsidRPr="001527C7">
              <w:rPr>
                <w:sz w:val="17"/>
                <w:szCs w:val="17"/>
              </w:rPr>
              <w:t xml:space="preserve"> ou DÉCHET (BIO) MÉDICAL DE CATÉGORIE A, N.S.A.</w:t>
            </w:r>
            <w:r w:rsidR="00A50F74">
              <w:rPr>
                <w:sz w:val="17"/>
                <w:szCs w:val="17"/>
              </w:rPr>
              <w:t>,</w:t>
            </w:r>
            <w:r w:rsidRPr="001527C7">
              <w:rPr>
                <w:sz w:val="17"/>
                <w:szCs w:val="17"/>
              </w:rPr>
              <w:t xml:space="preserve"> OU DÉCHET MÉDICAL RÉGLEMENTÉ DE CATÉGORIE A, N.S.A.</w:t>
            </w:r>
          </w:p>
        </w:tc>
        <w:tc>
          <w:tcPr>
            <w:tcW w:w="672" w:type="dxa"/>
            <w:shd w:val="clear" w:color="auto" w:fill="auto"/>
          </w:tcPr>
          <w:p w:rsidR="00DE2F2A" w:rsidRPr="001527C7" w:rsidRDefault="00DE2F2A" w:rsidP="00A50F74">
            <w:pPr>
              <w:spacing w:before="60" w:after="60" w:line="220" w:lineRule="atLeast"/>
              <w:ind w:left="57" w:right="57"/>
              <w:jc w:val="center"/>
              <w:rPr>
                <w:sz w:val="17"/>
                <w:szCs w:val="17"/>
              </w:rPr>
            </w:pPr>
            <w:r w:rsidRPr="001527C7">
              <w:rPr>
                <w:sz w:val="17"/>
                <w:szCs w:val="17"/>
              </w:rPr>
              <w:t>6.2</w:t>
            </w:r>
          </w:p>
        </w:tc>
        <w:tc>
          <w:tcPr>
            <w:tcW w:w="798" w:type="dxa"/>
            <w:shd w:val="clear" w:color="auto" w:fill="auto"/>
          </w:tcPr>
          <w:p w:rsidR="00DE2F2A" w:rsidRPr="001527C7" w:rsidRDefault="00DE2F2A" w:rsidP="00A50F74">
            <w:pPr>
              <w:spacing w:before="60" w:after="60" w:line="220" w:lineRule="atLeast"/>
              <w:ind w:left="57" w:right="57"/>
              <w:jc w:val="center"/>
              <w:rPr>
                <w:sz w:val="17"/>
                <w:szCs w:val="17"/>
              </w:rPr>
            </w:pPr>
          </w:p>
        </w:tc>
        <w:tc>
          <w:tcPr>
            <w:tcW w:w="784" w:type="dxa"/>
            <w:shd w:val="clear" w:color="auto" w:fill="auto"/>
          </w:tcPr>
          <w:p w:rsidR="00DE2F2A" w:rsidRPr="001527C7" w:rsidRDefault="00DE2F2A" w:rsidP="00A50F74">
            <w:pPr>
              <w:spacing w:before="60" w:after="60" w:line="220" w:lineRule="atLeast"/>
              <w:ind w:left="57" w:right="57"/>
              <w:jc w:val="center"/>
              <w:rPr>
                <w:sz w:val="17"/>
                <w:szCs w:val="17"/>
              </w:rPr>
            </w:pPr>
            <w:r w:rsidRPr="001527C7">
              <w:rPr>
                <w:sz w:val="17"/>
                <w:szCs w:val="17"/>
              </w:rPr>
              <w:t>-</w:t>
            </w:r>
          </w:p>
        </w:tc>
        <w:tc>
          <w:tcPr>
            <w:tcW w:w="798" w:type="dxa"/>
            <w:shd w:val="clear" w:color="auto" w:fill="auto"/>
          </w:tcPr>
          <w:p w:rsidR="00DE2F2A" w:rsidRPr="001527C7" w:rsidRDefault="00DE2F2A" w:rsidP="00A50F74">
            <w:pPr>
              <w:spacing w:before="60" w:after="60" w:line="220" w:lineRule="atLeast"/>
              <w:ind w:left="57" w:right="57"/>
              <w:jc w:val="center"/>
              <w:rPr>
                <w:sz w:val="17"/>
                <w:szCs w:val="17"/>
              </w:rPr>
            </w:pPr>
          </w:p>
        </w:tc>
        <w:tc>
          <w:tcPr>
            <w:tcW w:w="447" w:type="dxa"/>
            <w:shd w:val="clear" w:color="auto" w:fill="auto"/>
          </w:tcPr>
          <w:p w:rsidR="00DE2F2A" w:rsidRPr="001527C7" w:rsidRDefault="00DE2F2A" w:rsidP="00A50F74">
            <w:pPr>
              <w:spacing w:before="60" w:after="60" w:line="220" w:lineRule="atLeast"/>
              <w:ind w:left="57" w:right="57"/>
              <w:jc w:val="center"/>
              <w:rPr>
                <w:sz w:val="17"/>
                <w:szCs w:val="17"/>
              </w:rPr>
            </w:pPr>
            <w:r w:rsidRPr="001527C7">
              <w:rPr>
                <w:sz w:val="17"/>
                <w:szCs w:val="17"/>
              </w:rPr>
              <w:t>0</w:t>
            </w:r>
          </w:p>
        </w:tc>
        <w:tc>
          <w:tcPr>
            <w:tcW w:w="453" w:type="dxa"/>
            <w:shd w:val="clear" w:color="auto" w:fill="auto"/>
          </w:tcPr>
          <w:p w:rsidR="00DE2F2A" w:rsidRPr="001527C7" w:rsidRDefault="00DE2F2A" w:rsidP="00A50F74">
            <w:pPr>
              <w:spacing w:before="60" w:after="60" w:line="220" w:lineRule="atLeast"/>
              <w:ind w:left="57" w:right="57"/>
              <w:jc w:val="center"/>
              <w:rPr>
                <w:sz w:val="17"/>
                <w:szCs w:val="17"/>
              </w:rPr>
            </w:pPr>
            <w:r w:rsidRPr="001527C7">
              <w:rPr>
                <w:sz w:val="17"/>
                <w:szCs w:val="17"/>
              </w:rPr>
              <w:t>E0</w:t>
            </w:r>
          </w:p>
        </w:tc>
        <w:tc>
          <w:tcPr>
            <w:tcW w:w="858" w:type="dxa"/>
            <w:shd w:val="clear" w:color="auto" w:fill="auto"/>
          </w:tcPr>
          <w:p w:rsidR="00DE2F2A" w:rsidRPr="001527C7" w:rsidRDefault="00DE2F2A" w:rsidP="00A50F74">
            <w:pPr>
              <w:spacing w:before="60" w:after="60" w:line="220" w:lineRule="atLeast"/>
              <w:ind w:left="57" w:right="57"/>
              <w:jc w:val="center"/>
              <w:rPr>
                <w:sz w:val="17"/>
                <w:szCs w:val="17"/>
              </w:rPr>
            </w:pPr>
            <w:r w:rsidRPr="001527C7">
              <w:rPr>
                <w:sz w:val="17"/>
                <w:szCs w:val="17"/>
              </w:rPr>
              <w:t>Pxxx</w:t>
            </w:r>
            <w:r w:rsidR="00622655" w:rsidRPr="001527C7">
              <w:rPr>
                <w:sz w:val="17"/>
                <w:szCs w:val="17"/>
              </w:rPr>
              <w:br/>
            </w:r>
            <w:r w:rsidRPr="001527C7">
              <w:rPr>
                <w:sz w:val="17"/>
                <w:szCs w:val="17"/>
              </w:rPr>
              <w:t>LPxxx</w:t>
            </w:r>
          </w:p>
        </w:tc>
        <w:tc>
          <w:tcPr>
            <w:tcW w:w="790" w:type="dxa"/>
            <w:shd w:val="clear" w:color="auto" w:fill="auto"/>
          </w:tcPr>
          <w:p w:rsidR="00DE2F2A" w:rsidRPr="001527C7" w:rsidRDefault="00DE2F2A" w:rsidP="00A50F74">
            <w:pPr>
              <w:spacing w:before="60" w:after="60" w:line="220" w:lineRule="atLeast"/>
              <w:ind w:left="57" w:right="57"/>
              <w:jc w:val="center"/>
              <w:rPr>
                <w:sz w:val="17"/>
                <w:szCs w:val="17"/>
              </w:rPr>
            </w:pPr>
            <w:r w:rsidRPr="001527C7">
              <w:rPr>
                <w:sz w:val="17"/>
                <w:szCs w:val="17"/>
              </w:rPr>
              <w:t>PPxx</w:t>
            </w:r>
            <w:r w:rsidR="00622655" w:rsidRPr="001527C7">
              <w:rPr>
                <w:sz w:val="17"/>
                <w:szCs w:val="17"/>
              </w:rPr>
              <w:br/>
            </w:r>
            <w:r w:rsidRPr="001527C7">
              <w:rPr>
                <w:sz w:val="17"/>
                <w:szCs w:val="17"/>
              </w:rPr>
              <w:t>LPxx</w:t>
            </w:r>
          </w:p>
        </w:tc>
        <w:tc>
          <w:tcPr>
            <w:tcW w:w="811" w:type="dxa"/>
            <w:shd w:val="clear" w:color="auto" w:fill="auto"/>
          </w:tcPr>
          <w:p w:rsidR="00DE2F2A" w:rsidRPr="001527C7" w:rsidRDefault="00DE2F2A" w:rsidP="00A50F74">
            <w:pPr>
              <w:spacing w:before="60" w:after="60" w:line="220" w:lineRule="atLeast"/>
              <w:ind w:left="57" w:right="57"/>
              <w:jc w:val="center"/>
              <w:rPr>
                <w:sz w:val="17"/>
                <w:szCs w:val="17"/>
              </w:rPr>
            </w:pPr>
          </w:p>
        </w:tc>
        <w:tc>
          <w:tcPr>
            <w:tcW w:w="785" w:type="dxa"/>
            <w:shd w:val="clear" w:color="auto" w:fill="auto"/>
          </w:tcPr>
          <w:p w:rsidR="00DE2F2A" w:rsidRPr="001527C7" w:rsidRDefault="00DE2F2A" w:rsidP="00A50F74">
            <w:pPr>
              <w:spacing w:before="60" w:after="60" w:line="220" w:lineRule="atLeast"/>
              <w:ind w:left="57" w:right="57"/>
              <w:jc w:val="center"/>
              <w:rPr>
                <w:sz w:val="17"/>
                <w:szCs w:val="17"/>
              </w:rPr>
            </w:pPr>
          </w:p>
        </w:tc>
      </w:tr>
    </w:tbl>
    <w:p w:rsidR="00DE2F2A" w:rsidRPr="001527C7" w:rsidRDefault="00DE2F2A" w:rsidP="00B06BAE">
      <w:pPr>
        <w:pStyle w:val="SingleTxtG"/>
        <w:spacing w:before="240"/>
        <w:ind w:left="1701"/>
      </w:pPr>
      <w:r w:rsidRPr="001527C7">
        <w:t xml:space="preserve">Modifier l’Appendice A (Liste des désignations officielles de transport génériques et non spécifiées par ailleurs (N.S.A)). Pour le numéro 3291, modifier l’entrée comme dans le tableau A présenté ci-dessus. Ajouter à la fin des </w:t>
      </w:r>
      <w:r w:rsidR="00B06BAE" w:rsidRPr="001527C7">
        <w:t>r</w:t>
      </w:r>
      <w:r w:rsidRPr="001527C7">
        <w:t>ubriques spécifiques de la Division 6.2 le nouveau numéro xxxx et le texte présenté dans l’exemple ci-dessus pour la Catégorie A</w:t>
      </w:r>
      <w:r w:rsidR="006F453A" w:rsidRPr="001527C7">
        <w:t> ;</w:t>
      </w:r>
      <w:r w:rsidRPr="001527C7">
        <w:t xml:space="preserve"> et</w:t>
      </w:r>
    </w:p>
    <w:p w:rsidR="00B06BAE" w:rsidRPr="001527C7" w:rsidRDefault="00DE2F2A" w:rsidP="00B06BAE">
      <w:pPr>
        <w:pStyle w:val="SingleTxtG"/>
        <w:ind w:left="1701"/>
      </w:pPr>
      <w:r w:rsidRPr="001527C7">
        <w:t xml:space="preserve">Modifier l’index à trois endroits pour ajouter CATÉGORIE B aux désignations officielles de transport dans le </w:t>
      </w:r>
      <w:r w:rsidR="00B06BAE" w:rsidRPr="001527C7">
        <w:t>No ONU </w:t>
      </w:r>
      <w:r w:rsidRPr="001527C7">
        <w:t xml:space="preserve">3291 actuel. Ajouter </w:t>
      </w:r>
      <w:r w:rsidR="00B06BAE" w:rsidRPr="001527C7">
        <w:t xml:space="preserve">à trois </w:t>
      </w:r>
      <w:r w:rsidRPr="001527C7">
        <w:t>endroits les désignations officielles de transport de la CATÉGORIE A comme dans le tableau A ci-dessus.</w:t>
      </w:r>
      <w:r w:rsidR="006F453A" w:rsidRPr="001527C7">
        <w:t xml:space="preserve"> </w:t>
      </w:r>
    </w:p>
    <w:p w:rsidR="00B06BAE" w:rsidRPr="001527C7" w:rsidRDefault="00B06BAE" w:rsidP="00302214">
      <w:r w:rsidRPr="001527C7">
        <w:br w:type="page"/>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01"/>
        <w:gridCol w:w="2158"/>
        <w:gridCol w:w="3327"/>
        <w:gridCol w:w="3151"/>
      </w:tblGrid>
      <w:tr w:rsidR="00DE2F2A" w:rsidRPr="001527C7" w:rsidTr="00B06BAE">
        <w:tc>
          <w:tcPr>
            <w:tcW w:w="9637" w:type="dxa"/>
            <w:gridSpan w:val="4"/>
          </w:tcPr>
          <w:p w:rsidR="00DE2F2A" w:rsidRPr="001527C7" w:rsidRDefault="00B06BAE" w:rsidP="00B06BAE">
            <w:pPr>
              <w:tabs>
                <w:tab w:val="left" w:pos="284"/>
                <w:tab w:val="center" w:pos="4820"/>
                <w:tab w:val="right" w:pos="9356"/>
              </w:tabs>
              <w:spacing w:before="80" w:after="80"/>
              <w:jc w:val="center"/>
              <w:rPr>
                <w:szCs w:val="24"/>
              </w:rPr>
            </w:pPr>
            <w:r w:rsidRPr="001527C7">
              <w:br w:type="page"/>
            </w:r>
            <w:r w:rsidR="00DE2F2A" w:rsidRPr="001527C7">
              <w:rPr>
                <w:szCs w:val="24"/>
              </w:rPr>
              <w:br w:type="page"/>
            </w:r>
            <w:r w:rsidR="00DE2F2A" w:rsidRPr="001527C7">
              <w:rPr>
                <w:b/>
                <w:bCs/>
                <w:szCs w:val="24"/>
              </w:rPr>
              <w:t>P</w:t>
            </w:r>
            <w:r w:rsidR="00DE2F2A" w:rsidRPr="001527C7">
              <w:rPr>
                <w:b/>
                <w:bCs/>
                <w:spacing w:val="1"/>
                <w:szCs w:val="24"/>
              </w:rPr>
              <w:t>62</w:t>
            </w:r>
            <w:r w:rsidR="00DE2F2A" w:rsidRPr="001527C7">
              <w:rPr>
                <w:b/>
                <w:bCs/>
                <w:szCs w:val="24"/>
              </w:rPr>
              <w:t>X</w:t>
            </w:r>
            <w:r w:rsidRPr="001527C7">
              <w:rPr>
                <w:b/>
                <w:bCs/>
                <w:szCs w:val="24"/>
              </w:rPr>
              <w:tab/>
            </w:r>
            <w:r w:rsidR="00DE2F2A" w:rsidRPr="001527C7">
              <w:rPr>
                <w:b/>
                <w:bCs/>
                <w:szCs w:val="24"/>
              </w:rPr>
              <w:t>INSTRUCTION D’EMBALLAGE</w:t>
            </w:r>
            <w:r w:rsidRPr="001527C7">
              <w:rPr>
                <w:b/>
                <w:bCs/>
                <w:szCs w:val="24"/>
              </w:rPr>
              <w:tab/>
            </w:r>
            <w:r w:rsidR="00DE2F2A" w:rsidRPr="001527C7">
              <w:rPr>
                <w:b/>
                <w:bCs/>
                <w:szCs w:val="24"/>
              </w:rPr>
              <w:t>P</w:t>
            </w:r>
            <w:r w:rsidR="00DE2F2A" w:rsidRPr="001527C7">
              <w:rPr>
                <w:b/>
                <w:bCs/>
                <w:spacing w:val="1"/>
                <w:szCs w:val="24"/>
              </w:rPr>
              <w:t>62</w:t>
            </w:r>
            <w:r w:rsidR="00DE2F2A" w:rsidRPr="001527C7">
              <w:rPr>
                <w:b/>
                <w:bCs/>
                <w:szCs w:val="24"/>
              </w:rPr>
              <w:t>X</w:t>
            </w:r>
          </w:p>
        </w:tc>
      </w:tr>
      <w:tr w:rsidR="00DE2F2A" w:rsidRPr="001527C7" w:rsidTr="00B06BAE">
        <w:tc>
          <w:tcPr>
            <w:tcW w:w="9637" w:type="dxa"/>
            <w:gridSpan w:val="4"/>
          </w:tcPr>
          <w:p w:rsidR="00DE2F2A" w:rsidRPr="001527C7" w:rsidRDefault="00DE2F2A" w:rsidP="00B06BAE">
            <w:pPr>
              <w:spacing w:before="60" w:after="60"/>
              <w:ind w:left="113" w:right="113"/>
              <w:rPr>
                <w:szCs w:val="24"/>
              </w:rPr>
            </w:pPr>
            <w:r w:rsidRPr="001527C7">
              <w:rPr>
                <w:spacing w:val="3"/>
                <w:szCs w:val="24"/>
              </w:rPr>
              <w:t>Cette instruction s’applique au No ONU</w:t>
            </w:r>
            <w:r w:rsidRPr="001527C7">
              <w:rPr>
                <w:spacing w:val="-2"/>
                <w:szCs w:val="24"/>
              </w:rPr>
              <w:t xml:space="preserve"> </w:t>
            </w:r>
            <w:r w:rsidRPr="001527C7">
              <w:rPr>
                <w:spacing w:val="1"/>
                <w:szCs w:val="24"/>
              </w:rPr>
              <w:t>xxxx</w:t>
            </w:r>
          </w:p>
        </w:tc>
      </w:tr>
      <w:tr w:rsidR="00DE2F2A" w:rsidRPr="001527C7" w:rsidTr="00B06BAE">
        <w:tc>
          <w:tcPr>
            <w:tcW w:w="9637" w:type="dxa"/>
            <w:gridSpan w:val="4"/>
          </w:tcPr>
          <w:p w:rsidR="00DE2F2A" w:rsidRPr="001527C7" w:rsidRDefault="00DE2F2A" w:rsidP="00B06BAE">
            <w:pPr>
              <w:spacing w:before="60" w:after="60"/>
              <w:ind w:left="113" w:right="113"/>
              <w:rPr>
                <w:spacing w:val="3"/>
                <w:szCs w:val="24"/>
              </w:rPr>
            </w:pPr>
            <w:r w:rsidRPr="001527C7">
              <w:rPr>
                <w:spacing w:val="3"/>
                <w:szCs w:val="24"/>
              </w:rPr>
              <w:t>Les emballages suivants sont autorisés s’il est satisfait aux dispositions générales des paragraphes</w:t>
            </w:r>
            <w:r w:rsidRPr="001527C7">
              <w:rPr>
                <w:spacing w:val="23"/>
                <w:szCs w:val="24"/>
              </w:rPr>
              <w:t xml:space="preserve"> </w:t>
            </w:r>
            <w:r w:rsidRPr="001527C7">
              <w:rPr>
                <w:b/>
                <w:bCs/>
                <w:spacing w:val="1"/>
                <w:szCs w:val="24"/>
              </w:rPr>
              <w:t>4</w:t>
            </w:r>
            <w:r w:rsidRPr="001527C7">
              <w:rPr>
                <w:b/>
                <w:bCs/>
                <w:szCs w:val="24"/>
              </w:rPr>
              <w:t>.</w:t>
            </w:r>
            <w:r w:rsidRPr="001527C7">
              <w:rPr>
                <w:b/>
                <w:bCs/>
                <w:spacing w:val="1"/>
                <w:szCs w:val="24"/>
              </w:rPr>
              <w:t>1</w:t>
            </w:r>
            <w:r w:rsidRPr="001527C7">
              <w:rPr>
                <w:b/>
                <w:bCs/>
                <w:szCs w:val="24"/>
              </w:rPr>
              <w:t>.1</w:t>
            </w:r>
            <w:r w:rsidRPr="001527C7">
              <w:rPr>
                <w:b/>
                <w:bCs/>
                <w:spacing w:val="13"/>
                <w:szCs w:val="24"/>
              </w:rPr>
              <w:t xml:space="preserve"> </w:t>
            </w:r>
            <w:r w:rsidRPr="001527C7">
              <w:rPr>
                <w:bCs/>
                <w:spacing w:val="13"/>
                <w:szCs w:val="24"/>
              </w:rPr>
              <w:t>et</w:t>
            </w:r>
            <w:r w:rsidRPr="001527C7">
              <w:rPr>
                <w:spacing w:val="16"/>
                <w:szCs w:val="24"/>
              </w:rPr>
              <w:t xml:space="preserve"> </w:t>
            </w:r>
            <w:r w:rsidRPr="001527C7">
              <w:rPr>
                <w:b/>
                <w:bCs/>
                <w:spacing w:val="1"/>
                <w:szCs w:val="24"/>
              </w:rPr>
              <w:t>4</w:t>
            </w:r>
            <w:r w:rsidRPr="001527C7">
              <w:rPr>
                <w:b/>
                <w:bCs/>
                <w:szCs w:val="24"/>
              </w:rPr>
              <w:t>.</w:t>
            </w:r>
            <w:r w:rsidRPr="001527C7">
              <w:rPr>
                <w:b/>
                <w:bCs/>
                <w:spacing w:val="1"/>
                <w:szCs w:val="24"/>
              </w:rPr>
              <w:t>1</w:t>
            </w:r>
            <w:r w:rsidRPr="001527C7">
              <w:rPr>
                <w:b/>
                <w:bCs/>
                <w:spacing w:val="-2"/>
                <w:szCs w:val="24"/>
              </w:rPr>
              <w:t>.</w:t>
            </w:r>
            <w:r w:rsidRPr="001527C7">
              <w:rPr>
                <w:b/>
                <w:bCs/>
                <w:szCs w:val="24"/>
              </w:rPr>
              <w:t>3</w:t>
            </w:r>
            <w:r w:rsidR="006F453A" w:rsidRPr="001527C7">
              <w:rPr>
                <w:szCs w:val="24"/>
              </w:rPr>
              <w:t> :</w:t>
            </w:r>
          </w:p>
        </w:tc>
      </w:tr>
      <w:tr w:rsidR="00DE2F2A" w:rsidRPr="001527C7" w:rsidTr="00B06BAE">
        <w:tc>
          <w:tcPr>
            <w:tcW w:w="3159" w:type="dxa"/>
            <w:gridSpan w:val="2"/>
          </w:tcPr>
          <w:p w:rsidR="00DE2F2A" w:rsidRPr="001527C7" w:rsidRDefault="00DE2F2A" w:rsidP="00B06BAE">
            <w:pPr>
              <w:spacing w:before="60" w:after="60"/>
              <w:ind w:left="113" w:right="113"/>
              <w:rPr>
                <w:b/>
                <w:spacing w:val="3"/>
                <w:szCs w:val="24"/>
              </w:rPr>
            </w:pPr>
            <w:r w:rsidRPr="001527C7">
              <w:rPr>
                <w:b/>
                <w:spacing w:val="3"/>
                <w:szCs w:val="24"/>
              </w:rPr>
              <w:t>Emballages intérieurs</w:t>
            </w:r>
          </w:p>
        </w:tc>
        <w:tc>
          <w:tcPr>
            <w:tcW w:w="3327" w:type="dxa"/>
          </w:tcPr>
          <w:p w:rsidR="00DE2F2A" w:rsidRPr="001527C7" w:rsidRDefault="00DE2F2A" w:rsidP="00B06BAE">
            <w:pPr>
              <w:spacing w:before="60" w:after="60"/>
              <w:ind w:left="113" w:right="113"/>
              <w:rPr>
                <w:b/>
                <w:spacing w:val="3"/>
                <w:szCs w:val="24"/>
              </w:rPr>
            </w:pPr>
            <w:r w:rsidRPr="001527C7">
              <w:rPr>
                <w:b/>
                <w:spacing w:val="3"/>
                <w:szCs w:val="24"/>
              </w:rPr>
              <w:t>Emballages intermédiaires</w:t>
            </w:r>
          </w:p>
        </w:tc>
        <w:tc>
          <w:tcPr>
            <w:tcW w:w="3151" w:type="dxa"/>
          </w:tcPr>
          <w:p w:rsidR="00DE2F2A" w:rsidRPr="001527C7" w:rsidRDefault="00DE2F2A" w:rsidP="00B06BAE">
            <w:pPr>
              <w:spacing w:before="60" w:after="60"/>
              <w:ind w:left="113" w:right="113"/>
              <w:rPr>
                <w:b/>
                <w:spacing w:val="3"/>
                <w:szCs w:val="24"/>
              </w:rPr>
            </w:pPr>
            <w:r w:rsidRPr="001527C7">
              <w:rPr>
                <w:b/>
                <w:spacing w:val="3"/>
                <w:szCs w:val="24"/>
              </w:rPr>
              <w:t>Emballage extérieurs</w:t>
            </w:r>
          </w:p>
        </w:tc>
      </w:tr>
      <w:tr w:rsidR="00DE2F2A" w:rsidRPr="001527C7" w:rsidTr="00B06BAE">
        <w:tc>
          <w:tcPr>
            <w:tcW w:w="3159" w:type="dxa"/>
            <w:gridSpan w:val="2"/>
          </w:tcPr>
          <w:p w:rsidR="00DE2F2A" w:rsidRPr="001527C7" w:rsidRDefault="00B06BAE" w:rsidP="00B06BAE">
            <w:pPr>
              <w:spacing w:before="60" w:after="60"/>
              <w:ind w:left="113" w:right="113"/>
              <w:rPr>
                <w:spacing w:val="3"/>
                <w:szCs w:val="24"/>
              </w:rPr>
            </w:pPr>
            <w:r w:rsidRPr="001527C7">
              <w:rPr>
                <w:spacing w:val="3"/>
                <w:szCs w:val="24"/>
              </w:rPr>
              <w:t xml:space="preserve">en </w:t>
            </w:r>
            <w:r w:rsidR="00DE2F2A" w:rsidRPr="001527C7">
              <w:rPr>
                <w:spacing w:val="3"/>
                <w:szCs w:val="24"/>
              </w:rPr>
              <w:t>verre</w:t>
            </w:r>
            <w:r w:rsidRPr="001527C7">
              <w:rPr>
                <w:spacing w:val="3"/>
                <w:szCs w:val="24"/>
              </w:rPr>
              <w:br/>
              <w:t xml:space="preserve">en </w:t>
            </w:r>
            <w:r w:rsidR="00DE2F2A" w:rsidRPr="001527C7">
              <w:rPr>
                <w:spacing w:val="3"/>
                <w:szCs w:val="24"/>
              </w:rPr>
              <w:t>métal</w:t>
            </w:r>
            <w:r w:rsidRPr="001527C7">
              <w:rPr>
                <w:spacing w:val="3"/>
                <w:szCs w:val="24"/>
              </w:rPr>
              <w:br/>
              <w:t xml:space="preserve">en </w:t>
            </w:r>
            <w:r w:rsidR="00DE2F2A" w:rsidRPr="001527C7">
              <w:rPr>
                <w:spacing w:val="3"/>
                <w:szCs w:val="24"/>
              </w:rPr>
              <w:t>plastique</w:t>
            </w:r>
          </w:p>
        </w:tc>
        <w:tc>
          <w:tcPr>
            <w:tcW w:w="3327" w:type="dxa"/>
          </w:tcPr>
          <w:p w:rsidR="00DE2F2A" w:rsidRPr="001527C7" w:rsidRDefault="00B06BAE" w:rsidP="00B06BAE">
            <w:pPr>
              <w:spacing w:before="60" w:after="60"/>
              <w:ind w:left="113" w:right="113"/>
              <w:rPr>
                <w:spacing w:val="3"/>
                <w:szCs w:val="24"/>
              </w:rPr>
            </w:pPr>
            <w:r w:rsidRPr="001527C7">
              <w:rPr>
                <w:spacing w:val="3"/>
                <w:szCs w:val="24"/>
              </w:rPr>
              <w:t xml:space="preserve">en </w:t>
            </w:r>
            <w:r w:rsidR="00DE2F2A" w:rsidRPr="001527C7">
              <w:rPr>
                <w:spacing w:val="3"/>
                <w:szCs w:val="24"/>
              </w:rPr>
              <w:t>métal</w:t>
            </w:r>
            <w:r w:rsidRPr="001527C7">
              <w:rPr>
                <w:spacing w:val="3"/>
                <w:szCs w:val="24"/>
              </w:rPr>
              <w:br/>
              <w:t xml:space="preserve">en </w:t>
            </w:r>
            <w:r w:rsidR="00DE2F2A" w:rsidRPr="001527C7">
              <w:rPr>
                <w:spacing w:val="3"/>
                <w:szCs w:val="24"/>
              </w:rPr>
              <w:t>plastique</w:t>
            </w:r>
          </w:p>
        </w:tc>
        <w:tc>
          <w:tcPr>
            <w:tcW w:w="3151" w:type="dxa"/>
          </w:tcPr>
          <w:p w:rsidR="00DE2F2A" w:rsidRPr="001527C7" w:rsidRDefault="00DE2F2A" w:rsidP="00B06BAE">
            <w:pPr>
              <w:spacing w:before="60" w:after="60"/>
              <w:ind w:left="113" w:right="113"/>
              <w:rPr>
                <w:spacing w:val="3"/>
                <w:szCs w:val="24"/>
              </w:rPr>
            </w:pPr>
            <w:r w:rsidRPr="001527C7">
              <w:rPr>
                <w:b/>
                <w:spacing w:val="3"/>
                <w:szCs w:val="24"/>
              </w:rPr>
              <w:t>Caisses</w:t>
            </w:r>
            <w:r w:rsidR="00B06BAE" w:rsidRPr="001527C7">
              <w:rPr>
                <w:b/>
                <w:spacing w:val="3"/>
                <w:szCs w:val="24"/>
              </w:rPr>
              <w:br/>
            </w:r>
            <w:r w:rsidRPr="001527C7">
              <w:rPr>
                <w:spacing w:val="3"/>
                <w:szCs w:val="24"/>
              </w:rPr>
              <w:t>en acier (4A)</w:t>
            </w:r>
            <w:r w:rsidR="00B06BAE" w:rsidRPr="001527C7">
              <w:rPr>
                <w:spacing w:val="3"/>
                <w:szCs w:val="24"/>
              </w:rPr>
              <w:br/>
            </w:r>
            <w:r w:rsidRPr="001527C7">
              <w:rPr>
                <w:spacing w:val="3"/>
                <w:szCs w:val="24"/>
              </w:rPr>
              <w:t>en aluminium (4B)</w:t>
            </w:r>
            <w:r w:rsidR="00B06BAE" w:rsidRPr="001527C7">
              <w:rPr>
                <w:spacing w:val="3"/>
                <w:szCs w:val="24"/>
              </w:rPr>
              <w:br/>
            </w:r>
            <w:r w:rsidRPr="001527C7">
              <w:rPr>
                <w:spacing w:val="3"/>
                <w:szCs w:val="24"/>
              </w:rPr>
              <w:t>en un autre métal (4N)</w:t>
            </w:r>
            <w:r w:rsidR="00B06BAE" w:rsidRPr="001527C7">
              <w:rPr>
                <w:spacing w:val="3"/>
                <w:szCs w:val="24"/>
              </w:rPr>
              <w:br/>
            </w:r>
            <w:r w:rsidRPr="001527C7">
              <w:rPr>
                <w:spacing w:val="3"/>
                <w:szCs w:val="24"/>
              </w:rPr>
              <w:t>en plastique rigide (4H2)</w:t>
            </w:r>
          </w:p>
          <w:p w:rsidR="00DE2F2A" w:rsidRPr="001527C7" w:rsidRDefault="00DE2F2A" w:rsidP="00B06BAE">
            <w:pPr>
              <w:spacing w:before="60" w:after="60"/>
              <w:ind w:left="113" w:right="113"/>
              <w:rPr>
                <w:spacing w:val="3"/>
                <w:szCs w:val="24"/>
              </w:rPr>
            </w:pPr>
            <w:r w:rsidRPr="001527C7">
              <w:rPr>
                <w:b/>
                <w:spacing w:val="3"/>
                <w:szCs w:val="24"/>
              </w:rPr>
              <w:t>Fûts</w:t>
            </w:r>
            <w:r w:rsidR="00B06BAE" w:rsidRPr="001527C7">
              <w:rPr>
                <w:b/>
                <w:spacing w:val="3"/>
                <w:szCs w:val="24"/>
              </w:rPr>
              <w:br/>
            </w:r>
            <w:r w:rsidRPr="001527C7">
              <w:rPr>
                <w:spacing w:val="3"/>
                <w:szCs w:val="24"/>
              </w:rPr>
              <w:t>en acier (1A2)</w:t>
            </w:r>
            <w:r w:rsidR="00B06BAE" w:rsidRPr="001527C7">
              <w:rPr>
                <w:spacing w:val="3"/>
                <w:szCs w:val="24"/>
              </w:rPr>
              <w:br/>
            </w:r>
            <w:r w:rsidRPr="001527C7">
              <w:rPr>
                <w:spacing w:val="3"/>
                <w:szCs w:val="24"/>
              </w:rPr>
              <w:t>en aluminium (1B2)</w:t>
            </w:r>
            <w:r w:rsidR="00B06BAE" w:rsidRPr="001527C7">
              <w:rPr>
                <w:spacing w:val="3"/>
                <w:szCs w:val="24"/>
              </w:rPr>
              <w:br/>
            </w:r>
            <w:r w:rsidRPr="001527C7">
              <w:rPr>
                <w:spacing w:val="3"/>
                <w:szCs w:val="24"/>
              </w:rPr>
              <w:t>en un autre métal (1N2)</w:t>
            </w:r>
            <w:r w:rsidR="00B06BAE" w:rsidRPr="001527C7">
              <w:rPr>
                <w:spacing w:val="3"/>
                <w:szCs w:val="24"/>
              </w:rPr>
              <w:br/>
            </w:r>
            <w:r w:rsidRPr="001527C7">
              <w:rPr>
                <w:spacing w:val="3"/>
                <w:szCs w:val="24"/>
              </w:rPr>
              <w:t>en plastique (1H2)</w:t>
            </w:r>
          </w:p>
          <w:p w:rsidR="00DE2F2A" w:rsidRPr="001527C7" w:rsidRDefault="00DE2F2A" w:rsidP="00B06BAE">
            <w:pPr>
              <w:spacing w:before="60" w:after="60"/>
              <w:ind w:left="113" w:right="113"/>
              <w:rPr>
                <w:spacing w:val="3"/>
                <w:szCs w:val="24"/>
              </w:rPr>
            </w:pPr>
            <w:r w:rsidRPr="001527C7">
              <w:rPr>
                <w:b/>
                <w:spacing w:val="3"/>
                <w:szCs w:val="24"/>
              </w:rPr>
              <w:t>Bidons (jerricanes)</w:t>
            </w:r>
            <w:r w:rsidR="00B06BAE" w:rsidRPr="001527C7">
              <w:rPr>
                <w:b/>
                <w:spacing w:val="3"/>
                <w:szCs w:val="24"/>
              </w:rPr>
              <w:br/>
            </w:r>
            <w:r w:rsidRPr="001527C7">
              <w:rPr>
                <w:spacing w:val="3"/>
                <w:szCs w:val="24"/>
              </w:rPr>
              <w:t>en acier (3A2)</w:t>
            </w:r>
            <w:r w:rsidR="00B06BAE" w:rsidRPr="001527C7">
              <w:rPr>
                <w:spacing w:val="3"/>
                <w:szCs w:val="24"/>
              </w:rPr>
              <w:br/>
            </w:r>
            <w:r w:rsidRPr="001527C7">
              <w:rPr>
                <w:spacing w:val="3"/>
                <w:szCs w:val="24"/>
              </w:rPr>
              <w:t>en aluminium (3B2)</w:t>
            </w:r>
            <w:r w:rsidR="00B06BAE" w:rsidRPr="001527C7">
              <w:rPr>
                <w:spacing w:val="3"/>
                <w:szCs w:val="24"/>
              </w:rPr>
              <w:br/>
            </w:r>
            <w:r w:rsidRPr="001527C7">
              <w:rPr>
                <w:spacing w:val="3"/>
                <w:szCs w:val="24"/>
              </w:rPr>
              <w:t>en plastique (3H2)</w:t>
            </w:r>
          </w:p>
        </w:tc>
      </w:tr>
      <w:tr w:rsidR="00DE2F2A" w:rsidRPr="001527C7" w:rsidTr="00B06BAE">
        <w:tc>
          <w:tcPr>
            <w:tcW w:w="9637" w:type="dxa"/>
            <w:gridSpan w:val="4"/>
          </w:tcPr>
          <w:p w:rsidR="00DE2F2A" w:rsidRPr="001527C7" w:rsidRDefault="00DE2F2A" w:rsidP="00B06BAE">
            <w:pPr>
              <w:spacing w:before="60" w:after="60"/>
              <w:ind w:left="113" w:right="113"/>
              <w:rPr>
                <w:b/>
                <w:spacing w:val="3"/>
                <w:szCs w:val="24"/>
              </w:rPr>
            </w:pPr>
            <w:r w:rsidRPr="001527C7">
              <w:rPr>
                <w:b/>
                <w:spacing w:val="3"/>
                <w:szCs w:val="24"/>
              </w:rPr>
              <w:t>L</w:t>
            </w:r>
            <w:r w:rsidR="00B06BAE" w:rsidRPr="001527C7">
              <w:rPr>
                <w:b/>
                <w:spacing w:val="3"/>
                <w:szCs w:val="24"/>
              </w:rPr>
              <w:t xml:space="preserve">es </w:t>
            </w:r>
            <w:r w:rsidRPr="001527C7">
              <w:rPr>
                <w:b/>
                <w:spacing w:val="3"/>
                <w:szCs w:val="24"/>
              </w:rPr>
              <w:t>emballage</w:t>
            </w:r>
            <w:r w:rsidR="00B06BAE" w:rsidRPr="001527C7">
              <w:rPr>
                <w:b/>
                <w:spacing w:val="3"/>
                <w:szCs w:val="24"/>
              </w:rPr>
              <w:t>s</w:t>
            </w:r>
            <w:r w:rsidRPr="001527C7">
              <w:rPr>
                <w:b/>
                <w:spacing w:val="3"/>
                <w:szCs w:val="24"/>
              </w:rPr>
              <w:t xml:space="preserve"> doi</w:t>
            </w:r>
            <w:r w:rsidR="00B06BAE" w:rsidRPr="001527C7">
              <w:rPr>
                <w:b/>
                <w:spacing w:val="3"/>
                <w:szCs w:val="24"/>
              </w:rPr>
              <w:t>ven</w:t>
            </w:r>
            <w:r w:rsidRPr="001527C7">
              <w:rPr>
                <w:b/>
                <w:spacing w:val="3"/>
                <w:szCs w:val="24"/>
              </w:rPr>
              <w:t>t satisfaire au niveau d’épreuve du groupe d’emballage I pour les solides</w:t>
            </w:r>
          </w:p>
        </w:tc>
      </w:tr>
      <w:tr w:rsidR="00DE2F2A" w:rsidRPr="001527C7" w:rsidTr="00302214">
        <w:tc>
          <w:tcPr>
            <w:tcW w:w="9637" w:type="dxa"/>
            <w:gridSpan w:val="4"/>
            <w:tcBorders>
              <w:bottom w:val="single" w:sz="4" w:space="0" w:color="auto"/>
            </w:tcBorders>
          </w:tcPr>
          <w:p w:rsidR="00DE2F2A" w:rsidRPr="001527C7" w:rsidRDefault="00DE2F2A" w:rsidP="00B06BAE">
            <w:pPr>
              <w:spacing w:before="60" w:after="60"/>
              <w:ind w:left="113" w:right="113"/>
              <w:rPr>
                <w:szCs w:val="24"/>
              </w:rPr>
            </w:pPr>
            <w:r w:rsidRPr="001527C7">
              <w:rPr>
                <w:b/>
                <w:bCs/>
                <w:szCs w:val="24"/>
              </w:rPr>
              <w:t>Dispositions supplémentaires</w:t>
            </w:r>
            <w:r w:rsidR="006F453A" w:rsidRPr="001527C7">
              <w:rPr>
                <w:b/>
                <w:bCs/>
                <w:szCs w:val="24"/>
              </w:rPr>
              <w:t> :</w:t>
            </w:r>
          </w:p>
          <w:p w:rsidR="00DE2F2A" w:rsidRPr="001527C7" w:rsidRDefault="00DE2F2A" w:rsidP="00B06BAE">
            <w:pPr>
              <w:spacing w:before="60" w:after="60"/>
              <w:ind w:left="113" w:right="113"/>
              <w:rPr>
                <w:szCs w:val="24"/>
              </w:rPr>
            </w:pPr>
            <w:r w:rsidRPr="001527C7">
              <w:rPr>
                <w:szCs w:val="24"/>
              </w:rPr>
              <w:t xml:space="preserve">Les emballages intérieurs en verre </w:t>
            </w:r>
            <w:r w:rsidR="00B06BAE" w:rsidRPr="001527C7">
              <w:rPr>
                <w:szCs w:val="24"/>
              </w:rPr>
              <w:t xml:space="preserve">doivent obligatoirement être contenus </w:t>
            </w:r>
            <w:r w:rsidRPr="001527C7">
              <w:rPr>
                <w:szCs w:val="24"/>
              </w:rPr>
              <w:t>dans des emballages intermédiaires rigides.</w:t>
            </w:r>
          </w:p>
          <w:p w:rsidR="00DE2F2A" w:rsidRPr="001527C7" w:rsidRDefault="00DE2F2A" w:rsidP="00BB2F9E">
            <w:pPr>
              <w:spacing w:before="60" w:after="60"/>
              <w:ind w:left="113" w:right="113"/>
              <w:rPr>
                <w:szCs w:val="24"/>
              </w:rPr>
            </w:pPr>
            <w:r w:rsidRPr="001527C7">
              <w:rPr>
                <w:spacing w:val="2"/>
                <w:szCs w:val="24"/>
              </w:rPr>
              <w:t xml:space="preserve">Les emballages intérieurs contenant des objets tranchants comme </w:t>
            </w:r>
            <w:r w:rsidR="00B06BAE" w:rsidRPr="001527C7">
              <w:rPr>
                <w:spacing w:val="2"/>
                <w:szCs w:val="24"/>
              </w:rPr>
              <w:t>des déb</w:t>
            </w:r>
            <w:r w:rsidR="00BB2F9E">
              <w:rPr>
                <w:spacing w:val="2"/>
                <w:szCs w:val="24"/>
              </w:rPr>
              <w:t>r</w:t>
            </w:r>
            <w:r w:rsidR="00B06BAE" w:rsidRPr="001527C7">
              <w:rPr>
                <w:spacing w:val="2"/>
                <w:szCs w:val="24"/>
              </w:rPr>
              <w:t>is de</w:t>
            </w:r>
            <w:r w:rsidRPr="001527C7">
              <w:rPr>
                <w:spacing w:val="2"/>
                <w:szCs w:val="24"/>
              </w:rPr>
              <w:t xml:space="preserve"> verre ou des aiguilles doivent résister aux perforations et </w:t>
            </w:r>
            <w:r w:rsidR="00B06BAE" w:rsidRPr="001527C7">
              <w:rPr>
                <w:spacing w:val="2"/>
                <w:szCs w:val="24"/>
              </w:rPr>
              <w:t xml:space="preserve">être étanches aux </w:t>
            </w:r>
            <w:r w:rsidRPr="001527C7">
              <w:rPr>
                <w:spacing w:val="2"/>
                <w:szCs w:val="24"/>
              </w:rPr>
              <w:t>liquides</w:t>
            </w:r>
            <w:r w:rsidRPr="001527C7">
              <w:rPr>
                <w:szCs w:val="24"/>
              </w:rPr>
              <w:t>.</w:t>
            </w:r>
          </w:p>
          <w:p w:rsidR="00DE2F2A" w:rsidRPr="001527C7" w:rsidRDefault="00DE2F2A" w:rsidP="00B06BAE">
            <w:pPr>
              <w:spacing w:before="60" w:after="60"/>
              <w:ind w:left="113" w:right="113"/>
              <w:rPr>
                <w:szCs w:val="24"/>
              </w:rPr>
            </w:pPr>
            <w:r w:rsidRPr="001527C7">
              <w:rPr>
                <w:szCs w:val="24"/>
              </w:rPr>
              <w:t xml:space="preserve">L’emballage </w:t>
            </w:r>
            <w:r w:rsidR="00B06BAE" w:rsidRPr="001527C7">
              <w:rPr>
                <w:szCs w:val="24"/>
              </w:rPr>
              <w:t xml:space="preserve">intérieur </w:t>
            </w:r>
            <w:r w:rsidRPr="001527C7">
              <w:rPr>
                <w:szCs w:val="24"/>
              </w:rPr>
              <w:t xml:space="preserve">et l’emballage intermédiaire doivent </w:t>
            </w:r>
            <w:r w:rsidR="00B06BAE" w:rsidRPr="001527C7">
              <w:rPr>
                <w:szCs w:val="24"/>
              </w:rPr>
              <w:t xml:space="preserve">être étanches aux </w:t>
            </w:r>
            <w:r w:rsidRPr="001527C7">
              <w:rPr>
                <w:szCs w:val="24"/>
              </w:rPr>
              <w:t>liquides.</w:t>
            </w:r>
          </w:p>
          <w:p w:rsidR="00DE2F2A" w:rsidRPr="001527C7" w:rsidRDefault="00DE2F2A" w:rsidP="00B06BAE">
            <w:pPr>
              <w:spacing w:before="60" w:after="60"/>
              <w:ind w:left="113" w:right="113"/>
              <w:rPr>
                <w:szCs w:val="24"/>
              </w:rPr>
            </w:pPr>
            <w:r w:rsidRPr="001527C7">
              <w:rPr>
                <w:szCs w:val="24"/>
              </w:rPr>
              <w:t xml:space="preserve">Une fois chaque couche remplie et fermée, l’extérieur de emballage doit être désinfecté. </w:t>
            </w:r>
          </w:p>
          <w:p w:rsidR="00DE2F2A" w:rsidRPr="001527C7" w:rsidRDefault="00DE2F2A" w:rsidP="00302214">
            <w:pPr>
              <w:spacing w:before="60" w:after="60"/>
              <w:ind w:left="113" w:right="113"/>
              <w:rPr>
                <w:szCs w:val="24"/>
              </w:rPr>
            </w:pPr>
            <w:r w:rsidRPr="001527C7">
              <w:rPr>
                <w:szCs w:val="24"/>
              </w:rPr>
              <w:t>L</w:t>
            </w:r>
            <w:r w:rsidR="00B06BAE" w:rsidRPr="001527C7">
              <w:rPr>
                <w:szCs w:val="24"/>
              </w:rPr>
              <w:t>’emballage</w:t>
            </w:r>
            <w:r w:rsidRPr="001527C7">
              <w:rPr>
                <w:szCs w:val="24"/>
              </w:rPr>
              <w:t xml:space="preserve"> intérieur et </w:t>
            </w:r>
            <w:r w:rsidR="00B06BAE" w:rsidRPr="001527C7">
              <w:rPr>
                <w:szCs w:val="24"/>
              </w:rPr>
              <w:t xml:space="preserve">l’emballage </w:t>
            </w:r>
            <w:r w:rsidRPr="001527C7">
              <w:rPr>
                <w:szCs w:val="24"/>
              </w:rPr>
              <w:t xml:space="preserve">intermédiaire </w:t>
            </w:r>
            <w:r w:rsidR="00302214" w:rsidRPr="001527C7">
              <w:rPr>
                <w:szCs w:val="24"/>
              </w:rPr>
              <w:t xml:space="preserve">peuvent </w:t>
            </w:r>
            <w:r w:rsidRPr="001527C7">
              <w:rPr>
                <w:szCs w:val="24"/>
              </w:rPr>
              <w:t>être souples.</w:t>
            </w:r>
          </w:p>
          <w:p w:rsidR="00DE2F2A" w:rsidRPr="001527C7" w:rsidRDefault="00DE2F2A" w:rsidP="00B06BAE">
            <w:pPr>
              <w:spacing w:before="60" w:after="60"/>
              <w:ind w:left="113" w:right="113"/>
              <w:rPr>
                <w:szCs w:val="24"/>
              </w:rPr>
            </w:pPr>
            <w:r w:rsidRPr="001527C7">
              <w:rPr>
                <w:szCs w:val="24"/>
              </w:rPr>
              <w:t>Lorsque l’on utilise des emballages souples, il doit s’agir de sacs plastiques d’un modèle type éprouvé et agréé par l’ONU conforme aux prescriptions du paragraphe 4.3.2.4.2 c).</w:t>
            </w:r>
          </w:p>
          <w:p w:rsidR="00DE2F2A" w:rsidRPr="001527C7" w:rsidRDefault="00DE2F2A" w:rsidP="00B06BAE">
            <w:pPr>
              <w:spacing w:before="60" w:after="60"/>
              <w:ind w:left="113" w:right="113"/>
              <w:rPr>
                <w:szCs w:val="24"/>
              </w:rPr>
            </w:pPr>
            <w:r w:rsidRPr="001527C7">
              <w:rPr>
                <w:szCs w:val="24"/>
              </w:rPr>
              <w:t>Chaque emballage intermédiaire souple ne doit contenir qu’un seul emballage intérieur.</w:t>
            </w:r>
          </w:p>
          <w:p w:rsidR="00DE2F2A" w:rsidRPr="001527C7" w:rsidRDefault="00DE2F2A" w:rsidP="00302214">
            <w:pPr>
              <w:spacing w:before="60" w:after="60"/>
              <w:ind w:left="113" w:right="113"/>
              <w:rPr>
                <w:szCs w:val="24"/>
              </w:rPr>
            </w:pPr>
            <w:r w:rsidRPr="001527C7">
              <w:rPr>
                <w:szCs w:val="24"/>
              </w:rPr>
              <w:t xml:space="preserve">Les emballages intérieurs contenant une petite quantité de liquide libre peuvent être contenus dans </w:t>
            </w:r>
            <w:r w:rsidR="00302214" w:rsidRPr="001527C7">
              <w:rPr>
                <w:szCs w:val="24"/>
              </w:rPr>
              <w:t>d</w:t>
            </w:r>
            <w:r w:rsidRPr="001527C7">
              <w:rPr>
                <w:szCs w:val="24"/>
              </w:rPr>
              <w:t>es emballages intermédiaire</w:t>
            </w:r>
            <w:r w:rsidR="00302214" w:rsidRPr="001527C7">
              <w:rPr>
                <w:szCs w:val="24"/>
              </w:rPr>
              <w:t>s</w:t>
            </w:r>
            <w:r w:rsidRPr="001527C7">
              <w:rPr>
                <w:szCs w:val="24"/>
              </w:rPr>
              <w:t xml:space="preserve"> pour autant </w:t>
            </w:r>
            <w:r w:rsidR="00302214" w:rsidRPr="001527C7">
              <w:rPr>
                <w:szCs w:val="24"/>
              </w:rPr>
              <w:t xml:space="preserve">que ceux-ci contiennent </w:t>
            </w:r>
            <w:r w:rsidRPr="001527C7">
              <w:rPr>
                <w:szCs w:val="24"/>
              </w:rPr>
              <w:t>suffisamment de matériau absorbant</w:t>
            </w:r>
            <w:r w:rsidR="006F453A" w:rsidRPr="001527C7">
              <w:rPr>
                <w:szCs w:val="24"/>
              </w:rPr>
              <w:t xml:space="preserve"> </w:t>
            </w:r>
            <w:r w:rsidRPr="001527C7">
              <w:rPr>
                <w:szCs w:val="24"/>
              </w:rPr>
              <w:t xml:space="preserve">pour absorber la totalité du contenu liquide présent et que l’emballage extérieur soit </w:t>
            </w:r>
            <w:r w:rsidR="00302214" w:rsidRPr="001527C7">
              <w:rPr>
                <w:szCs w:val="24"/>
              </w:rPr>
              <w:t xml:space="preserve">étanche aux </w:t>
            </w:r>
            <w:r w:rsidRPr="001527C7">
              <w:rPr>
                <w:szCs w:val="24"/>
              </w:rPr>
              <w:t>liquides.</w:t>
            </w:r>
          </w:p>
        </w:tc>
      </w:tr>
      <w:tr w:rsidR="00DE2F2A" w:rsidRPr="001527C7" w:rsidTr="00302214">
        <w:tc>
          <w:tcPr>
            <w:tcW w:w="9637" w:type="dxa"/>
            <w:gridSpan w:val="4"/>
            <w:tcBorders>
              <w:bottom w:val="nil"/>
            </w:tcBorders>
          </w:tcPr>
          <w:p w:rsidR="00DE2F2A" w:rsidRPr="001527C7" w:rsidRDefault="00DE2F2A" w:rsidP="00B06BAE">
            <w:pPr>
              <w:spacing w:before="60" w:after="60"/>
              <w:ind w:left="113" w:right="113"/>
              <w:rPr>
                <w:b/>
                <w:bCs/>
                <w:szCs w:val="24"/>
              </w:rPr>
            </w:pPr>
            <w:r w:rsidRPr="001527C7">
              <w:rPr>
                <w:b/>
                <w:bCs/>
                <w:szCs w:val="24"/>
              </w:rPr>
              <w:t>Disposition spéciale d’emballage</w:t>
            </w:r>
            <w:r w:rsidR="006F453A" w:rsidRPr="001527C7">
              <w:rPr>
                <w:b/>
                <w:bCs/>
                <w:szCs w:val="24"/>
              </w:rPr>
              <w:t> :</w:t>
            </w:r>
          </w:p>
        </w:tc>
      </w:tr>
      <w:tr w:rsidR="00DE2F2A" w:rsidRPr="001527C7" w:rsidTr="00302214">
        <w:tc>
          <w:tcPr>
            <w:tcW w:w="1001" w:type="dxa"/>
            <w:tcBorders>
              <w:top w:val="nil"/>
              <w:right w:val="nil"/>
            </w:tcBorders>
          </w:tcPr>
          <w:p w:rsidR="00DE2F2A" w:rsidRPr="001527C7" w:rsidRDefault="00DE2F2A" w:rsidP="00B06BAE">
            <w:pPr>
              <w:spacing w:before="60" w:after="60"/>
              <w:ind w:left="113" w:right="113"/>
              <w:rPr>
                <w:b/>
                <w:bCs/>
                <w:szCs w:val="24"/>
              </w:rPr>
            </w:pPr>
            <w:r w:rsidRPr="001527C7">
              <w:rPr>
                <w:b/>
                <w:bCs/>
                <w:szCs w:val="24"/>
              </w:rPr>
              <w:t>PPxx</w:t>
            </w:r>
          </w:p>
        </w:tc>
        <w:tc>
          <w:tcPr>
            <w:tcW w:w="8636" w:type="dxa"/>
            <w:gridSpan w:val="3"/>
            <w:tcBorders>
              <w:top w:val="nil"/>
              <w:left w:val="nil"/>
            </w:tcBorders>
          </w:tcPr>
          <w:p w:rsidR="00DE2F2A" w:rsidRPr="001527C7" w:rsidRDefault="00DE2F2A" w:rsidP="00B06BAE">
            <w:pPr>
              <w:spacing w:before="60" w:after="60"/>
              <w:ind w:left="113" w:right="113"/>
              <w:rPr>
                <w:bCs/>
                <w:szCs w:val="24"/>
              </w:rPr>
            </w:pPr>
            <w:r w:rsidRPr="001527C7">
              <w:rPr>
                <w:bCs/>
                <w:szCs w:val="24"/>
              </w:rPr>
              <w:t>Cet emballage ne peut être utilisé que lorsqu’il est directement jeté dans un incinérateur ou un site de destruction final autorisé. Les autres envois utilisant cet emballage devront obtenir l’autorisation de l’Autorité compétente.</w:t>
            </w:r>
            <w:r w:rsidR="006F453A" w:rsidRPr="001527C7">
              <w:rPr>
                <w:bCs/>
                <w:szCs w:val="24"/>
              </w:rPr>
              <w:t xml:space="preserve"> </w:t>
            </w:r>
          </w:p>
        </w:tc>
      </w:tr>
    </w:tbl>
    <w:p w:rsidR="001527C7" w:rsidRPr="001527C7" w:rsidRDefault="001527C7" w:rsidP="00302214"/>
    <w:p w:rsidR="001527C7" w:rsidRPr="001527C7" w:rsidRDefault="001527C7" w:rsidP="001527C7">
      <w:r w:rsidRPr="001527C7">
        <w:br w:type="page"/>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01"/>
        <w:gridCol w:w="2158"/>
        <w:gridCol w:w="3327"/>
        <w:gridCol w:w="3151"/>
      </w:tblGrid>
      <w:tr w:rsidR="00DE2F2A" w:rsidRPr="001527C7" w:rsidTr="00302214">
        <w:tc>
          <w:tcPr>
            <w:tcW w:w="9242" w:type="dxa"/>
            <w:gridSpan w:val="4"/>
          </w:tcPr>
          <w:p w:rsidR="00DE2F2A" w:rsidRPr="001527C7" w:rsidRDefault="00DE2F2A" w:rsidP="00302214">
            <w:pPr>
              <w:tabs>
                <w:tab w:val="left" w:pos="284"/>
                <w:tab w:val="center" w:pos="4820"/>
                <w:tab w:val="right" w:pos="9356"/>
              </w:tabs>
              <w:spacing w:before="80" w:after="80"/>
              <w:jc w:val="center"/>
              <w:rPr>
                <w:szCs w:val="24"/>
              </w:rPr>
            </w:pPr>
            <w:r w:rsidRPr="001527C7">
              <w:rPr>
                <w:b/>
                <w:bCs/>
                <w:szCs w:val="24"/>
              </w:rPr>
              <w:t>LP</w:t>
            </w:r>
            <w:r w:rsidRPr="001527C7">
              <w:rPr>
                <w:b/>
                <w:bCs/>
                <w:spacing w:val="1"/>
                <w:szCs w:val="24"/>
              </w:rPr>
              <w:t>62</w:t>
            </w:r>
            <w:r w:rsidRPr="001527C7">
              <w:rPr>
                <w:b/>
                <w:bCs/>
                <w:szCs w:val="24"/>
              </w:rPr>
              <w:t>X</w:t>
            </w:r>
            <w:r w:rsidR="00302214" w:rsidRPr="001527C7">
              <w:rPr>
                <w:b/>
                <w:bCs/>
                <w:szCs w:val="24"/>
              </w:rPr>
              <w:tab/>
            </w:r>
            <w:r w:rsidRPr="001527C7">
              <w:rPr>
                <w:b/>
                <w:bCs/>
                <w:szCs w:val="24"/>
              </w:rPr>
              <w:t>INSTRUCTION D’EMBALLAGE</w:t>
            </w:r>
            <w:r w:rsidR="00302214" w:rsidRPr="001527C7">
              <w:rPr>
                <w:b/>
                <w:bCs/>
                <w:szCs w:val="24"/>
              </w:rPr>
              <w:tab/>
            </w:r>
            <w:r w:rsidRPr="001527C7">
              <w:rPr>
                <w:b/>
                <w:bCs/>
                <w:szCs w:val="24"/>
              </w:rPr>
              <w:t>LP</w:t>
            </w:r>
            <w:r w:rsidRPr="001527C7">
              <w:rPr>
                <w:b/>
                <w:bCs/>
                <w:spacing w:val="1"/>
                <w:szCs w:val="24"/>
              </w:rPr>
              <w:t>62</w:t>
            </w:r>
            <w:r w:rsidRPr="001527C7">
              <w:rPr>
                <w:b/>
                <w:bCs/>
                <w:szCs w:val="24"/>
              </w:rPr>
              <w:t>X</w:t>
            </w:r>
          </w:p>
        </w:tc>
      </w:tr>
      <w:tr w:rsidR="00DE2F2A" w:rsidRPr="001527C7" w:rsidTr="00302214">
        <w:tc>
          <w:tcPr>
            <w:tcW w:w="9242" w:type="dxa"/>
            <w:gridSpan w:val="4"/>
          </w:tcPr>
          <w:p w:rsidR="00DE2F2A" w:rsidRPr="001527C7" w:rsidRDefault="00DE2F2A" w:rsidP="00A50F74">
            <w:pPr>
              <w:spacing w:before="60" w:after="60"/>
              <w:ind w:left="113" w:right="113"/>
              <w:rPr>
                <w:szCs w:val="24"/>
              </w:rPr>
            </w:pPr>
            <w:r w:rsidRPr="001527C7">
              <w:rPr>
                <w:spacing w:val="3"/>
                <w:szCs w:val="24"/>
              </w:rPr>
              <w:t>Cette instruction s’applique au No ONU xxxx</w:t>
            </w:r>
          </w:p>
        </w:tc>
      </w:tr>
      <w:tr w:rsidR="00DE2F2A" w:rsidRPr="001527C7" w:rsidTr="00302214">
        <w:tc>
          <w:tcPr>
            <w:tcW w:w="9242" w:type="dxa"/>
            <w:gridSpan w:val="4"/>
          </w:tcPr>
          <w:p w:rsidR="00DE2F2A" w:rsidRPr="001527C7" w:rsidRDefault="00DE2F2A" w:rsidP="00302214">
            <w:pPr>
              <w:spacing w:before="60" w:after="60"/>
              <w:ind w:left="113" w:right="113"/>
              <w:rPr>
                <w:spacing w:val="3"/>
                <w:szCs w:val="24"/>
              </w:rPr>
            </w:pPr>
            <w:r w:rsidRPr="001527C7">
              <w:rPr>
                <w:spacing w:val="3"/>
                <w:szCs w:val="24"/>
              </w:rPr>
              <w:t xml:space="preserve">Les grands emballages suivants sont autorisés s’il est satisfait aux dispositions générales des paragraphes </w:t>
            </w:r>
            <w:r w:rsidRPr="001527C7">
              <w:rPr>
                <w:b/>
                <w:spacing w:val="3"/>
                <w:szCs w:val="24"/>
              </w:rPr>
              <w:t>4.1.1</w:t>
            </w:r>
            <w:r w:rsidRPr="001527C7">
              <w:rPr>
                <w:spacing w:val="3"/>
                <w:szCs w:val="24"/>
              </w:rPr>
              <w:t xml:space="preserve"> et </w:t>
            </w:r>
            <w:r w:rsidRPr="001527C7">
              <w:rPr>
                <w:b/>
                <w:spacing w:val="3"/>
                <w:szCs w:val="24"/>
              </w:rPr>
              <w:t>4.1.3</w:t>
            </w:r>
            <w:r w:rsidR="006F453A" w:rsidRPr="001527C7">
              <w:rPr>
                <w:spacing w:val="3"/>
                <w:szCs w:val="24"/>
              </w:rPr>
              <w:t> :</w:t>
            </w:r>
          </w:p>
        </w:tc>
      </w:tr>
      <w:tr w:rsidR="00DE2F2A" w:rsidRPr="001527C7" w:rsidTr="00302214">
        <w:tc>
          <w:tcPr>
            <w:tcW w:w="3029" w:type="dxa"/>
            <w:gridSpan w:val="2"/>
          </w:tcPr>
          <w:p w:rsidR="00DE2F2A" w:rsidRPr="001527C7" w:rsidRDefault="00DE2F2A" w:rsidP="00302214">
            <w:pPr>
              <w:spacing w:before="60" w:after="60"/>
              <w:ind w:left="113" w:right="113"/>
              <w:rPr>
                <w:b/>
              </w:rPr>
            </w:pPr>
            <w:r w:rsidRPr="001527C7">
              <w:rPr>
                <w:b/>
              </w:rPr>
              <w:t>Emballages intérieurs</w:t>
            </w:r>
          </w:p>
        </w:tc>
        <w:tc>
          <w:tcPr>
            <w:tcW w:w="3191" w:type="dxa"/>
          </w:tcPr>
          <w:p w:rsidR="00DE2F2A" w:rsidRPr="001527C7" w:rsidRDefault="00DE2F2A" w:rsidP="00302214">
            <w:pPr>
              <w:spacing w:before="60" w:after="60"/>
              <w:ind w:left="113" w:right="113"/>
              <w:rPr>
                <w:b/>
              </w:rPr>
            </w:pPr>
            <w:r w:rsidRPr="001527C7">
              <w:rPr>
                <w:b/>
              </w:rPr>
              <w:t>Emballages intermédiaires</w:t>
            </w:r>
          </w:p>
        </w:tc>
        <w:tc>
          <w:tcPr>
            <w:tcW w:w="3022" w:type="dxa"/>
          </w:tcPr>
          <w:p w:rsidR="00DE2F2A" w:rsidRPr="001527C7" w:rsidRDefault="00DE2F2A" w:rsidP="00302214">
            <w:pPr>
              <w:spacing w:before="60" w:after="60"/>
              <w:ind w:left="113" w:right="113"/>
              <w:rPr>
                <w:b/>
              </w:rPr>
            </w:pPr>
            <w:r w:rsidRPr="001527C7">
              <w:rPr>
                <w:b/>
              </w:rPr>
              <w:t>Emballage extérieurs</w:t>
            </w:r>
          </w:p>
        </w:tc>
      </w:tr>
      <w:tr w:rsidR="00DE2F2A" w:rsidRPr="001527C7" w:rsidTr="00302214">
        <w:tc>
          <w:tcPr>
            <w:tcW w:w="3029" w:type="dxa"/>
            <w:gridSpan w:val="2"/>
          </w:tcPr>
          <w:p w:rsidR="00DE2F2A" w:rsidRPr="001527C7" w:rsidRDefault="00302214" w:rsidP="00302214">
            <w:pPr>
              <w:spacing w:before="60" w:after="60"/>
              <w:ind w:left="113" w:right="113"/>
              <w:rPr>
                <w:spacing w:val="3"/>
                <w:szCs w:val="24"/>
              </w:rPr>
            </w:pPr>
            <w:r w:rsidRPr="001527C7">
              <w:rPr>
                <w:spacing w:val="3"/>
                <w:szCs w:val="24"/>
              </w:rPr>
              <w:t xml:space="preserve">en </w:t>
            </w:r>
            <w:r w:rsidR="00DE2F2A" w:rsidRPr="001527C7">
              <w:rPr>
                <w:spacing w:val="3"/>
                <w:szCs w:val="24"/>
              </w:rPr>
              <w:t>verre</w:t>
            </w:r>
            <w:r w:rsidRPr="001527C7">
              <w:rPr>
                <w:spacing w:val="3"/>
                <w:szCs w:val="24"/>
              </w:rPr>
              <w:br/>
              <w:t xml:space="preserve">en </w:t>
            </w:r>
            <w:r w:rsidR="00DE2F2A" w:rsidRPr="001527C7">
              <w:rPr>
                <w:spacing w:val="3"/>
                <w:szCs w:val="24"/>
              </w:rPr>
              <w:t>métal</w:t>
            </w:r>
            <w:r w:rsidRPr="001527C7">
              <w:rPr>
                <w:spacing w:val="3"/>
                <w:szCs w:val="24"/>
              </w:rPr>
              <w:br/>
              <w:t xml:space="preserve">en </w:t>
            </w:r>
            <w:r w:rsidR="00DE2F2A" w:rsidRPr="001527C7">
              <w:rPr>
                <w:spacing w:val="3"/>
                <w:szCs w:val="24"/>
              </w:rPr>
              <w:t>plastique</w:t>
            </w:r>
          </w:p>
        </w:tc>
        <w:tc>
          <w:tcPr>
            <w:tcW w:w="3191" w:type="dxa"/>
          </w:tcPr>
          <w:p w:rsidR="00DE2F2A" w:rsidRPr="001527C7" w:rsidRDefault="00302214" w:rsidP="00302214">
            <w:pPr>
              <w:spacing w:before="60" w:after="60"/>
              <w:ind w:left="113" w:right="113"/>
              <w:rPr>
                <w:spacing w:val="3"/>
                <w:szCs w:val="24"/>
              </w:rPr>
            </w:pPr>
            <w:r w:rsidRPr="001527C7">
              <w:rPr>
                <w:spacing w:val="3"/>
                <w:szCs w:val="24"/>
              </w:rPr>
              <w:t xml:space="preserve">en </w:t>
            </w:r>
            <w:r w:rsidR="00DE2F2A" w:rsidRPr="001527C7">
              <w:rPr>
                <w:spacing w:val="3"/>
                <w:szCs w:val="24"/>
              </w:rPr>
              <w:t>métal</w:t>
            </w:r>
            <w:r w:rsidRPr="001527C7">
              <w:rPr>
                <w:spacing w:val="3"/>
                <w:szCs w:val="24"/>
              </w:rPr>
              <w:br/>
              <w:t xml:space="preserve">en </w:t>
            </w:r>
            <w:r w:rsidR="00DE2F2A" w:rsidRPr="001527C7">
              <w:rPr>
                <w:spacing w:val="3"/>
                <w:szCs w:val="24"/>
              </w:rPr>
              <w:t>plastique</w:t>
            </w:r>
          </w:p>
        </w:tc>
        <w:tc>
          <w:tcPr>
            <w:tcW w:w="3022" w:type="dxa"/>
          </w:tcPr>
          <w:p w:rsidR="00DE2F2A" w:rsidRPr="001527C7" w:rsidRDefault="00DE2F2A" w:rsidP="00302214">
            <w:pPr>
              <w:spacing w:before="60" w:after="60"/>
              <w:ind w:left="113" w:right="113"/>
              <w:rPr>
                <w:spacing w:val="3"/>
                <w:szCs w:val="24"/>
              </w:rPr>
            </w:pPr>
            <w:r w:rsidRPr="001527C7">
              <w:rPr>
                <w:spacing w:val="3"/>
                <w:szCs w:val="24"/>
              </w:rPr>
              <w:t>en acier (50A)</w:t>
            </w:r>
            <w:r w:rsidR="00302214" w:rsidRPr="001527C7">
              <w:rPr>
                <w:spacing w:val="3"/>
                <w:szCs w:val="24"/>
              </w:rPr>
              <w:br/>
            </w:r>
            <w:r w:rsidRPr="001527C7">
              <w:rPr>
                <w:spacing w:val="3"/>
                <w:szCs w:val="24"/>
              </w:rPr>
              <w:t>en aluminium (50B)</w:t>
            </w:r>
            <w:r w:rsidR="00302214" w:rsidRPr="001527C7">
              <w:rPr>
                <w:spacing w:val="3"/>
                <w:szCs w:val="24"/>
              </w:rPr>
              <w:br/>
            </w:r>
            <w:r w:rsidRPr="001527C7">
              <w:rPr>
                <w:spacing w:val="3"/>
                <w:szCs w:val="24"/>
              </w:rPr>
              <w:t>en un autre métal (50N)</w:t>
            </w:r>
            <w:r w:rsidR="00302214" w:rsidRPr="001527C7">
              <w:rPr>
                <w:spacing w:val="3"/>
                <w:szCs w:val="24"/>
              </w:rPr>
              <w:br/>
            </w:r>
            <w:r w:rsidRPr="001527C7">
              <w:rPr>
                <w:spacing w:val="3"/>
                <w:szCs w:val="24"/>
              </w:rPr>
              <w:t>en plastique rigide (50H)</w:t>
            </w:r>
          </w:p>
        </w:tc>
      </w:tr>
      <w:tr w:rsidR="00DE2F2A" w:rsidRPr="001527C7" w:rsidTr="00302214">
        <w:tc>
          <w:tcPr>
            <w:tcW w:w="9242" w:type="dxa"/>
            <w:gridSpan w:val="4"/>
          </w:tcPr>
          <w:p w:rsidR="00DE2F2A" w:rsidRPr="001527C7" w:rsidRDefault="00DE2F2A" w:rsidP="00D8229E">
            <w:pPr>
              <w:spacing w:before="60" w:after="60"/>
              <w:ind w:left="113" w:right="113"/>
              <w:rPr>
                <w:b/>
              </w:rPr>
            </w:pPr>
            <w:r w:rsidRPr="001527C7">
              <w:rPr>
                <w:b/>
              </w:rPr>
              <w:t>L</w:t>
            </w:r>
            <w:r w:rsidR="00D8229E" w:rsidRPr="001527C7">
              <w:rPr>
                <w:b/>
              </w:rPr>
              <w:t xml:space="preserve">es </w:t>
            </w:r>
            <w:r w:rsidRPr="001527C7">
              <w:rPr>
                <w:b/>
              </w:rPr>
              <w:t>emballage</w:t>
            </w:r>
            <w:r w:rsidR="00D8229E" w:rsidRPr="001527C7">
              <w:rPr>
                <w:b/>
              </w:rPr>
              <w:t>s</w:t>
            </w:r>
            <w:r w:rsidRPr="001527C7">
              <w:rPr>
                <w:b/>
              </w:rPr>
              <w:t xml:space="preserve"> doi</w:t>
            </w:r>
            <w:r w:rsidR="00D8229E" w:rsidRPr="001527C7">
              <w:rPr>
                <w:b/>
              </w:rPr>
              <w:t>ven</w:t>
            </w:r>
            <w:r w:rsidRPr="001527C7">
              <w:rPr>
                <w:b/>
              </w:rPr>
              <w:t>t satisfaire au niveau d’épreuve du groupe d’emballage I pour les solides</w:t>
            </w:r>
          </w:p>
        </w:tc>
      </w:tr>
      <w:tr w:rsidR="00DE2F2A" w:rsidRPr="001527C7" w:rsidTr="00302214">
        <w:tc>
          <w:tcPr>
            <w:tcW w:w="9242" w:type="dxa"/>
            <w:gridSpan w:val="4"/>
            <w:tcBorders>
              <w:bottom w:val="single" w:sz="4" w:space="0" w:color="auto"/>
            </w:tcBorders>
          </w:tcPr>
          <w:p w:rsidR="00DE2F2A" w:rsidRPr="001527C7" w:rsidRDefault="00DE2F2A" w:rsidP="00302214">
            <w:pPr>
              <w:spacing w:before="60" w:after="60"/>
              <w:ind w:left="113" w:right="113"/>
              <w:rPr>
                <w:spacing w:val="3"/>
                <w:szCs w:val="24"/>
              </w:rPr>
            </w:pPr>
            <w:r w:rsidRPr="001527C7">
              <w:rPr>
                <w:b/>
                <w:bCs/>
                <w:szCs w:val="24"/>
              </w:rPr>
              <w:t>Dispositions supplémentaires</w:t>
            </w:r>
            <w:r w:rsidR="006F453A" w:rsidRPr="001527C7">
              <w:rPr>
                <w:b/>
                <w:bCs/>
                <w:szCs w:val="24"/>
              </w:rPr>
              <w:t> :</w:t>
            </w:r>
          </w:p>
          <w:p w:rsidR="00DE2F2A" w:rsidRPr="001527C7" w:rsidRDefault="00DE2F2A" w:rsidP="00D8229E">
            <w:pPr>
              <w:spacing w:before="60" w:after="60"/>
              <w:ind w:left="113" w:right="113"/>
              <w:rPr>
                <w:szCs w:val="24"/>
              </w:rPr>
            </w:pPr>
            <w:r w:rsidRPr="001527C7">
              <w:rPr>
                <w:szCs w:val="24"/>
              </w:rPr>
              <w:t xml:space="preserve">Les emballages intérieurs en verre </w:t>
            </w:r>
            <w:r w:rsidR="00D8229E" w:rsidRPr="001527C7">
              <w:rPr>
                <w:szCs w:val="24"/>
              </w:rPr>
              <w:t xml:space="preserve">doivent obligatoirement être contenus </w:t>
            </w:r>
            <w:r w:rsidRPr="001527C7">
              <w:rPr>
                <w:szCs w:val="24"/>
              </w:rPr>
              <w:t xml:space="preserve">dans des </w:t>
            </w:r>
            <w:r w:rsidRPr="001527C7">
              <w:rPr>
                <w:spacing w:val="3"/>
                <w:szCs w:val="24"/>
              </w:rPr>
              <w:t>emballages</w:t>
            </w:r>
            <w:r w:rsidRPr="001527C7">
              <w:rPr>
                <w:szCs w:val="24"/>
              </w:rPr>
              <w:t xml:space="preserve"> intermédiaires rigides.</w:t>
            </w:r>
          </w:p>
          <w:p w:rsidR="00DE2F2A" w:rsidRPr="001527C7" w:rsidRDefault="00DE2F2A" w:rsidP="00D8229E">
            <w:pPr>
              <w:spacing w:before="60" w:after="60"/>
              <w:ind w:left="113" w:right="113"/>
              <w:rPr>
                <w:szCs w:val="24"/>
              </w:rPr>
            </w:pPr>
            <w:r w:rsidRPr="001527C7">
              <w:rPr>
                <w:spacing w:val="2"/>
                <w:szCs w:val="24"/>
              </w:rPr>
              <w:t xml:space="preserve">Les emballages intérieurs </w:t>
            </w:r>
            <w:r w:rsidRPr="001527C7">
              <w:rPr>
                <w:spacing w:val="3"/>
                <w:szCs w:val="24"/>
              </w:rPr>
              <w:t>contenant</w:t>
            </w:r>
            <w:r w:rsidRPr="001527C7">
              <w:rPr>
                <w:spacing w:val="2"/>
                <w:szCs w:val="24"/>
              </w:rPr>
              <w:t xml:space="preserve"> des objets tranchants comme </w:t>
            </w:r>
            <w:r w:rsidR="00D8229E" w:rsidRPr="001527C7">
              <w:rPr>
                <w:spacing w:val="2"/>
                <w:szCs w:val="24"/>
              </w:rPr>
              <w:t xml:space="preserve">des débris de </w:t>
            </w:r>
            <w:r w:rsidRPr="001527C7">
              <w:rPr>
                <w:spacing w:val="2"/>
                <w:szCs w:val="24"/>
              </w:rPr>
              <w:t xml:space="preserve">verre ou des aiguilles doivent résister aux perforations et </w:t>
            </w:r>
            <w:r w:rsidR="00D8229E" w:rsidRPr="001527C7">
              <w:rPr>
                <w:spacing w:val="2"/>
                <w:szCs w:val="24"/>
              </w:rPr>
              <w:t xml:space="preserve">être étanches aux </w:t>
            </w:r>
            <w:r w:rsidRPr="001527C7">
              <w:rPr>
                <w:spacing w:val="2"/>
                <w:szCs w:val="24"/>
              </w:rPr>
              <w:t>liquides.</w:t>
            </w:r>
          </w:p>
          <w:p w:rsidR="00DE2F2A" w:rsidRPr="001527C7" w:rsidRDefault="00DE2F2A" w:rsidP="00D8229E">
            <w:pPr>
              <w:spacing w:before="60" w:after="60"/>
              <w:ind w:left="113" w:right="113"/>
              <w:rPr>
                <w:szCs w:val="24"/>
              </w:rPr>
            </w:pPr>
            <w:r w:rsidRPr="001527C7">
              <w:rPr>
                <w:szCs w:val="24"/>
              </w:rPr>
              <w:t xml:space="preserve">L’emballage </w:t>
            </w:r>
            <w:r w:rsidR="00D8229E" w:rsidRPr="001527C7">
              <w:rPr>
                <w:szCs w:val="24"/>
              </w:rPr>
              <w:t xml:space="preserve">intérieur </w:t>
            </w:r>
            <w:r w:rsidRPr="001527C7">
              <w:rPr>
                <w:szCs w:val="24"/>
              </w:rPr>
              <w:t xml:space="preserve">et l’emballage intermédiaire doivent </w:t>
            </w:r>
            <w:r w:rsidR="00D8229E" w:rsidRPr="001527C7">
              <w:rPr>
                <w:szCs w:val="24"/>
              </w:rPr>
              <w:t xml:space="preserve">être étanches aux </w:t>
            </w:r>
            <w:r w:rsidRPr="001527C7">
              <w:rPr>
                <w:szCs w:val="24"/>
              </w:rPr>
              <w:t>liquides.</w:t>
            </w:r>
          </w:p>
          <w:p w:rsidR="00DE2F2A" w:rsidRPr="001527C7" w:rsidRDefault="00DE2F2A" w:rsidP="00D8229E">
            <w:pPr>
              <w:spacing w:before="60" w:after="60"/>
              <w:ind w:left="113" w:right="113"/>
              <w:rPr>
                <w:szCs w:val="24"/>
              </w:rPr>
            </w:pPr>
            <w:r w:rsidRPr="001527C7">
              <w:rPr>
                <w:szCs w:val="24"/>
              </w:rPr>
              <w:t xml:space="preserve">Chaque emballage intermédiaire ne doit contenir qu’un seul emballage </w:t>
            </w:r>
            <w:r w:rsidR="00D8229E" w:rsidRPr="001527C7">
              <w:rPr>
                <w:szCs w:val="24"/>
              </w:rPr>
              <w:t>intérieur</w:t>
            </w:r>
            <w:r w:rsidRPr="001527C7">
              <w:rPr>
                <w:szCs w:val="24"/>
              </w:rPr>
              <w:t>.</w:t>
            </w:r>
          </w:p>
          <w:p w:rsidR="00DE2F2A" w:rsidRPr="001527C7" w:rsidRDefault="00DE2F2A" w:rsidP="00302214">
            <w:pPr>
              <w:spacing w:before="60" w:after="60"/>
              <w:ind w:left="113" w:right="113"/>
              <w:rPr>
                <w:szCs w:val="24"/>
              </w:rPr>
            </w:pPr>
            <w:r w:rsidRPr="001527C7">
              <w:rPr>
                <w:szCs w:val="24"/>
              </w:rPr>
              <w:t xml:space="preserve">Une fois chaque couche remplie et </w:t>
            </w:r>
            <w:r w:rsidRPr="001527C7">
              <w:rPr>
                <w:spacing w:val="3"/>
                <w:szCs w:val="24"/>
              </w:rPr>
              <w:t>fermée</w:t>
            </w:r>
            <w:r w:rsidRPr="001527C7">
              <w:rPr>
                <w:szCs w:val="24"/>
              </w:rPr>
              <w:t xml:space="preserve">, l’extérieur de emballage doit être désinfecté. </w:t>
            </w:r>
          </w:p>
          <w:p w:rsidR="00DE2F2A" w:rsidRPr="001527C7" w:rsidRDefault="00DE2F2A" w:rsidP="00302214">
            <w:pPr>
              <w:spacing w:before="60" w:after="60"/>
              <w:ind w:left="113" w:right="113"/>
              <w:rPr>
                <w:szCs w:val="24"/>
              </w:rPr>
            </w:pPr>
            <w:r w:rsidRPr="001527C7">
              <w:rPr>
                <w:szCs w:val="24"/>
              </w:rPr>
              <w:t xml:space="preserve">Les emballages extérieurs ne doivent pas être réutilisés avant d’avoir été désinfectés. </w:t>
            </w:r>
          </w:p>
          <w:p w:rsidR="00DE2F2A" w:rsidRPr="001527C7" w:rsidRDefault="00DE2F2A" w:rsidP="00D8229E">
            <w:pPr>
              <w:spacing w:before="60" w:after="60"/>
              <w:ind w:left="113" w:right="113"/>
              <w:rPr>
                <w:szCs w:val="24"/>
              </w:rPr>
            </w:pPr>
            <w:r w:rsidRPr="001527C7">
              <w:rPr>
                <w:szCs w:val="24"/>
              </w:rPr>
              <w:t xml:space="preserve">L’emballage intérieur et l’emballage intermédiaire </w:t>
            </w:r>
            <w:r w:rsidR="00D8229E" w:rsidRPr="001527C7">
              <w:rPr>
                <w:szCs w:val="24"/>
              </w:rPr>
              <w:t xml:space="preserve">peuvent </w:t>
            </w:r>
            <w:r w:rsidRPr="001527C7">
              <w:rPr>
                <w:szCs w:val="24"/>
              </w:rPr>
              <w:t>être souples.</w:t>
            </w:r>
          </w:p>
          <w:p w:rsidR="00DE2F2A" w:rsidRPr="001527C7" w:rsidRDefault="00DE2F2A" w:rsidP="00302214">
            <w:pPr>
              <w:spacing w:before="60" w:after="60"/>
              <w:ind w:left="113" w:right="113"/>
              <w:rPr>
                <w:szCs w:val="24"/>
              </w:rPr>
            </w:pPr>
            <w:r w:rsidRPr="001527C7">
              <w:rPr>
                <w:szCs w:val="24"/>
              </w:rPr>
              <w:t xml:space="preserve">Chaque emballage intermédiaire </w:t>
            </w:r>
            <w:r w:rsidRPr="001527C7">
              <w:rPr>
                <w:spacing w:val="3"/>
                <w:szCs w:val="24"/>
              </w:rPr>
              <w:t>souple</w:t>
            </w:r>
            <w:r w:rsidRPr="001527C7">
              <w:rPr>
                <w:szCs w:val="24"/>
              </w:rPr>
              <w:t xml:space="preserve"> ne doit contenir qu’un seul emballage intérieur. </w:t>
            </w:r>
          </w:p>
          <w:p w:rsidR="00DE2F2A" w:rsidRPr="001527C7" w:rsidRDefault="00DE2F2A" w:rsidP="00302214">
            <w:pPr>
              <w:spacing w:before="60" w:after="60"/>
              <w:ind w:left="113" w:right="113"/>
              <w:rPr>
                <w:szCs w:val="24"/>
              </w:rPr>
            </w:pPr>
            <w:r w:rsidRPr="001527C7">
              <w:rPr>
                <w:szCs w:val="24"/>
              </w:rPr>
              <w:t xml:space="preserve">Lorsque l’on utilise des emballages souples, il doit s’agit de sacs plastiques d’un modèle type éprouvé et agréé par l’ONU conforme aux prescriptions du </w:t>
            </w:r>
            <w:r w:rsidRPr="001527C7">
              <w:rPr>
                <w:spacing w:val="3"/>
                <w:szCs w:val="24"/>
              </w:rPr>
              <w:t>paragraphe</w:t>
            </w:r>
            <w:r w:rsidRPr="001527C7">
              <w:rPr>
                <w:szCs w:val="24"/>
              </w:rPr>
              <w:t xml:space="preserve"> 4.3.2.4.2 c).</w:t>
            </w:r>
          </w:p>
          <w:p w:rsidR="00DE2F2A" w:rsidRPr="001527C7" w:rsidRDefault="00DE2F2A" w:rsidP="00D8229E">
            <w:pPr>
              <w:spacing w:before="60" w:after="60"/>
              <w:ind w:left="113" w:right="113"/>
              <w:rPr>
                <w:szCs w:val="24"/>
              </w:rPr>
            </w:pPr>
            <w:r w:rsidRPr="001527C7">
              <w:rPr>
                <w:szCs w:val="24"/>
              </w:rPr>
              <w:t xml:space="preserve">Les emballages intérieurs contenant une </w:t>
            </w:r>
            <w:r w:rsidRPr="001527C7">
              <w:rPr>
                <w:spacing w:val="3"/>
                <w:szCs w:val="24"/>
              </w:rPr>
              <w:t>petite</w:t>
            </w:r>
            <w:r w:rsidRPr="001527C7">
              <w:rPr>
                <w:szCs w:val="24"/>
              </w:rPr>
              <w:t xml:space="preserve"> quantité de liquide libre peuvent être contenus dans </w:t>
            </w:r>
            <w:r w:rsidR="00D8229E" w:rsidRPr="001527C7">
              <w:rPr>
                <w:szCs w:val="24"/>
              </w:rPr>
              <w:t>d</w:t>
            </w:r>
            <w:r w:rsidRPr="001527C7">
              <w:rPr>
                <w:szCs w:val="24"/>
              </w:rPr>
              <w:t>es emballages intermédiaire</w:t>
            </w:r>
            <w:r w:rsidR="00D8229E" w:rsidRPr="001527C7">
              <w:rPr>
                <w:szCs w:val="24"/>
              </w:rPr>
              <w:t>s</w:t>
            </w:r>
            <w:r w:rsidRPr="001527C7">
              <w:rPr>
                <w:szCs w:val="24"/>
              </w:rPr>
              <w:t xml:space="preserve"> pour autant </w:t>
            </w:r>
            <w:r w:rsidR="00D8229E" w:rsidRPr="001527C7">
              <w:rPr>
                <w:szCs w:val="24"/>
              </w:rPr>
              <w:t xml:space="preserve">que ceux-ci contiennent </w:t>
            </w:r>
            <w:r w:rsidRPr="001527C7">
              <w:rPr>
                <w:szCs w:val="24"/>
              </w:rPr>
              <w:t xml:space="preserve">suffisamment de matériau absorbant pour absorber la totalité du contenu liquide présent et que l’emballage extérieur soit </w:t>
            </w:r>
            <w:r w:rsidR="00D8229E" w:rsidRPr="001527C7">
              <w:rPr>
                <w:szCs w:val="24"/>
              </w:rPr>
              <w:t xml:space="preserve">étanche aux </w:t>
            </w:r>
            <w:r w:rsidRPr="001527C7">
              <w:rPr>
                <w:szCs w:val="24"/>
              </w:rPr>
              <w:t xml:space="preserve">liquides. </w:t>
            </w:r>
          </w:p>
          <w:p w:rsidR="00DE2F2A" w:rsidRPr="001527C7" w:rsidRDefault="00DE2F2A" w:rsidP="00302214">
            <w:pPr>
              <w:spacing w:before="60" w:after="60"/>
              <w:ind w:left="113" w:right="113"/>
              <w:rPr>
                <w:szCs w:val="24"/>
              </w:rPr>
            </w:pPr>
            <w:r w:rsidRPr="001527C7">
              <w:rPr>
                <w:szCs w:val="24"/>
              </w:rPr>
              <w:t xml:space="preserve">La compression d’emballages </w:t>
            </w:r>
            <w:r w:rsidRPr="001527C7">
              <w:rPr>
                <w:spacing w:val="3"/>
                <w:szCs w:val="24"/>
              </w:rPr>
              <w:t>intermédiaires</w:t>
            </w:r>
            <w:r w:rsidRPr="001527C7">
              <w:rPr>
                <w:szCs w:val="24"/>
              </w:rPr>
              <w:t xml:space="preserve"> dans les emballages extérieurs n’est autorisée que lorsqu’elle est conforme aux techniques employées dans l’épreuve sur modèle type comme indiqué dans le rapport d’épreuve. </w:t>
            </w:r>
          </w:p>
        </w:tc>
      </w:tr>
      <w:tr w:rsidR="00DE2F2A" w:rsidRPr="001527C7" w:rsidTr="00302214">
        <w:tc>
          <w:tcPr>
            <w:tcW w:w="9242" w:type="dxa"/>
            <w:gridSpan w:val="4"/>
            <w:tcBorders>
              <w:bottom w:val="nil"/>
            </w:tcBorders>
          </w:tcPr>
          <w:p w:rsidR="00DE2F2A" w:rsidRPr="001527C7" w:rsidRDefault="00DE2F2A" w:rsidP="00302214">
            <w:pPr>
              <w:spacing w:before="60" w:after="60"/>
              <w:ind w:left="113" w:right="113"/>
              <w:rPr>
                <w:b/>
                <w:bCs/>
                <w:szCs w:val="24"/>
              </w:rPr>
            </w:pPr>
            <w:r w:rsidRPr="001527C7">
              <w:rPr>
                <w:b/>
                <w:bCs/>
                <w:szCs w:val="24"/>
              </w:rPr>
              <w:t>Disposition spéciale d’emballage</w:t>
            </w:r>
            <w:r w:rsidR="006F453A" w:rsidRPr="001527C7">
              <w:rPr>
                <w:b/>
                <w:bCs/>
                <w:szCs w:val="24"/>
              </w:rPr>
              <w:t> :</w:t>
            </w:r>
          </w:p>
        </w:tc>
      </w:tr>
      <w:tr w:rsidR="00DE2F2A" w:rsidRPr="001527C7" w:rsidTr="00302214">
        <w:tc>
          <w:tcPr>
            <w:tcW w:w="959" w:type="dxa"/>
            <w:tcBorders>
              <w:top w:val="nil"/>
              <w:right w:val="nil"/>
            </w:tcBorders>
          </w:tcPr>
          <w:p w:rsidR="00DE2F2A" w:rsidRPr="001527C7" w:rsidRDefault="00DE2F2A" w:rsidP="00302214">
            <w:pPr>
              <w:spacing w:before="60" w:after="60"/>
              <w:ind w:left="113" w:right="113"/>
              <w:rPr>
                <w:b/>
                <w:bCs/>
                <w:szCs w:val="24"/>
              </w:rPr>
            </w:pPr>
            <w:r w:rsidRPr="001527C7">
              <w:rPr>
                <w:b/>
                <w:bCs/>
                <w:szCs w:val="24"/>
              </w:rPr>
              <w:t>LPxx</w:t>
            </w:r>
          </w:p>
        </w:tc>
        <w:tc>
          <w:tcPr>
            <w:tcW w:w="8283" w:type="dxa"/>
            <w:gridSpan w:val="3"/>
            <w:tcBorders>
              <w:top w:val="nil"/>
              <w:left w:val="nil"/>
            </w:tcBorders>
          </w:tcPr>
          <w:p w:rsidR="00DE2F2A" w:rsidRPr="001527C7" w:rsidRDefault="00DE2F2A" w:rsidP="00302214">
            <w:pPr>
              <w:spacing w:before="60" w:after="60"/>
              <w:ind w:left="113" w:right="113"/>
              <w:rPr>
                <w:bCs/>
                <w:szCs w:val="24"/>
              </w:rPr>
            </w:pPr>
            <w:r w:rsidRPr="001527C7">
              <w:rPr>
                <w:bCs/>
                <w:szCs w:val="24"/>
              </w:rPr>
              <w:t xml:space="preserve">Cet emballage ne peut être utilisé que lorsqu’il est directement jeté dans un incinérateur ou un site de </w:t>
            </w:r>
            <w:r w:rsidRPr="001527C7">
              <w:rPr>
                <w:spacing w:val="3"/>
                <w:szCs w:val="24"/>
              </w:rPr>
              <w:t>destruction</w:t>
            </w:r>
            <w:r w:rsidRPr="001527C7">
              <w:rPr>
                <w:bCs/>
                <w:szCs w:val="24"/>
              </w:rPr>
              <w:t xml:space="preserve"> final autorisé. Les autres envois utilisant cet emballage devront obtenir l’autorisation de l’Autorité compétente. </w:t>
            </w:r>
          </w:p>
        </w:tc>
      </w:tr>
    </w:tbl>
    <w:p w:rsidR="00DE2F2A" w:rsidRPr="001527C7" w:rsidRDefault="00DE2F2A" w:rsidP="00DE2F2A">
      <w:pPr>
        <w:pStyle w:val="SingleTxtG"/>
        <w:spacing w:before="240" w:after="0"/>
        <w:jc w:val="center"/>
        <w:rPr>
          <w:u w:val="single"/>
        </w:rPr>
      </w:pPr>
      <w:r w:rsidRPr="001527C7">
        <w:rPr>
          <w:u w:val="single"/>
        </w:rPr>
        <w:tab/>
      </w:r>
      <w:r w:rsidRPr="001527C7">
        <w:rPr>
          <w:u w:val="single"/>
        </w:rPr>
        <w:tab/>
      </w:r>
      <w:r w:rsidRPr="001527C7">
        <w:rPr>
          <w:u w:val="single"/>
        </w:rPr>
        <w:tab/>
      </w:r>
    </w:p>
    <w:sectPr w:rsidR="00DE2F2A" w:rsidRPr="001527C7" w:rsidSect="00DE2F2A">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A69" w:rsidRDefault="00242A69" w:rsidP="00F95C08">
      <w:pPr>
        <w:spacing w:line="240" w:lineRule="auto"/>
      </w:pPr>
    </w:p>
  </w:endnote>
  <w:endnote w:type="continuationSeparator" w:id="0">
    <w:p w:rsidR="00242A69" w:rsidRPr="00AC3823" w:rsidRDefault="00242A69" w:rsidP="00AC3823">
      <w:pPr>
        <w:pStyle w:val="Footer"/>
      </w:pPr>
    </w:p>
  </w:endnote>
  <w:endnote w:type="continuationNotice" w:id="1">
    <w:p w:rsidR="00242A69" w:rsidRDefault="00242A6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F2A" w:rsidRPr="00DE2F2A" w:rsidRDefault="00DE2F2A" w:rsidP="00DE2F2A">
    <w:pPr>
      <w:pStyle w:val="Footer"/>
      <w:tabs>
        <w:tab w:val="right" w:pos="9638"/>
      </w:tabs>
    </w:pPr>
    <w:r w:rsidRPr="00DE2F2A">
      <w:rPr>
        <w:b/>
        <w:sz w:val="18"/>
      </w:rPr>
      <w:fldChar w:fldCharType="begin"/>
    </w:r>
    <w:r w:rsidRPr="00DE2F2A">
      <w:rPr>
        <w:b/>
        <w:sz w:val="18"/>
      </w:rPr>
      <w:instrText xml:space="preserve"> PAGE  \* MERGEFORMAT </w:instrText>
    </w:r>
    <w:r w:rsidRPr="00DE2F2A">
      <w:rPr>
        <w:b/>
        <w:sz w:val="18"/>
      </w:rPr>
      <w:fldChar w:fldCharType="separate"/>
    </w:r>
    <w:r w:rsidR="002A79FD">
      <w:rPr>
        <w:b/>
        <w:noProof/>
        <w:sz w:val="18"/>
      </w:rPr>
      <w:t>4</w:t>
    </w:r>
    <w:r w:rsidRPr="00DE2F2A">
      <w:rPr>
        <w:b/>
        <w:sz w:val="18"/>
      </w:rPr>
      <w:fldChar w:fldCharType="end"/>
    </w:r>
    <w:r>
      <w:rPr>
        <w:b/>
        <w:sz w:val="18"/>
      </w:rPr>
      <w:tab/>
    </w:r>
    <w:r>
      <w:t>GE.16-15197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F2A" w:rsidRPr="00DE2F2A" w:rsidRDefault="00DE2F2A" w:rsidP="00DE2F2A">
    <w:pPr>
      <w:pStyle w:val="Footer"/>
      <w:tabs>
        <w:tab w:val="right" w:pos="9638"/>
      </w:tabs>
      <w:rPr>
        <w:b/>
        <w:sz w:val="18"/>
      </w:rPr>
    </w:pPr>
    <w:r>
      <w:t>GE.16-15197</w:t>
    </w:r>
    <w:r>
      <w:tab/>
    </w:r>
    <w:r w:rsidRPr="00DE2F2A">
      <w:rPr>
        <w:b/>
        <w:sz w:val="18"/>
      </w:rPr>
      <w:fldChar w:fldCharType="begin"/>
    </w:r>
    <w:r w:rsidRPr="00DE2F2A">
      <w:rPr>
        <w:b/>
        <w:sz w:val="18"/>
      </w:rPr>
      <w:instrText xml:space="preserve"> PAGE  \* MERGEFORMAT </w:instrText>
    </w:r>
    <w:r w:rsidRPr="00DE2F2A">
      <w:rPr>
        <w:b/>
        <w:sz w:val="18"/>
      </w:rPr>
      <w:fldChar w:fldCharType="separate"/>
    </w:r>
    <w:r w:rsidR="002A79FD">
      <w:rPr>
        <w:b/>
        <w:noProof/>
        <w:sz w:val="18"/>
      </w:rPr>
      <w:t>5</w:t>
    </w:r>
    <w:r w:rsidRPr="00DE2F2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56F" w:rsidRPr="00DE2F2A" w:rsidRDefault="00DE2F2A" w:rsidP="00DE2F2A">
    <w:pPr>
      <w:pStyle w:val="Footer"/>
      <w:spacing w:before="120"/>
      <w:rPr>
        <w:sz w:val="20"/>
      </w:rPr>
    </w:pPr>
    <w:r>
      <w:rPr>
        <w:sz w:val="20"/>
      </w:rPr>
      <w:t>GE.</w:t>
    </w:r>
    <w:r w:rsidR="0068456F">
      <w:rPr>
        <w:noProof/>
        <w:lang w:val="en-GB" w:eastAsia="en-GB"/>
      </w:rPr>
      <w:drawing>
        <wp:anchor distT="0" distB="0" distL="114300" distR="114300" simplePos="0" relativeHeight="251659264" behindDoc="0" locked="0" layoutInCell="1" allowOverlap="0" wp14:anchorId="43852772" wp14:editId="664710CF">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16-15197</w:t>
    </w:r>
    <w:r w:rsidR="006F453A">
      <w:rPr>
        <w:sz w:val="20"/>
      </w:rPr>
      <w:t xml:space="preserve">  </w:t>
    </w:r>
    <w:r>
      <w:rPr>
        <w:sz w:val="20"/>
      </w:rPr>
      <w:t>(F)</w:t>
    </w:r>
    <w:r w:rsidR="006F453A">
      <w:rPr>
        <w:sz w:val="20"/>
      </w:rPr>
      <w:t xml:space="preserve">    041016    121016</w:t>
    </w:r>
    <w:r>
      <w:rPr>
        <w:sz w:val="20"/>
      </w:rPr>
      <w:br/>
    </w:r>
    <w:r w:rsidRPr="00DE2F2A">
      <w:rPr>
        <w:rFonts w:ascii="C39T30Lfz" w:hAnsi="C39T30Lfz"/>
        <w:sz w:val="56"/>
      </w:rPr>
      <w:t></w:t>
    </w:r>
    <w:r w:rsidRPr="00DE2F2A">
      <w:rPr>
        <w:rFonts w:ascii="C39T30Lfz" w:hAnsi="C39T30Lfz"/>
        <w:sz w:val="56"/>
      </w:rPr>
      <w:t></w:t>
    </w:r>
    <w:r w:rsidRPr="00DE2F2A">
      <w:rPr>
        <w:rFonts w:ascii="C39T30Lfz" w:hAnsi="C39T30Lfz"/>
        <w:sz w:val="56"/>
      </w:rPr>
      <w:t></w:t>
    </w:r>
    <w:r w:rsidRPr="00DE2F2A">
      <w:rPr>
        <w:rFonts w:ascii="C39T30Lfz" w:hAnsi="C39T30Lfz"/>
        <w:sz w:val="56"/>
      </w:rPr>
      <w:t></w:t>
    </w:r>
    <w:r w:rsidRPr="00DE2F2A">
      <w:rPr>
        <w:rFonts w:ascii="C39T30Lfz" w:hAnsi="C39T30Lfz"/>
        <w:sz w:val="56"/>
      </w:rPr>
      <w:t></w:t>
    </w:r>
    <w:r w:rsidRPr="00DE2F2A">
      <w:rPr>
        <w:rFonts w:ascii="C39T30Lfz" w:hAnsi="C39T30Lfz"/>
        <w:sz w:val="56"/>
      </w:rPr>
      <w:t></w:t>
    </w:r>
    <w:r w:rsidRPr="00DE2F2A">
      <w:rPr>
        <w:rFonts w:ascii="C39T30Lfz" w:hAnsi="C39T30Lfz"/>
        <w:sz w:val="56"/>
      </w:rPr>
      <w:t></w:t>
    </w:r>
    <w:r w:rsidRPr="00DE2F2A">
      <w:rPr>
        <w:rFonts w:ascii="C39T30Lfz" w:hAnsi="C39T30Lfz"/>
        <w:sz w:val="56"/>
      </w:rPr>
      <w:t></w:t>
    </w:r>
    <w:r w:rsidRPr="00DE2F2A">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ST/SG/AC.10/C.3/2016/6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ST/SG/AC.10/C.3/2016/6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A69" w:rsidRPr="00AC3823" w:rsidRDefault="00242A69" w:rsidP="00AC3823">
      <w:pPr>
        <w:pStyle w:val="Footer"/>
        <w:tabs>
          <w:tab w:val="right" w:pos="2155"/>
        </w:tabs>
        <w:spacing w:after="80" w:line="240" w:lineRule="atLeast"/>
        <w:ind w:left="680"/>
        <w:rPr>
          <w:u w:val="single"/>
        </w:rPr>
      </w:pPr>
      <w:r>
        <w:rPr>
          <w:u w:val="single"/>
        </w:rPr>
        <w:tab/>
      </w:r>
    </w:p>
  </w:footnote>
  <w:footnote w:type="continuationSeparator" w:id="0">
    <w:p w:rsidR="00242A69" w:rsidRPr="00AC3823" w:rsidRDefault="00242A69" w:rsidP="00AC3823">
      <w:pPr>
        <w:pStyle w:val="Footer"/>
        <w:tabs>
          <w:tab w:val="right" w:pos="2155"/>
        </w:tabs>
        <w:spacing w:after="80" w:line="240" w:lineRule="atLeast"/>
        <w:ind w:left="680"/>
        <w:rPr>
          <w:u w:val="single"/>
        </w:rPr>
      </w:pPr>
      <w:r>
        <w:rPr>
          <w:u w:val="single"/>
        </w:rPr>
        <w:tab/>
      </w:r>
    </w:p>
  </w:footnote>
  <w:footnote w:type="continuationNotice" w:id="1">
    <w:p w:rsidR="00242A69" w:rsidRPr="00AC3823" w:rsidRDefault="00242A69">
      <w:pPr>
        <w:spacing w:line="240" w:lineRule="auto"/>
        <w:rPr>
          <w:sz w:val="2"/>
          <w:szCs w:val="2"/>
        </w:rPr>
      </w:pPr>
    </w:p>
  </w:footnote>
  <w:footnote w:id="2">
    <w:p w:rsidR="00DE2F2A" w:rsidRPr="004E40D3" w:rsidRDefault="006F453A" w:rsidP="006F453A">
      <w:pPr>
        <w:pStyle w:val="FootnoteText"/>
      </w:pPr>
      <w:r>
        <w:tab/>
      </w:r>
      <w:r w:rsidR="00DE2F2A" w:rsidRPr="00852311">
        <w:rPr>
          <w:rStyle w:val="FootnoteReference"/>
        </w:rPr>
        <w:footnoteRef/>
      </w:r>
      <w:r w:rsidR="00DE2F2A">
        <w:tab/>
        <w:t>Conformément au programme de travail du Sous-Comité pour la période 2015-2016 tel qu’approuvé par le Comité à sa septième session (voir ST/SG/AC.10/C.3/92, p</w:t>
      </w:r>
      <w:r>
        <w:t>ar. 95, et ST/SG/AC.10/42, par. </w:t>
      </w:r>
      <w:r w:rsidR="00DE2F2A">
        <w:t>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F2A" w:rsidRPr="00DE2F2A" w:rsidRDefault="00DE2F2A">
    <w:pPr>
      <w:pStyle w:val="Header"/>
    </w:pPr>
    <w:r>
      <w:t>ST/SG/AC.10/C.3/2016/65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F2A" w:rsidRPr="00DE2F2A" w:rsidRDefault="00DE2F2A" w:rsidP="00DE2F2A">
    <w:pPr>
      <w:pStyle w:val="Header"/>
      <w:jc w:val="right"/>
    </w:pPr>
    <w:r>
      <w:t>ST/SG/AC.10/C.3/2016/65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A69"/>
    <w:rsid w:val="00017F94"/>
    <w:rsid w:val="00023842"/>
    <w:rsid w:val="000305D3"/>
    <w:rsid w:val="000334F9"/>
    <w:rsid w:val="0007796D"/>
    <w:rsid w:val="000B7790"/>
    <w:rsid w:val="00111F2F"/>
    <w:rsid w:val="00132EA9"/>
    <w:rsid w:val="0014365E"/>
    <w:rsid w:val="001527C7"/>
    <w:rsid w:val="00176178"/>
    <w:rsid w:val="001F525A"/>
    <w:rsid w:val="00223272"/>
    <w:rsid w:val="00242A69"/>
    <w:rsid w:val="0024779E"/>
    <w:rsid w:val="00283190"/>
    <w:rsid w:val="002832AC"/>
    <w:rsid w:val="002A79FD"/>
    <w:rsid w:val="002D7C93"/>
    <w:rsid w:val="00302214"/>
    <w:rsid w:val="00441C3B"/>
    <w:rsid w:val="00446FE5"/>
    <w:rsid w:val="00452396"/>
    <w:rsid w:val="004E468C"/>
    <w:rsid w:val="005505B7"/>
    <w:rsid w:val="00573BE5"/>
    <w:rsid w:val="00586ED3"/>
    <w:rsid w:val="00596AA9"/>
    <w:rsid w:val="00622655"/>
    <w:rsid w:val="0068456F"/>
    <w:rsid w:val="006F453A"/>
    <w:rsid w:val="0071601D"/>
    <w:rsid w:val="007A62E6"/>
    <w:rsid w:val="0080684C"/>
    <w:rsid w:val="00871C75"/>
    <w:rsid w:val="008776DC"/>
    <w:rsid w:val="009705C8"/>
    <w:rsid w:val="009C1CF4"/>
    <w:rsid w:val="00A30353"/>
    <w:rsid w:val="00A50F74"/>
    <w:rsid w:val="00AC3823"/>
    <w:rsid w:val="00AE323C"/>
    <w:rsid w:val="00B00181"/>
    <w:rsid w:val="00B00B0D"/>
    <w:rsid w:val="00B06BAE"/>
    <w:rsid w:val="00B765F7"/>
    <w:rsid w:val="00BA0CA9"/>
    <w:rsid w:val="00BB2F9E"/>
    <w:rsid w:val="00C02897"/>
    <w:rsid w:val="00D3439C"/>
    <w:rsid w:val="00D8229E"/>
    <w:rsid w:val="00DB1831"/>
    <w:rsid w:val="00DD3BFD"/>
    <w:rsid w:val="00DE2F2A"/>
    <w:rsid w:val="00DF6678"/>
    <w:rsid w:val="00EF2E22"/>
    <w:rsid w:val="00F440D2"/>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ChGChar">
    <w:name w:val="_ H _Ch_G Char"/>
    <w:link w:val="HChG"/>
    <w:rsid w:val="00DE2F2A"/>
    <w:rPr>
      <w:rFonts w:ascii="Times New Roman" w:hAnsi="Times New Roman" w:cs="Times New Roman"/>
      <w:b/>
      <w:sz w:val="28"/>
      <w:szCs w:val="20"/>
      <w:lang w:eastAsia="en-US"/>
    </w:rPr>
  </w:style>
  <w:style w:type="character" w:customStyle="1" w:styleId="H1GChar">
    <w:name w:val="_ H_1_G Char"/>
    <w:link w:val="H1G"/>
    <w:rsid w:val="00DE2F2A"/>
    <w:rPr>
      <w:rFonts w:ascii="Times New Roman" w:hAnsi="Times New Roman" w:cs="Times New Roman"/>
      <w:b/>
      <w:sz w:val="24"/>
      <w:szCs w:val="20"/>
      <w:lang w:eastAsia="en-US"/>
    </w:rPr>
  </w:style>
  <w:style w:type="character" w:customStyle="1" w:styleId="SingleTxtGChar">
    <w:name w:val="_ Single Txt_G Char"/>
    <w:link w:val="SingleTxtG"/>
    <w:rsid w:val="00DE2F2A"/>
    <w:rPr>
      <w:rFonts w:ascii="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ChGChar">
    <w:name w:val="_ H _Ch_G Char"/>
    <w:link w:val="HChG"/>
    <w:rsid w:val="00DE2F2A"/>
    <w:rPr>
      <w:rFonts w:ascii="Times New Roman" w:hAnsi="Times New Roman" w:cs="Times New Roman"/>
      <w:b/>
      <w:sz w:val="28"/>
      <w:szCs w:val="20"/>
      <w:lang w:eastAsia="en-US"/>
    </w:rPr>
  </w:style>
  <w:style w:type="character" w:customStyle="1" w:styleId="H1GChar">
    <w:name w:val="_ H_1_G Char"/>
    <w:link w:val="H1G"/>
    <w:rsid w:val="00DE2F2A"/>
    <w:rPr>
      <w:rFonts w:ascii="Times New Roman" w:hAnsi="Times New Roman" w:cs="Times New Roman"/>
      <w:b/>
      <w:sz w:val="24"/>
      <w:szCs w:val="20"/>
      <w:lang w:eastAsia="en-US"/>
    </w:rPr>
  </w:style>
  <w:style w:type="character" w:customStyle="1" w:styleId="SingleTxtGChar">
    <w:name w:val="_ Single Txt_G Char"/>
    <w:link w:val="SingleTxtG"/>
    <w:rsid w:val="00DE2F2A"/>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1427</Words>
  <Characters>8137</Characters>
  <Application>Microsoft Office Word</Application>
  <DocSecurity>0</DocSecurity>
  <Lines>67</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ST/SG/AC.10/C.3/2016/65</vt:lpstr>
      <vt:lpstr>ST/SG/AC.10/C.3/2016/65</vt:lpstr>
    </vt:vector>
  </TitlesOfParts>
  <Company>DCM</Company>
  <LinksUpToDate>false</LinksUpToDate>
  <CharactersWithSpaces>9545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ST/SG/AC.10/C.3/2016/65</dc:title>
  <dc:creator>Morin</dc:creator>
  <cp:lastModifiedBy>Laurence Berthet</cp:lastModifiedBy>
  <cp:revision>2</cp:revision>
  <cp:lastPrinted>2016-10-13T08:57:00Z</cp:lastPrinted>
  <dcterms:created xsi:type="dcterms:W3CDTF">2016-10-13T08:57:00Z</dcterms:created>
  <dcterms:modified xsi:type="dcterms:W3CDTF">2016-10-13T08:57:00Z</dcterms:modified>
</cp:coreProperties>
</file>