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DE032C">
        <w:trPr>
          <w:trHeight w:val="851"/>
        </w:trPr>
        <w:tc>
          <w:tcPr>
            <w:tcW w:w="1259" w:type="dxa"/>
            <w:tcBorders>
              <w:top w:val="nil"/>
              <w:left w:val="nil"/>
              <w:bottom w:val="single" w:sz="4" w:space="0" w:color="auto"/>
              <w:right w:val="nil"/>
            </w:tcBorders>
            <w:shd w:val="clear" w:color="auto" w:fill="auto"/>
          </w:tcPr>
          <w:p w:rsidR="00446DE4" w:rsidRPr="006500BA" w:rsidRDefault="00446DE4" w:rsidP="00DE032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DE032C" w:rsidRDefault="00B3317B" w:rsidP="00DE032C">
            <w:pPr>
              <w:spacing w:after="80" w:line="340" w:lineRule="exact"/>
              <w:rPr>
                <w:sz w:val="28"/>
                <w:szCs w:val="28"/>
              </w:rPr>
            </w:pPr>
            <w:r w:rsidRPr="00DE032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01DF1" w:rsidRPr="006500BA" w:rsidRDefault="00601DF1" w:rsidP="00E03050">
            <w:pPr>
              <w:jc w:val="right"/>
            </w:pPr>
            <w:r w:rsidRPr="00DE032C">
              <w:rPr>
                <w:sz w:val="40"/>
              </w:rPr>
              <w:t>ST</w:t>
            </w:r>
            <w:r>
              <w:t>/SG/AC.10/C.3/2016/</w:t>
            </w:r>
            <w:r w:rsidR="00E03050">
              <w:t>62</w:t>
            </w:r>
            <w:r>
              <w:t>−</w:t>
            </w:r>
            <w:r w:rsidRPr="00DE032C">
              <w:rPr>
                <w:sz w:val="40"/>
              </w:rPr>
              <w:t>ST</w:t>
            </w:r>
            <w:r>
              <w:t>/SG/AC.10/C.4/2016/</w:t>
            </w:r>
            <w:r w:rsidR="00E03050">
              <w:t>13</w:t>
            </w:r>
          </w:p>
        </w:tc>
      </w:tr>
      <w:tr w:rsidR="003107FA" w:rsidRPr="006500BA" w:rsidTr="00DE032C">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5641FC" w:rsidP="00DE032C">
            <w:pPr>
              <w:spacing w:before="120"/>
              <w:jc w:val="center"/>
            </w:pPr>
            <w:r>
              <w:rPr>
                <w:noProof/>
                <w:lang w:eastAsia="en-GB"/>
              </w:rPr>
              <w:drawing>
                <wp:inline distT="0" distB="0" distL="0" distR="0">
                  <wp:extent cx="712470" cy="598170"/>
                  <wp:effectExtent l="0" t="0" r="0" b="0"/>
                  <wp:docPr id="10"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817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443C10" w:rsidRDefault="00D96CC5" w:rsidP="00DE032C">
            <w:pPr>
              <w:spacing w:before="120" w:line="420" w:lineRule="exact"/>
              <w:rPr>
                <w:b/>
                <w:sz w:val="40"/>
                <w:szCs w:val="40"/>
              </w:rPr>
            </w:pPr>
            <w:r w:rsidRPr="00443C10">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Pr="00443C10" w:rsidRDefault="00601DF1" w:rsidP="00DE032C">
            <w:pPr>
              <w:spacing w:before="240" w:line="240" w:lineRule="exact"/>
            </w:pPr>
            <w:r w:rsidRPr="00443C10">
              <w:t>Distr.: General</w:t>
            </w:r>
          </w:p>
          <w:p w:rsidR="00601DF1" w:rsidRPr="00443C10" w:rsidRDefault="00A17883" w:rsidP="00DE032C">
            <w:pPr>
              <w:spacing w:line="240" w:lineRule="exact"/>
            </w:pPr>
            <w:r>
              <w:t>6</w:t>
            </w:r>
            <w:r w:rsidR="00F46502">
              <w:t xml:space="preserve"> September</w:t>
            </w:r>
            <w:r w:rsidR="00601DF1" w:rsidRPr="00443C10">
              <w:t xml:space="preserve"> 2016</w:t>
            </w:r>
          </w:p>
          <w:p w:rsidR="00601DF1" w:rsidRPr="00443C10" w:rsidRDefault="00601DF1" w:rsidP="00DE032C">
            <w:pPr>
              <w:spacing w:line="240" w:lineRule="exact"/>
            </w:pPr>
          </w:p>
          <w:p w:rsidR="00601DF1" w:rsidRPr="00443C10" w:rsidRDefault="00601DF1" w:rsidP="00DE032C">
            <w:pPr>
              <w:spacing w:line="240" w:lineRule="exact"/>
            </w:pPr>
            <w:r w:rsidRPr="00443C10">
              <w:t>Original: English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D46231" w:rsidTr="00DE032C">
        <w:tc>
          <w:tcPr>
            <w:tcW w:w="4593" w:type="dxa"/>
            <w:shd w:val="clear" w:color="auto" w:fill="auto"/>
          </w:tcPr>
          <w:p w:rsidR="00D46231" w:rsidRPr="00DE032C" w:rsidRDefault="00D46231" w:rsidP="00DE032C">
            <w:pPr>
              <w:spacing w:before="120"/>
              <w:rPr>
                <w:b/>
              </w:rPr>
            </w:pPr>
            <w:r w:rsidRPr="00DE032C">
              <w:rPr>
                <w:b/>
              </w:rPr>
              <w:t xml:space="preserve">Sub-Committee of Experts on the Transport </w:t>
            </w:r>
            <w:r w:rsidRPr="00DE032C">
              <w:rPr>
                <w:b/>
              </w:rPr>
              <w:br/>
              <w:t xml:space="preserve">of Dangerous Goods </w:t>
            </w:r>
          </w:p>
        </w:tc>
        <w:tc>
          <w:tcPr>
            <w:tcW w:w="5046" w:type="dxa"/>
            <w:shd w:val="clear" w:color="auto" w:fill="auto"/>
          </w:tcPr>
          <w:p w:rsidR="00D46231" w:rsidRPr="00DE032C" w:rsidRDefault="00D46231" w:rsidP="005023AA">
            <w:pPr>
              <w:spacing w:before="120" w:after="120"/>
              <w:ind w:left="85"/>
              <w:rPr>
                <w:b/>
              </w:rPr>
            </w:pPr>
            <w:r w:rsidRPr="00DE032C">
              <w:rPr>
                <w:b/>
              </w:rPr>
              <w:t>Sub-Committee of Experts on the Globally Harmonized System of Classification and</w:t>
            </w:r>
            <w:r w:rsidR="00E1679E" w:rsidRPr="00DE032C">
              <w:rPr>
                <w:b/>
              </w:rPr>
              <w:t xml:space="preserve"> </w:t>
            </w:r>
            <w:r w:rsidRPr="00DE032C">
              <w:rPr>
                <w:b/>
              </w:rPr>
              <w:t xml:space="preserve">Labelling of Chemicals </w:t>
            </w:r>
          </w:p>
        </w:tc>
      </w:tr>
      <w:tr w:rsidR="00D46231" w:rsidTr="00DE032C">
        <w:tc>
          <w:tcPr>
            <w:tcW w:w="4593" w:type="dxa"/>
            <w:shd w:val="clear" w:color="auto" w:fill="auto"/>
          </w:tcPr>
          <w:p w:rsidR="00D46231" w:rsidRPr="00DE032C" w:rsidRDefault="00DE032C" w:rsidP="007213B8">
            <w:pPr>
              <w:rPr>
                <w:b/>
              </w:rPr>
            </w:pPr>
            <w:r w:rsidRPr="00DE032C">
              <w:rPr>
                <w:b/>
              </w:rPr>
              <w:t>F</w:t>
            </w:r>
            <w:r w:rsidR="007213B8">
              <w:rPr>
                <w:b/>
              </w:rPr>
              <w:t>iftieth</w:t>
            </w:r>
            <w:r w:rsidRPr="00DE032C">
              <w:rPr>
                <w:b/>
              </w:rPr>
              <w:t xml:space="preserve"> session</w:t>
            </w:r>
          </w:p>
        </w:tc>
        <w:tc>
          <w:tcPr>
            <w:tcW w:w="5046" w:type="dxa"/>
            <w:shd w:val="clear" w:color="auto" w:fill="auto"/>
          </w:tcPr>
          <w:p w:rsidR="00D46231" w:rsidRPr="00DE032C" w:rsidRDefault="00DE032C" w:rsidP="00F92952">
            <w:pPr>
              <w:ind w:left="85"/>
              <w:rPr>
                <w:b/>
              </w:rPr>
            </w:pPr>
            <w:r w:rsidRPr="00DE032C">
              <w:rPr>
                <w:b/>
              </w:rPr>
              <w:t>Thirty-</w:t>
            </w:r>
            <w:r w:rsidR="00F92952">
              <w:rPr>
                <w:b/>
              </w:rPr>
              <w:t>second</w:t>
            </w:r>
            <w:r w:rsidRPr="00DE032C">
              <w:rPr>
                <w:b/>
              </w:rPr>
              <w:t xml:space="preserve"> session</w:t>
            </w:r>
          </w:p>
        </w:tc>
      </w:tr>
      <w:tr w:rsidR="00D46231" w:rsidTr="00DE032C">
        <w:tc>
          <w:tcPr>
            <w:tcW w:w="4593" w:type="dxa"/>
            <w:shd w:val="clear" w:color="auto" w:fill="auto"/>
          </w:tcPr>
          <w:p w:rsidR="00DE032C" w:rsidRPr="00A718CC" w:rsidRDefault="00DE032C" w:rsidP="00DE032C">
            <w:pPr>
              <w:spacing w:before="60"/>
              <w:rPr>
                <w:sz w:val="19"/>
                <w:szCs w:val="19"/>
                <w:lang w:val="en-US"/>
              </w:rPr>
            </w:pPr>
            <w:r w:rsidRPr="00A718CC">
              <w:rPr>
                <w:sz w:val="19"/>
                <w:szCs w:val="19"/>
                <w:lang w:val="en-US"/>
              </w:rPr>
              <w:t>Geneva, 2</w:t>
            </w:r>
            <w:r w:rsidR="00966F1A">
              <w:rPr>
                <w:sz w:val="19"/>
                <w:szCs w:val="19"/>
                <w:lang w:val="en-US"/>
              </w:rPr>
              <w:t>8 November-</w:t>
            </w:r>
            <w:r w:rsidRPr="00A718CC">
              <w:rPr>
                <w:sz w:val="19"/>
                <w:szCs w:val="19"/>
                <w:lang w:val="en-US"/>
              </w:rPr>
              <w:t xml:space="preserve">6 </w:t>
            </w:r>
            <w:r w:rsidR="00CE1F29">
              <w:rPr>
                <w:sz w:val="19"/>
                <w:szCs w:val="19"/>
                <w:lang w:val="en-US"/>
              </w:rPr>
              <w:t xml:space="preserve">December </w:t>
            </w:r>
            <w:r w:rsidRPr="00A718CC">
              <w:rPr>
                <w:sz w:val="19"/>
                <w:szCs w:val="19"/>
                <w:lang w:val="en-US"/>
              </w:rPr>
              <w:t>2016</w:t>
            </w:r>
          </w:p>
          <w:p w:rsidR="00DE032C" w:rsidRPr="00A718CC" w:rsidRDefault="00DE032C" w:rsidP="00DE032C">
            <w:r w:rsidRPr="00A718CC">
              <w:t xml:space="preserve">Item </w:t>
            </w:r>
            <w:r w:rsidR="00CE1F29">
              <w:t>7</w:t>
            </w:r>
            <w:r w:rsidRPr="00A718CC">
              <w:t xml:space="preserve"> </w:t>
            </w:r>
            <w:r w:rsidR="0094580E">
              <w:t xml:space="preserve">(i) </w:t>
            </w:r>
            <w:r w:rsidRPr="00A718CC">
              <w:t>of the provisional agenda</w:t>
            </w:r>
          </w:p>
          <w:p w:rsidR="00D46231" w:rsidRPr="00DE032C" w:rsidRDefault="00CE1F29" w:rsidP="0094580E">
            <w:pPr>
              <w:spacing w:after="120"/>
              <w:rPr>
                <w:b/>
                <w:highlight w:val="yellow"/>
              </w:rPr>
            </w:pPr>
            <w:r w:rsidRPr="00CE1F29">
              <w:rPr>
                <w:b/>
              </w:rPr>
              <w:t>Issues relating to the Globally Harmonized System of Classification and Labelling of Chemicals</w:t>
            </w:r>
            <w:r w:rsidR="00F46502">
              <w:rPr>
                <w:b/>
              </w:rPr>
              <w:t xml:space="preserve">: </w:t>
            </w:r>
            <w:r w:rsidR="0094580E">
              <w:rPr>
                <w:b/>
              </w:rPr>
              <w:t>m</w:t>
            </w:r>
            <w:r w:rsidR="0094580E" w:rsidRPr="0094580E">
              <w:rPr>
                <w:b/>
              </w:rPr>
              <w:t>iscellaneous</w:t>
            </w:r>
          </w:p>
        </w:tc>
        <w:tc>
          <w:tcPr>
            <w:tcW w:w="5046" w:type="dxa"/>
            <w:shd w:val="clear" w:color="auto" w:fill="auto"/>
          </w:tcPr>
          <w:p w:rsidR="00DE032C" w:rsidRPr="00A718CC" w:rsidRDefault="00DE032C" w:rsidP="00A718CC">
            <w:pPr>
              <w:spacing w:before="60"/>
              <w:ind w:left="85"/>
            </w:pPr>
            <w:r w:rsidRPr="00A718CC">
              <w:t xml:space="preserve">Geneva, </w:t>
            </w:r>
            <w:r w:rsidR="00CE1F29">
              <w:t>7</w:t>
            </w:r>
            <w:r w:rsidR="00966F1A">
              <w:t>-</w:t>
            </w:r>
            <w:r w:rsidR="00CE1F29">
              <w:t>9</w:t>
            </w:r>
            <w:r w:rsidRPr="00A718CC">
              <w:t xml:space="preserve"> </w:t>
            </w:r>
            <w:r w:rsidR="00CE1F29">
              <w:t>December</w:t>
            </w:r>
            <w:r w:rsidRPr="00A718CC">
              <w:t xml:space="preserve"> 2016</w:t>
            </w:r>
          </w:p>
          <w:p w:rsidR="00D46231" w:rsidRPr="00DE032C" w:rsidRDefault="00DE032C" w:rsidP="0094580E">
            <w:pPr>
              <w:ind w:left="85"/>
              <w:rPr>
                <w:b/>
              </w:rPr>
            </w:pPr>
            <w:r w:rsidRPr="00A718CC">
              <w:t xml:space="preserve">Item </w:t>
            </w:r>
            <w:r w:rsidR="00A718CC" w:rsidRPr="00A718CC">
              <w:t>2</w:t>
            </w:r>
            <w:r w:rsidRPr="00A718CC">
              <w:t xml:space="preserve"> </w:t>
            </w:r>
            <w:r w:rsidR="0094580E">
              <w:t xml:space="preserve">(b) </w:t>
            </w:r>
            <w:r w:rsidRPr="00A718CC">
              <w:t>of the provisional agenda</w:t>
            </w:r>
            <w:r w:rsidRPr="00A718CC">
              <w:br/>
            </w:r>
            <w:r w:rsidR="00CE1F29" w:rsidRPr="00CE1F29">
              <w:rPr>
                <w:b/>
              </w:rPr>
              <w:t>Classification criteria and related hazard communication</w:t>
            </w:r>
            <w:r w:rsidR="0094580E">
              <w:rPr>
                <w:b/>
              </w:rPr>
              <w:t xml:space="preserve">: </w:t>
            </w:r>
            <w:r w:rsidR="0094580E" w:rsidRPr="0094580E">
              <w:rPr>
                <w:b/>
              </w:rPr>
              <w:t>work of the TDG Sub-Committee on matters of interest to the GHS Sub-Committee</w:t>
            </w:r>
          </w:p>
        </w:tc>
      </w:tr>
    </w:tbl>
    <w:p w:rsidR="00DE032C" w:rsidRPr="000B11A8" w:rsidRDefault="00DE032C" w:rsidP="00F46502">
      <w:pPr>
        <w:pStyle w:val="HChG"/>
      </w:pPr>
      <w:r>
        <w:tab/>
      </w:r>
      <w:r>
        <w:tab/>
      </w:r>
      <w:r w:rsidR="00CE1F29">
        <w:t>C</w:t>
      </w:r>
      <w:r w:rsidR="00125843">
        <w:t>orrections to the classification of flammable liquids</w:t>
      </w:r>
    </w:p>
    <w:p w:rsidR="00DE032C" w:rsidRPr="00B632F5" w:rsidRDefault="00DE032C" w:rsidP="00F46502">
      <w:pPr>
        <w:pStyle w:val="H1G"/>
      </w:pPr>
      <w:r>
        <w:tab/>
      </w:r>
      <w:r>
        <w:tab/>
      </w:r>
      <w:r w:rsidRPr="00B632F5">
        <w:t xml:space="preserve">Transmitted by the expert from </w:t>
      </w:r>
      <w:r w:rsidRPr="001D6E2D">
        <w:t>Germany</w:t>
      </w:r>
      <w:r w:rsidR="00FA3CD2">
        <w:rPr>
          <w:rStyle w:val="FootnoteReference"/>
        </w:rPr>
        <w:footnoteReference w:id="2"/>
      </w:r>
    </w:p>
    <w:p w:rsidR="00125843" w:rsidRDefault="00DE032C" w:rsidP="00DE032C">
      <w:pPr>
        <w:pStyle w:val="SingleTxtG"/>
      </w:pPr>
      <w:r>
        <w:t>1.</w:t>
      </w:r>
      <w:r>
        <w:tab/>
      </w:r>
      <w:r w:rsidR="00C059DA">
        <w:t>In the course of</w:t>
      </w:r>
      <w:r w:rsidR="00125843">
        <w:t xml:space="preserve"> going through the </w:t>
      </w:r>
      <w:r w:rsidR="00A33771">
        <w:t xml:space="preserve">revision of </w:t>
      </w:r>
      <w:r w:rsidR="00272D83">
        <w:t xml:space="preserve">the </w:t>
      </w:r>
      <w:r w:rsidR="00125843">
        <w:t xml:space="preserve">Manual of Tests and Criteria </w:t>
      </w:r>
      <w:r w:rsidR="00A33771">
        <w:t xml:space="preserve">for taking into account the GHS, </w:t>
      </w:r>
      <w:r w:rsidR="00125843">
        <w:t xml:space="preserve">as proposed </w:t>
      </w:r>
      <w:r w:rsidR="00AF009B">
        <w:t xml:space="preserve">in </w:t>
      </w:r>
      <w:r w:rsidR="00F46502">
        <w:t xml:space="preserve">informal documents </w:t>
      </w:r>
      <w:r w:rsidR="00AF009B" w:rsidRPr="00AF009B">
        <w:t xml:space="preserve">INF.3 </w:t>
      </w:r>
      <w:r w:rsidR="00F46502">
        <w:t>(GHS</w:t>
      </w:r>
      <w:r w:rsidR="00A17883">
        <w:t>, thirty-first session</w:t>
      </w:r>
      <w:r w:rsidR="00272D83">
        <w:t>),</w:t>
      </w:r>
      <w:r w:rsidR="00F46502">
        <w:t xml:space="preserve"> </w:t>
      </w:r>
      <w:r w:rsidR="00AF009B" w:rsidRPr="00AF009B">
        <w:t xml:space="preserve">INF.4 </w:t>
      </w:r>
      <w:r w:rsidR="00F46502">
        <w:t>(TDG</w:t>
      </w:r>
      <w:r w:rsidR="008C0346">
        <w:t>, forty-ninth session</w:t>
      </w:r>
      <w:r w:rsidR="00272D83">
        <w:t>)</w:t>
      </w:r>
      <w:r w:rsidR="00F46502">
        <w:t xml:space="preserve"> </w:t>
      </w:r>
      <w:r w:rsidR="00AF009B">
        <w:t xml:space="preserve">and </w:t>
      </w:r>
      <w:r w:rsidR="00272D83">
        <w:t>their</w:t>
      </w:r>
      <w:r w:rsidR="00AF009B">
        <w:t xml:space="preserve"> addenda</w:t>
      </w:r>
      <w:r w:rsidR="00272D83">
        <w:t xml:space="preserve"> submitted at the last session </w:t>
      </w:r>
      <w:r w:rsidR="00BE4844">
        <w:t xml:space="preserve">of </w:t>
      </w:r>
      <w:r w:rsidR="00272D83">
        <w:t>both sub-committees</w:t>
      </w:r>
      <w:r w:rsidR="00AF009B">
        <w:t xml:space="preserve">, the </w:t>
      </w:r>
      <w:r w:rsidR="00125843">
        <w:t xml:space="preserve">expert from </w:t>
      </w:r>
      <w:r w:rsidR="00AF009B">
        <w:t>G</w:t>
      </w:r>
      <w:r w:rsidR="00125843">
        <w:t xml:space="preserve">ermany spotted </w:t>
      </w:r>
      <w:r w:rsidR="00AF009B">
        <w:t xml:space="preserve">some inconsistencies which are contained in the GHS and </w:t>
      </w:r>
      <w:r w:rsidR="008A218C">
        <w:t xml:space="preserve">(as advised by the chairman </w:t>
      </w:r>
      <w:r w:rsidR="008A218C" w:rsidRPr="008A218C">
        <w:t>of the Working Group on Explosives</w:t>
      </w:r>
      <w:r w:rsidR="008A218C">
        <w:t xml:space="preserve">) </w:t>
      </w:r>
      <w:r w:rsidR="00AF009B">
        <w:t xml:space="preserve">therefore should be corrected there in the first place. </w:t>
      </w:r>
    </w:p>
    <w:p w:rsidR="00125843" w:rsidRDefault="00125843" w:rsidP="00DE032C">
      <w:pPr>
        <w:pStyle w:val="SingleTxtG"/>
      </w:pPr>
      <w:r>
        <w:t>2</w:t>
      </w:r>
      <w:r w:rsidR="00DE032C">
        <w:t>.</w:t>
      </w:r>
      <w:r w:rsidR="00DE032C">
        <w:tab/>
      </w:r>
      <w:r>
        <w:t xml:space="preserve">In the GHS </w:t>
      </w:r>
      <w:r w:rsidR="00272D83">
        <w:t>paragraph</w:t>
      </w:r>
      <w:r>
        <w:t xml:space="preserve"> 2.6.4.2.2</w:t>
      </w:r>
      <w:r w:rsidR="00272D83">
        <w:t>,</w:t>
      </w:r>
      <w:r>
        <w:t xml:space="preserve"> reference is made to the relevant </w:t>
      </w:r>
      <w:r w:rsidR="00272D83">
        <w:t xml:space="preserve">flashpoint </w:t>
      </w:r>
      <w:r>
        <w:t>classification criteri</w:t>
      </w:r>
      <w:r w:rsidR="00272D83">
        <w:t>a</w:t>
      </w:r>
      <w:r>
        <w:t xml:space="preserve"> </w:t>
      </w:r>
      <w:r w:rsidR="008A218C">
        <w:t xml:space="preserve">for flammable liquids </w:t>
      </w:r>
      <w:r>
        <w:t xml:space="preserve">(23 °C and 60 °C). The </w:t>
      </w:r>
      <w:r w:rsidR="00272D83">
        <w:t>third</w:t>
      </w:r>
      <w:r>
        <w:t xml:space="preserve"> relevant </w:t>
      </w:r>
      <w:r w:rsidR="00272D83">
        <w:t xml:space="preserve">flashpoint </w:t>
      </w:r>
      <w:r>
        <w:t>classification criterion</w:t>
      </w:r>
      <w:r w:rsidR="00AF009B">
        <w:t>,</w:t>
      </w:r>
      <w:r>
        <w:t xml:space="preserve"> which is 93 °C</w:t>
      </w:r>
      <w:r w:rsidR="00AF009B">
        <w:t xml:space="preserve">, </w:t>
      </w:r>
      <w:r>
        <w:t xml:space="preserve">is not named (apparently because this text </w:t>
      </w:r>
      <w:r w:rsidR="00C059DA">
        <w:t xml:space="preserve">once </w:t>
      </w:r>
      <w:r>
        <w:t>was ta</w:t>
      </w:r>
      <w:r w:rsidR="00272D83">
        <w:t xml:space="preserve">ken over from the </w:t>
      </w:r>
      <w:r w:rsidR="00AF009B">
        <w:t>Manual of T</w:t>
      </w:r>
      <w:r>
        <w:t>est</w:t>
      </w:r>
      <w:r w:rsidR="00AF009B">
        <w:t>s</w:t>
      </w:r>
      <w:r>
        <w:t xml:space="preserve"> and Criteria without </w:t>
      </w:r>
      <w:r w:rsidR="00AF009B">
        <w:t xml:space="preserve">having been </w:t>
      </w:r>
      <w:r>
        <w:t xml:space="preserve">adapted in order to take into account also category 4). However, </w:t>
      </w:r>
      <w:r w:rsidR="00AF009B">
        <w:t xml:space="preserve">when </w:t>
      </w:r>
      <w:r w:rsidR="005F6A5A">
        <w:t xml:space="preserve">using </w:t>
      </w:r>
      <w:r w:rsidR="00AF009B">
        <w:t xml:space="preserve">the calculation method, </w:t>
      </w:r>
      <w:r w:rsidR="005F6A5A">
        <w:t>the same principle (i.e. a</w:t>
      </w:r>
      <w:r w:rsidR="00410751">
        <w:t xml:space="preserve"> safety margin of 5 </w:t>
      </w:r>
      <w:r w:rsidR="005F6A5A">
        <w:t>°C) should apply when deciding whether a liquid is classified as category 4 or not classified as flammable</w:t>
      </w:r>
      <w:r w:rsidR="00C059DA">
        <w:t xml:space="preserve"> based on calculation</w:t>
      </w:r>
      <w:r w:rsidR="005F6A5A">
        <w:t xml:space="preserve">. </w:t>
      </w:r>
    </w:p>
    <w:p w:rsidR="005F6A5A" w:rsidRDefault="00AF009B" w:rsidP="00DE032C">
      <w:pPr>
        <w:pStyle w:val="SingleTxtG"/>
      </w:pPr>
      <w:r>
        <w:t>3.</w:t>
      </w:r>
      <w:r>
        <w:tab/>
        <w:t xml:space="preserve">An equivalent inconsistency where </w:t>
      </w:r>
      <w:r w:rsidR="00C059DA">
        <w:t>f</w:t>
      </w:r>
      <w:r>
        <w:t xml:space="preserve">lammable liquids </w:t>
      </w:r>
      <w:r w:rsidR="00C059DA">
        <w:t xml:space="preserve">of category 4 </w:t>
      </w:r>
      <w:r w:rsidR="005F6A5A">
        <w:t>are</w:t>
      </w:r>
      <w:r>
        <w:t xml:space="preserve"> not considered appropriately in the GHS is </w:t>
      </w:r>
      <w:r w:rsidR="005F6A5A">
        <w:t>contained in Note 2 of section 2.6.2. Based on this Note</w:t>
      </w:r>
      <w:r w:rsidR="00C059DA">
        <w:t>,</w:t>
      </w:r>
      <w:r w:rsidR="005F6A5A">
        <w:t xml:space="preserve"> flammable liquids with a flash point above 35 °C and up to 60 °C may be exempted </w:t>
      </w:r>
      <w:r w:rsidR="005F6A5A">
        <w:lastRenderedPageBreak/>
        <w:t xml:space="preserve">based on the sustained combustibility test L.2. </w:t>
      </w:r>
      <w:r w:rsidR="00C059DA">
        <w:t xml:space="preserve">However, before exempting them, they should be "moved </w:t>
      </w:r>
      <w:r w:rsidR="005F6A5A">
        <w:t>one category up"</w:t>
      </w:r>
      <w:r w:rsidR="00C059DA">
        <w:t xml:space="preserve"> for the purposes of the GHS. This of course would mean that they are exempted for </w:t>
      </w:r>
      <w:r w:rsidR="00E8728D">
        <w:t xml:space="preserve">sectors which have not implemented category 4 (e.g. </w:t>
      </w:r>
      <w:r w:rsidR="00C059DA">
        <w:t>transport</w:t>
      </w:r>
      <w:r w:rsidR="00E8728D">
        <w:t>)</w:t>
      </w:r>
      <w:r w:rsidR="00C059DA">
        <w:t xml:space="preserve">. </w:t>
      </w:r>
    </w:p>
    <w:p w:rsidR="00AF009B" w:rsidRDefault="00A87C9C" w:rsidP="00DE032C">
      <w:pPr>
        <w:pStyle w:val="SingleTxtG"/>
      </w:pPr>
      <w:r>
        <w:t>4.</w:t>
      </w:r>
      <w:r>
        <w:tab/>
      </w:r>
      <w:r w:rsidR="005F6A5A">
        <w:t xml:space="preserve">Furthermore, </w:t>
      </w:r>
      <w:r w:rsidR="00C059DA">
        <w:t xml:space="preserve">Note 2 of section 2.6.2 of the GHS applies only to flammable liquids of category 3 (having </w:t>
      </w:r>
      <w:r>
        <w:t>a flash point above 35 °C</w:t>
      </w:r>
      <w:r w:rsidR="00C059DA">
        <w:t>). There is no possibility to exempt flammable liquids of category 4 in a similar way</w:t>
      </w:r>
      <w:r w:rsidR="005F6A5A">
        <w:t xml:space="preserve">, </w:t>
      </w:r>
      <w:r>
        <w:t>although this should apply all the more to flammable liquids with</w:t>
      </w:r>
      <w:r w:rsidR="005F6A5A">
        <w:t xml:space="preserve"> an even higher flash point, i.e. liquids with a flash point above 60 °C. </w:t>
      </w:r>
      <w:r w:rsidR="009047E1">
        <w:t xml:space="preserve">This results also in an inconsistency with regard to the application of </w:t>
      </w:r>
      <w:r w:rsidR="00E8728D">
        <w:t xml:space="preserve">the equivalent </w:t>
      </w:r>
      <w:r w:rsidR="009047E1">
        <w:t xml:space="preserve">footnote 2 in the flow-chart in 2.6.4.1 where footnote </w:t>
      </w:r>
      <w:r w:rsidR="00E8728D">
        <w:t xml:space="preserve">2 </w:t>
      </w:r>
      <w:r w:rsidR="009047E1">
        <w:t xml:space="preserve">is contained in the arrow leading to category 4 although the text of that footnote </w:t>
      </w:r>
      <w:r w:rsidR="00E8728D">
        <w:t xml:space="preserve">actually </w:t>
      </w:r>
      <w:r w:rsidR="009047E1">
        <w:t xml:space="preserve">does not apply to flammable liquids of category 4. </w:t>
      </w:r>
    </w:p>
    <w:p w:rsidR="004F4D0F" w:rsidRDefault="004F4D0F" w:rsidP="00DE032C">
      <w:pPr>
        <w:pStyle w:val="SingleTxtG"/>
      </w:pPr>
      <w:r>
        <w:t>5.</w:t>
      </w:r>
      <w:r>
        <w:tab/>
        <w:t>The test temperatures of test L</w:t>
      </w:r>
      <w:r w:rsidR="00272D83">
        <w:t xml:space="preserve">.2 as currently given in the </w:t>
      </w:r>
      <w:r>
        <w:t>Manual of Tests and Criteria amount to 60.5 °C and 75 °C (see 32.5.2.3.2). They are chosen such that they are applicable to liquids with a flash point up to 60 °C. In order to be a</w:t>
      </w:r>
      <w:r w:rsidR="00374565">
        <w:t>pplicable to flammable liquids o</w:t>
      </w:r>
      <w:r>
        <w:t>f category 4</w:t>
      </w:r>
      <w:r w:rsidR="00C245F9">
        <w:t>,</w:t>
      </w:r>
      <w:r>
        <w:t xml:space="preserve"> equivalently higher test temperatures must be introduced. It </w:t>
      </w:r>
      <w:r w:rsidR="00272D83">
        <w:t xml:space="preserve">is </w:t>
      </w:r>
      <w:r>
        <w:t>therefore proposed to add test temperatures of 93 °C (the respective limiting criterion) and 108 °C</w:t>
      </w:r>
      <w:r w:rsidR="00374565">
        <w:t xml:space="preserve"> which are </w:t>
      </w:r>
      <w:r>
        <w:t>to be applied when subjecting flammable liquids of category 4 to test L.2.</w:t>
      </w:r>
      <w:r w:rsidR="00374565">
        <w:t xml:space="preserve"> </w:t>
      </w:r>
    </w:p>
    <w:p w:rsidR="00C57294" w:rsidRDefault="00C57294" w:rsidP="00C57294">
      <w:pPr>
        <w:pStyle w:val="SingleTxtG"/>
      </w:pPr>
      <w:r>
        <w:t>6.</w:t>
      </w:r>
      <w:r>
        <w:tab/>
      </w:r>
      <w:r w:rsidR="00374565">
        <w:t xml:space="preserve">Proposals to rectify these points are </w:t>
      </w:r>
      <w:r w:rsidR="00272D83">
        <w:t>given in the a</w:t>
      </w:r>
      <w:r w:rsidR="00C245F9">
        <w:t>nnex</w:t>
      </w:r>
      <w:r w:rsidR="009047E1">
        <w:t>es</w:t>
      </w:r>
      <w:r w:rsidR="00C245F9">
        <w:t xml:space="preserve"> to this document</w:t>
      </w:r>
      <w:r w:rsidR="00097C02">
        <w:t>.</w:t>
      </w:r>
      <w:r w:rsidR="00374565">
        <w:t xml:space="preserve"> </w:t>
      </w:r>
      <w:r w:rsidR="00AF23EC">
        <w:t>The sub</w:t>
      </w:r>
      <w:r w:rsidR="00AF23EC">
        <w:noBreakHyphen/>
      </w:r>
      <w:r w:rsidR="005F6A5A" w:rsidRPr="00B23E28">
        <w:t>committees are invited to consider the</w:t>
      </w:r>
      <w:r w:rsidR="008A218C">
        <w:t>se</w:t>
      </w:r>
      <w:r w:rsidR="005F6A5A" w:rsidRPr="00B23E28">
        <w:t xml:space="preserve"> </w:t>
      </w:r>
      <w:r w:rsidR="00097C02">
        <w:t>amendments.</w:t>
      </w:r>
      <w:r>
        <w:t xml:space="preserve"> </w:t>
      </w:r>
    </w:p>
    <w:p w:rsidR="004D728D" w:rsidRDefault="004D728D" w:rsidP="00C57294">
      <w:pPr>
        <w:pStyle w:val="SingleTxtG"/>
      </w:pPr>
    </w:p>
    <w:p w:rsidR="004D728D" w:rsidRDefault="004D728D" w:rsidP="00C57294">
      <w:pPr>
        <w:pStyle w:val="SingleTxtG"/>
        <w:sectPr w:rsidR="004D728D" w:rsidSect="00C57294">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964" w:footer="1701" w:gutter="0"/>
          <w:cols w:space="720"/>
          <w:titlePg/>
          <w:docGrid w:linePitch="272"/>
        </w:sectPr>
      </w:pPr>
    </w:p>
    <w:p w:rsidR="00F51224" w:rsidRDefault="004309FE" w:rsidP="00CF5BEA">
      <w:pPr>
        <w:pStyle w:val="HChG"/>
        <w:spacing w:before="240" w:after="120"/>
      </w:pPr>
      <w:r>
        <w:lastRenderedPageBreak/>
        <w:t>Annex I</w:t>
      </w:r>
    </w:p>
    <w:p w:rsidR="006B21AF" w:rsidRPr="00B23E28" w:rsidRDefault="00F51224" w:rsidP="00CF5BEA">
      <w:pPr>
        <w:pStyle w:val="HChG"/>
        <w:spacing w:before="240" w:after="120"/>
      </w:pPr>
      <w:r>
        <w:tab/>
      </w:r>
      <w:r>
        <w:tab/>
      </w:r>
      <w:r w:rsidR="006B21AF" w:rsidRPr="00B23E28">
        <w:t>Propose</w:t>
      </w:r>
      <w:r>
        <w:t xml:space="preserve">d </w:t>
      </w:r>
      <w:r w:rsidR="006B21AF" w:rsidRPr="00B23E28">
        <w:t>amendments</w:t>
      </w:r>
      <w:r w:rsidR="00861E67">
        <w:t xml:space="preserve"> to the GHS</w:t>
      </w:r>
    </w:p>
    <w:p w:rsidR="006B21AF" w:rsidRDefault="006B21AF" w:rsidP="006B21AF">
      <w:pPr>
        <w:pStyle w:val="SingleTxtG"/>
      </w:pPr>
      <w:r w:rsidRPr="00B23E28">
        <w:t xml:space="preserve">Amendments are shown as follows: </w:t>
      </w:r>
      <w:r w:rsidRPr="00B23E28">
        <w:rPr>
          <w:u w:val="single"/>
        </w:rPr>
        <w:t>Additions are underlined</w:t>
      </w:r>
      <w:r w:rsidRPr="00B23E28">
        <w:t xml:space="preserve">, deletions are </w:t>
      </w:r>
      <w:r w:rsidRPr="00B23E28">
        <w:rPr>
          <w:strike/>
        </w:rPr>
        <w:t>in strikethrough</w:t>
      </w:r>
      <w:r w:rsidRPr="00B23E28">
        <w:t>.</w:t>
      </w:r>
    </w:p>
    <w:p w:rsidR="005F6A5A" w:rsidRPr="002E5F7F" w:rsidRDefault="00C245F9" w:rsidP="00CF5BEA">
      <w:pPr>
        <w:pStyle w:val="H1G"/>
        <w:spacing w:before="240" w:after="120"/>
        <w:rPr>
          <w:sz w:val="22"/>
          <w:szCs w:val="22"/>
        </w:rPr>
      </w:pPr>
      <w:r w:rsidRPr="002E5F7F">
        <w:rPr>
          <w:sz w:val="22"/>
          <w:szCs w:val="22"/>
        </w:rPr>
        <w:tab/>
      </w:r>
      <w:r w:rsidRPr="002E5F7F">
        <w:rPr>
          <w:sz w:val="22"/>
          <w:szCs w:val="22"/>
        </w:rPr>
        <w:tab/>
        <w:t>Amend</w:t>
      </w:r>
      <w:r w:rsidR="00C57294" w:rsidRPr="002E5F7F">
        <w:rPr>
          <w:sz w:val="22"/>
          <w:szCs w:val="22"/>
        </w:rPr>
        <w:t xml:space="preserve"> </w:t>
      </w:r>
      <w:r w:rsidR="008C0346">
        <w:rPr>
          <w:sz w:val="22"/>
          <w:szCs w:val="22"/>
        </w:rPr>
        <w:t xml:space="preserve">the introductory sentence of 2.6.4.2.2 to read as follows </w:t>
      </w:r>
      <w:r w:rsidR="00FC0B21">
        <w:rPr>
          <w:sz w:val="22"/>
          <w:szCs w:val="22"/>
        </w:rPr>
        <w:t>(</w:t>
      </w:r>
      <w:r w:rsidR="008C0346">
        <w:rPr>
          <w:sz w:val="22"/>
          <w:szCs w:val="22"/>
        </w:rPr>
        <w:t xml:space="preserve">for </w:t>
      </w:r>
      <w:r w:rsidR="002E5F7F" w:rsidRPr="002E5F7F">
        <w:rPr>
          <w:sz w:val="22"/>
          <w:szCs w:val="22"/>
        </w:rPr>
        <w:t>explanation</w:t>
      </w:r>
      <w:r w:rsidR="008C0346">
        <w:rPr>
          <w:sz w:val="22"/>
          <w:szCs w:val="22"/>
        </w:rPr>
        <w:t>,</w:t>
      </w:r>
      <w:r w:rsidR="002E5F7F" w:rsidRPr="002E5F7F">
        <w:rPr>
          <w:sz w:val="22"/>
          <w:szCs w:val="22"/>
        </w:rPr>
        <w:t xml:space="preserve"> </w:t>
      </w:r>
      <w:r w:rsidR="00100294" w:rsidRPr="002E5F7F">
        <w:rPr>
          <w:sz w:val="22"/>
          <w:szCs w:val="22"/>
        </w:rPr>
        <w:t xml:space="preserve">see paragraph 2 </w:t>
      </w:r>
      <w:r w:rsidR="008C0346">
        <w:rPr>
          <w:sz w:val="22"/>
          <w:szCs w:val="22"/>
        </w:rPr>
        <w:t>in the main text of this document</w:t>
      </w:r>
      <w:r w:rsidR="00100294" w:rsidRPr="002E5F7F">
        <w:rPr>
          <w:sz w:val="22"/>
          <w:szCs w:val="22"/>
        </w:rPr>
        <w:t>)</w:t>
      </w:r>
      <w:r w:rsidR="005F6A5A" w:rsidRPr="002E5F7F">
        <w:rPr>
          <w:sz w:val="22"/>
          <w:szCs w:val="22"/>
        </w:rPr>
        <w:t>:</w:t>
      </w:r>
    </w:p>
    <w:p w:rsidR="005F6A5A" w:rsidRDefault="005F6A5A" w:rsidP="00F51224">
      <w:pPr>
        <w:pStyle w:val="SingleTxtG"/>
      </w:pPr>
      <w:r>
        <w:t>"2.6.4.2.2</w:t>
      </w:r>
      <w:r>
        <w:tab/>
      </w:r>
      <w:r w:rsidRPr="005F6A5A">
        <w:t>In the case of mixtures</w:t>
      </w:r>
      <w:r w:rsidR="00DE06A8">
        <w:t xml:space="preserve"> </w:t>
      </w:r>
      <w:r w:rsidR="00DE06A8" w:rsidRPr="00DE06A8">
        <w:rPr>
          <w:vertAlign w:val="superscript"/>
        </w:rPr>
        <w:t>3</w:t>
      </w:r>
      <w:r w:rsidRPr="005F6A5A">
        <w:t xml:space="preserve"> containing known flammable liquids in defined concentrations, although they</w:t>
      </w:r>
      <w:r>
        <w:t xml:space="preserve"> </w:t>
      </w:r>
      <w:r w:rsidRPr="005F6A5A">
        <w:t>may contain non-volatile ingredients e.g. polymers, additives, the flash point need not be determined experimentally if</w:t>
      </w:r>
      <w:r>
        <w:t xml:space="preserve"> </w:t>
      </w:r>
      <w:r w:rsidRPr="005F6A5A">
        <w:t>the calculated flash point of the mixture, using the method given in 2.6.4.2.3 below, is at least 5 °C</w:t>
      </w:r>
      <w:r w:rsidR="00DE06A8">
        <w:t xml:space="preserve"> </w:t>
      </w:r>
      <w:r w:rsidR="00DE06A8" w:rsidRPr="00DE06A8">
        <w:rPr>
          <w:vertAlign w:val="superscript"/>
        </w:rPr>
        <w:t>4</w:t>
      </w:r>
      <w:r w:rsidR="00913A5F">
        <w:t xml:space="preserve"> </w:t>
      </w:r>
      <w:r w:rsidRPr="005F6A5A">
        <w:t>greater than the</w:t>
      </w:r>
      <w:r>
        <w:t xml:space="preserve"> </w:t>
      </w:r>
      <w:r w:rsidRPr="005F6A5A">
        <w:t xml:space="preserve">relevant classification criterion </w:t>
      </w:r>
      <w:r w:rsidRPr="005F6A5A">
        <w:rPr>
          <w:strike/>
        </w:rPr>
        <w:t>(23 °C and 60 °C, respectively)</w:t>
      </w:r>
      <w:r w:rsidRPr="005F6A5A">
        <w:t xml:space="preserve"> and provided that:</w:t>
      </w:r>
      <w:r w:rsidR="00D615AE">
        <w:t>"</w:t>
      </w:r>
    </w:p>
    <w:p w:rsidR="00D615AE" w:rsidRPr="002E5F7F" w:rsidRDefault="00D615AE" w:rsidP="00861E67">
      <w:pPr>
        <w:pStyle w:val="H1G"/>
        <w:rPr>
          <w:sz w:val="22"/>
          <w:szCs w:val="22"/>
        </w:rPr>
      </w:pPr>
      <w:r w:rsidRPr="002E5F7F">
        <w:rPr>
          <w:sz w:val="22"/>
          <w:szCs w:val="22"/>
        </w:rPr>
        <w:tab/>
      </w:r>
      <w:r w:rsidRPr="002E5F7F">
        <w:rPr>
          <w:sz w:val="22"/>
          <w:szCs w:val="22"/>
        </w:rPr>
        <w:tab/>
      </w:r>
      <w:r w:rsidR="00C245F9" w:rsidRPr="002E5F7F">
        <w:rPr>
          <w:sz w:val="22"/>
          <w:szCs w:val="22"/>
        </w:rPr>
        <w:t>Amend</w:t>
      </w:r>
      <w:r w:rsidR="00C57294" w:rsidRPr="002E5F7F">
        <w:rPr>
          <w:sz w:val="22"/>
          <w:szCs w:val="22"/>
        </w:rPr>
        <w:t xml:space="preserve"> Note 2 in section 2.6.2</w:t>
      </w:r>
      <w:r w:rsidR="00100294" w:rsidRPr="002E5F7F">
        <w:rPr>
          <w:sz w:val="22"/>
          <w:szCs w:val="22"/>
        </w:rPr>
        <w:t xml:space="preserve"> </w:t>
      </w:r>
      <w:r w:rsidR="00FC0B21">
        <w:rPr>
          <w:sz w:val="22"/>
          <w:szCs w:val="22"/>
        </w:rPr>
        <w:t xml:space="preserve">to read </w:t>
      </w:r>
      <w:r w:rsidR="00100294" w:rsidRPr="002E5F7F">
        <w:rPr>
          <w:sz w:val="22"/>
          <w:szCs w:val="22"/>
        </w:rPr>
        <w:t>as follows (</w:t>
      </w:r>
      <w:r w:rsidR="00FC0B21">
        <w:rPr>
          <w:sz w:val="22"/>
          <w:szCs w:val="22"/>
        </w:rPr>
        <w:t xml:space="preserve">for </w:t>
      </w:r>
      <w:r w:rsidR="002E5F7F" w:rsidRPr="002E5F7F">
        <w:rPr>
          <w:sz w:val="22"/>
          <w:szCs w:val="22"/>
        </w:rPr>
        <w:t>explanation</w:t>
      </w:r>
      <w:r w:rsidR="00FC0B21">
        <w:rPr>
          <w:sz w:val="22"/>
          <w:szCs w:val="22"/>
        </w:rPr>
        <w:t>,</w:t>
      </w:r>
      <w:r w:rsidR="002E5F7F" w:rsidRPr="002E5F7F">
        <w:rPr>
          <w:sz w:val="22"/>
          <w:szCs w:val="22"/>
        </w:rPr>
        <w:t xml:space="preserve"> </w:t>
      </w:r>
      <w:r w:rsidR="00100294" w:rsidRPr="002E5F7F">
        <w:rPr>
          <w:sz w:val="22"/>
          <w:szCs w:val="22"/>
        </w:rPr>
        <w:t>see paragraph</w:t>
      </w:r>
      <w:r w:rsidR="00FC0B21">
        <w:rPr>
          <w:sz w:val="22"/>
          <w:szCs w:val="22"/>
        </w:rPr>
        <w:t>s</w:t>
      </w:r>
      <w:r w:rsidR="00100294" w:rsidRPr="002E5F7F">
        <w:rPr>
          <w:sz w:val="22"/>
          <w:szCs w:val="22"/>
        </w:rPr>
        <w:t xml:space="preserve"> 3 and 4 </w:t>
      </w:r>
      <w:r w:rsidR="00FC0B21">
        <w:rPr>
          <w:sz w:val="22"/>
          <w:szCs w:val="22"/>
        </w:rPr>
        <w:t>in the main text of this document</w:t>
      </w:r>
      <w:r w:rsidR="00100294" w:rsidRPr="002E5F7F">
        <w:rPr>
          <w:sz w:val="22"/>
          <w:szCs w:val="22"/>
        </w:rPr>
        <w:t>)</w:t>
      </w:r>
      <w:r w:rsidRPr="002E5F7F">
        <w:rPr>
          <w:sz w:val="22"/>
          <w:szCs w:val="22"/>
        </w:rPr>
        <w:t>:</w:t>
      </w:r>
    </w:p>
    <w:p w:rsidR="00D615AE" w:rsidRPr="00D615AE" w:rsidRDefault="00D615AE" w:rsidP="00F51224">
      <w:pPr>
        <w:pStyle w:val="SingleTxtG"/>
      </w:pPr>
      <w:r>
        <w:t>"</w:t>
      </w:r>
      <w:r w:rsidRPr="00D615AE">
        <w:rPr>
          <w:b/>
        </w:rPr>
        <w:t>NOTE 2:</w:t>
      </w:r>
      <w:r>
        <w:tab/>
      </w:r>
      <w:r w:rsidRPr="00D615AE">
        <w:t xml:space="preserve">Liquids with a flash point of more than 35 °C and </w:t>
      </w:r>
      <w:r w:rsidRPr="00D615AE">
        <w:rPr>
          <w:strike/>
        </w:rPr>
        <w:t xml:space="preserve">not more </w:t>
      </w:r>
      <w:r w:rsidRPr="00A87C9C">
        <w:rPr>
          <w:strike/>
        </w:rPr>
        <w:t xml:space="preserve">than </w:t>
      </w:r>
      <w:r w:rsidR="00586B06" w:rsidRPr="00D615AE">
        <w:rPr>
          <w:u w:val="single"/>
        </w:rPr>
        <w:t xml:space="preserve">less than or equal </w:t>
      </w:r>
      <w:r w:rsidR="00586B06" w:rsidRPr="00A87C9C">
        <w:rPr>
          <w:u w:val="single"/>
        </w:rPr>
        <w:t xml:space="preserve">to </w:t>
      </w:r>
      <w:r w:rsidRPr="00586B06">
        <w:t>60 °C may</w:t>
      </w:r>
      <w:r w:rsidRPr="00D615AE">
        <w:t xml:space="preserve"> be regarded as </w:t>
      </w:r>
      <w:r w:rsidRPr="00D615AE">
        <w:rPr>
          <w:u w:val="single"/>
        </w:rPr>
        <w:t>flammable liquids of category 4</w:t>
      </w:r>
      <w:r w:rsidRPr="00D615AE">
        <w:t xml:space="preserve"> </w:t>
      </w:r>
      <w:r w:rsidRPr="00D615AE">
        <w:rPr>
          <w:strike/>
        </w:rPr>
        <w:t xml:space="preserve">non-flammable liquids </w:t>
      </w:r>
      <w:r w:rsidRPr="00D615AE">
        <w:t xml:space="preserve">for some regulatory purposes </w:t>
      </w:r>
      <w:r w:rsidRPr="005B7108">
        <w:rPr>
          <w:strike/>
        </w:rPr>
        <w:t>(e.g. transport)</w:t>
      </w:r>
      <w:r w:rsidRPr="00D615AE">
        <w:t xml:space="preserve"> if negative results have been obtained in the sustained</w:t>
      </w:r>
      <w:r>
        <w:t xml:space="preserve"> </w:t>
      </w:r>
      <w:r w:rsidRPr="00D615AE">
        <w:t>combustibility test L.2 of Part III, section 32 of the UN Recommendations on the Transport of Dangerous Goods,</w:t>
      </w:r>
      <w:r>
        <w:t xml:space="preserve"> </w:t>
      </w:r>
      <w:r w:rsidRPr="00D615AE">
        <w:t>Manual of Tests and Criteria.</w:t>
      </w:r>
      <w:r>
        <w:t xml:space="preserve"> </w:t>
      </w:r>
      <w:r w:rsidR="005B7108" w:rsidRPr="005B7108">
        <w:rPr>
          <w:u w:val="single"/>
        </w:rPr>
        <w:t xml:space="preserve">In case flammable liquids of category 4 are not part of the regulation (e.g. transport) they may be regarded as non-flammable liquids </w:t>
      </w:r>
      <w:r w:rsidR="00A87C9C">
        <w:rPr>
          <w:u w:val="single"/>
        </w:rPr>
        <w:t>in that case</w:t>
      </w:r>
      <w:r w:rsidR="005B7108" w:rsidRPr="005B7108">
        <w:rPr>
          <w:u w:val="single"/>
        </w:rPr>
        <w:t xml:space="preserve">. </w:t>
      </w:r>
      <w:r w:rsidR="00586B06" w:rsidRPr="00586B06">
        <w:rPr>
          <w:u w:val="single"/>
        </w:rPr>
        <w:t>Liquids with a flash point of more than 60</w:t>
      </w:r>
      <w:r w:rsidR="00586B06">
        <w:rPr>
          <w:u w:val="single"/>
        </w:rPr>
        <w:t> </w:t>
      </w:r>
      <w:r w:rsidR="00586B06" w:rsidRPr="00586B06">
        <w:rPr>
          <w:u w:val="single"/>
        </w:rPr>
        <w:t xml:space="preserve">°C and less than or equal to 93 °C may be regarded as non-flammable liquids for some regulatory purposes if negative results have been obtained in the sustained combustibility test L.2 of Part III, section 32 of the UN Recommendations on the Transport of Dangerous Goods, Manual of Tests and Criteria. </w:t>
      </w:r>
      <w:r>
        <w:t>"</w:t>
      </w:r>
    </w:p>
    <w:p w:rsidR="0020107E" w:rsidRPr="002E5F7F" w:rsidRDefault="0020107E" w:rsidP="00861E67">
      <w:pPr>
        <w:pStyle w:val="H1G"/>
        <w:rPr>
          <w:sz w:val="22"/>
          <w:szCs w:val="22"/>
        </w:rPr>
      </w:pPr>
      <w:r w:rsidRPr="002E5F7F">
        <w:rPr>
          <w:sz w:val="22"/>
          <w:szCs w:val="22"/>
        </w:rPr>
        <w:tab/>
      </w:r>
      <w:r w:rsidRPr="002E5F7F">
        <w:rPr>
          <w:sz w:val="22"/>
          <w:szCs w:val="22"/>
        </w:rPr>
        <w:tab/>
      </w:r>
      <w:r w:rsidR="00861E67" w:rsidRPr="002E5F7F">
        <w:rPr>
          <w:sz w:val="22"/>
          <w:szCs w:val="22"/>
        </w:rPr>
        <w:t xml:space="preserve">Replace the text of </w:t>
      </w:r>
      <w:r w:rsidRPr="002E5F7F">
        <w:rPr>
          <w:sz w:val="22"/>
          <w:szCs w:val="22"/>
        </w:rPr>
        <w:t xml:space="preserve">Footnote 2 </w:t>
      </w:r>
      <w:r w:rsidR="00504F12" w:rsidRPr="002E5F7F">
        <w:rPr>
          <w:sz w:val="22"/>
          <w:szCs w:val="22"/>
        </w:rPr>
        <w:t>(</w:t>
      </w:r>
      <w:r w:rsidR="008A218C">
        <w:rPr>
          <w:sz w:val="22"/>
          <w:szCs w:val="22"/>
        </w:rPr>
        <w:t>belonging</w:t>
      </w:r>
      <w:r w:rsidR="00504F12" w:rsidRPr="002E5F7F">
        <w:rPr>
          <w:sz w:val="22"/>
          <w:szCs w:val="22"/>
        </w:rPr>
        <w:t xml:space="preserve"> to the arrow leading to category 4) </w:t>
      </w:r>
      <w:r w:rsidRPr="002E5F7F">
        <w:rPr>
          <w:sz w:val="22"/>
          <w:szCs w:val="22"/>
        </w:rPr>
        <w:t xml:space="preserve">in 2.6.4.1 </w:t>
      </w:r>
      <w:r w:rsidR="00861E67" w:rsidRPr="002E5F7F">
        <w:rPr>
          <w:sz w:val="22"/>
          <w:szCs w:val="22"/>
        </w:rPr>
        <w:t>by the following text</w:t>
      </w:r>
      <w:r w:rsidRPr="002E5F7F">
        <w:rPr>
          <w:sz w:val="22"/>
          <w:szCs w:val="22"/>
        </w:rPr>
        <w:t xml:space="preserve"> (</w:t>
      </w:r>
      <w:r w:rsidR="00FC0B21">
        <w:rPr>
          <w:sz w:val="22"/>
          <w:szCs w:val="22"/>
        </w:rPr>
        <w:t xml:space="preserve">for </w:t>
      </w:r>
      <w:r w:rsidR="002E5F7F" w:rsidRPr="002E5F7F">
        <w:rPr>
          <w:sz w:val="22"/>
          <w:szCs w:val="22"/>
        </w:rPr>
        <w:t>explanation</w:t>
      </w:r>
      <w:r w:rsidR="00FC0B21">
        <w:rPr>
          <w:sz w:val="22"/>
          <w:szCs w:val="22"/>
        </w:rPr>
        <w:t>,</w:t>
      </w:r>
      <w:r w:rsidR="002E5F7F" w:rsidRPr="002E5F7F">
        <w:rPr>
          <w:sz w:val="22"/>
          <w:szCs w:val="22"/>
        </w:rPr>
        <w:t xml:space="preserve"> </w:t>
      </w:r>
      <w:r w:rsidRPr="002E5F7F">
        <w:rPr>
          <w:sz w:val="22"/>
          <w:szCs w:val="22"/>
        </w:rPr>
        <w:t>see paragraph</w:t>
      </w:r>
      <w:r w:rsidR="00FC0B21">
        <w:rPr>
          <w:sz w:val="22"/>
          <w:szCs w:val="22"/>
        </w:rPr>
        <w:t>s</w:t>
      </w:r>
      <w:r w:rsidRPr="002E5F7F">
        <w:rPr>
          <w:sz w:val="22"/>
          <w:szCs w:val="22"/>
        </w:rPr>
        <w:t xml:space="preserve"> 3 and 4 </w:t>
      </w:r>
      <w:r w:rsidR="00FC0B21">
        <w:rPr>
          <w:sz w:val="22"/>
          <w:szCs w:val="22"/>
        </w:rPr>
        <w:t>in the main text of this document</w:t>
      </w:r>
      <w:r w:rsidRPr="002E5F7F">
        <w:rPr>
          <w:sz w:val="22"/>
          <w:szCs w:val="22"/>
        </w:rPr>
        <w:t>):</w:t>
      </w:r>
    </w:p>
    <w:p w:rsidR="0020107E" w:rsidRPr="00F51224" w:rsidRDefault="0020107E" w:rsidP="00F51224">
      <w:pPr>
        <w:pStyle w:val="SingleTxtG"/>
        <w:rPr>
          <w:i/>
          <w:u w:val="single"/>
        </w:rPr>
      </w:pPr>
      <w:r w:rsidRPr="00F51224">
        <w:rPr>
          <w:i/>
          <w:u w:val="single"/>
        </w:rPr>
        <w:t>"</w:t>
      </w:r>
      <w:r w:rsidRPr="00F51224">
        <w:rPr>
          <w:i/>
          <w:u w:val="single"/>
          <w:vertAlign w:val="superscript"/>
        </w:rPr>
        <w:t>2</w:t>
      </w:r>
      <w:r w:rsidRPr="00F51224">
        <w:rPr>
          <w:i/>
          <w:u w:val="single"/>
        </w:rPr>
        <w:tab/>
        <w:t>Liquids with a flash point of more than 60 °C and less than or equal to 93 °C may be regarded as non-flammable liquids for some regulatory purposes if negative results have been obtained in the sustained combustibility test L.2 of Part III, section 32 of the UN Recommendations on the Transport of Dangerous Goods, Manual of Tests and Criteria</w:t>
      </w:r>
      <w:r w:rsidR="009047E1" w:rsidRPr="00F51224">
        <w:rPr>
          <w:i/>
          <w:u w:val="single"/>
        </w:rPr>
        <w:t>.</w:t>
      </w:r>
      <w:r w:rsidRPr="00F51224">
        <w:rPr>
          <w:i/>
          <w:u w:val="single"/>
        </w:rPr>
        <w:t xml:space="preserve"> "</w:t>
      </w:r>
    </w:p>
    <w:p w:rsidR="0020107E" w:rsidRPr="002E5F7F" w:rsidRDefault="0020107E" w:rsidP="00861E67">
      <w:pPr>
        <w:pStyle w:val="H1G"/>
        <w:rPr>
          <w:sz w:val="22"/>
          <w:szCs w:val="22"/>
        </w:rPr>
      </w:pPr>
      <w:r w:rsidRPr="002E5F7F">
        <w:rPr>
          <w:sz w:val="22"/>
          <w:szCs w:val="22"/>
        </w:rPr>
        <w:tab/>
      </w:r>
      <w:r w:rsidRPr="002E5F7F">
        <w:rPr>
          <w:sz w:val="22"/>
          <w:szCs w:val="22"/>
        </w:rPr>
        <w:tab/>
        <w:t xml:space="preserve">Replace </w:t>
      </w:r>
      <w:r w:rsidR="00861E67" w:rsidRPr="002E5F7F">
        <w:rPr>
          <w:sz w:val="22"/>
          <w:szCs w:val="22"/>
        </w:rPr>
        <w:t>the "</w:t>
      </w:r>
      <w:r w:rsidRPr="002E5F7F">
        <w:rPr>
          <w:sz w:val="22"/>
          <w:szCs w:val="22"/>
        </w:rPr>
        <w:t>2</w:t>
      </w:r>
      <w:r w:rsidR="00861E67" w:rsidRPr="002E5F7F">
        <w:rPr>
          <w:sz w:val="22"/>
          <w:szCs w:val="22"/>
        </w:rPr>
        <w:t>"</w:t>
      </w:r>
      <w:r w:rsidRPr="002E5F7F">
        <w:rPr>
          <w:sz w:val="22"/>
          <w:szCs w:val="22"/>
        </w:rPr>
        <w:t xml:space="preserve"> in the arrow leading to category 3 by </w:t>
      </w:r>
      <w:r w:rsidR="00861E67" w:rsidRPr="002E5F7F">
        <w:rPr>
          <w:sz w:val="22"/>
          <w:szCs w:val="22"/>
        </w:rPr>
        <w:t xml:space="preserve">a "3" </w:t>
      </w:r>
      <w:r w:rsidR="002E5F7F" w:rsidRPr="002E5F7F">
        <w:rPr>
          <w:sz w:val="22"/>
          <w:szCs w:val="22"/>
        </w:rPr>
        <w:t xml:space="preserve">and add a new footnote </w:t>
      </w:r>
      <w:r w:rsidRPr="002E5F7F">
        <w:rPr>
          <w:sz w:val="22"/>
          <w:szCs w:val="22"/>
        </w:rPr>
        <w:t>with the following text (</w:t>
      </w:r>
      <w:r w:rsidR="00FC0B21">
        <w:rPr>
          <w:sz w:val="22"/>
          <w:szCs w:val="22"/>
        </w:rPr>
        <w:t xml:space="preserve">for </w:t>
      </w:r>
      <w:r w:rsidR="002E5F7F" w:rsidRPr="002E5F7F">
        <w:rPr>
          <w:sz w:val="22"/>
          <w:szCs w:val="22"/>
        </w:rPr>
        <w:t>explanation</w:t>
      </w:r>
      <w:r w:rsidR="00FC0B21">
        <w:rPr>
          <w:sz w:val="22"/>
          <w:szCs w:val="22"/>
        </w:rPr>
        <w:t>,</w:t>
      </w:r>
      <w:r w:rsidR="002E5F7F" w:rsidRPr="002E5F7F">
        <w:rPr>
          <w:sz w:val="22"/>
          <w:szCs w:val="22"/>
        </w:rPr>
        <w:t xml:space="preserve"> </w:t>
      </w:r>
      <w:r w:rsidRPr="002E5F7F">
        <w:rPr>
          <w:sz w:val="22"/>
          <w:szCs w:val="22"/>
        </w:rPr>
        <w:t>see paragraph</w:t>
      </w:r>
      <w:r w:rsidR="00FC0B21">
        <w:rPr>
          <w:sz w:val="22"/>
          <w:szCs w:val="22"/>
        </w:rPr>
        <w:t>s</w:t>
      </w:r>
      <w:r w:rsidRPr="002E5F7F">
        <w:rPr>
          <w:sz w:val="22"/>
          <w:szCs w:val="22"/>
        </w:rPr>
        <w:t xml:space="preserve"> 3 and 4 </w:t>
      </w:r>
      <w:r w:rsidR="00FC0B21">
        <w:rPr>
          <w:sz w:val="22"/>
          <w:szCs w:val="22"/>
        </w:rPr>
        <w:t>in the main text of this document</w:t>
      </w:r>
      <w:r w:rsidRPr="002E5F7F">
        <w:rPr>
          <w:sz w:val="22"/>
          <w:szCs w:val="22"/>
        </w:rPr>
        <w:t>):</w:t>
      </w:r>
    </w:p>
    <w:p w:rsidR="004D728D" w:rsidRPr="00D615AE" w:rsidRDefault="0020107E" w:rsidP="004D728D">
      <w:pPr>
        <w:pStyle w:val="SingleTxtG"/>
      </w:pPr>
      <w:r w:rsidRPr="005C34B3">
        <w:rPr>
          <w:i/>
          <w:u w:val="single"/>
        </w:rPr>
        <w:t>"</w:t>
      </w:r>
      <w:r w:rsidRPr="005C34B3">
        <w:rPr>
          <w:i/>
          <w:u w:val="single"/>
          <w:vertAlign w:val="superscript"/>
        </w:rPr>
        <w:t>3</w:t>
      </w:r>
      <w:r w:rsidRPr="005C34B3">
        <w:rPr>
          <w:i/>
          <w:u w:val="single"/>
        </w:rPr>
        <w:tab/>
        <w:t>Liquids with a flash point of more than 35</w:t>
      </w:r>
      <w:r w:rsidR="004D728D" w:rsidRPr="005C34B3">
        <w:rPr>
          <w:i/>
          <w:u w:val="single"/>
        </w:rPr>
        <w:t> </w:t>
      </w:r>
      <w:r w:rsidRPr="005C34B3">
        <w:rPr>
          <w:i/>
          <w:u w:val="single"/>
        </w:rPr>
        <w:t xml:space="preserve">°C and less than or equal to </w:t>
      </w:r>
      <w:r w:rsidR="00861E67" w:rsidRPr="005C34B3">
        <w:rPr>
          <w:i/>
          <w:u w:val="single"/>
        </w:rPr>
        <w:t>60</w:t>
      </w:r>
      <w:r w:rsidRPr="005C34B3">
        <w:rPr>
          <w:i/>
          <w:u w:val="single"/>
        </w:rPr>
        <w:t xml:space="preserve"> °C may be regarded as </w:t>
      </w:r>
      <w:r w:rsidR="00861E67" w:rsidRPr="005C34B3">
        <w:rPr>
          <w:i/>
          <w:u w:val="single"/>
        </w:rPr>
        <w:t xml:space="preserve">flammable liquids of category 4 </w:t>
      </w:r>
      <w:r w:rsidRPr="005C34B3">
        <w:rPr>
          <w:i/>
          <w:u w:val="single"/>
        </w:rPr>
        <w:t>for some regulatory purposes if negative results have been obtained in the sustained combustibility test L.2 of Part III, section 32 of the UN Recommendations on the Transport of Dangerous Goods, Manual of Tests and Criteria. In case flammable liquids of category 4 are not part of the regulation (e.g. transport) they may be regarded as non-flammable liquids in that case. "</w:t>
      </w:r>
    </w:p>
    <w:p w:rsidR="004D728D" w:rsidRDefault="004D728D" w:rsidP="00861E67">
      <w:pPr>
        <w:pStyle w:val="SingleTxtG"/>
        <w:sectPr w:rsidR="004D728D" w:rsidSect="004D728D">
          <w:headerReference w:type="first" r:id="rId14"/>
          <w:footerReference w:type="first" r:id="rId15"/>
          <w:footnotePr>
            <w:numStart w:val="2"/>
          </w:footnotePr>
          <w:endnotePr>
            <w:numFmt w:val="decimal"/>
          </w:endnotePr>
          <w:pgSz w:w="11907" w:h="16840" w:code="9"/>
          <w:pgMar w:top="1701" w:right="1134" w:bottom="2268" w:left="1134" w:header="964" w:footer="1701" w:gutter="0"/>
          <w:cols w:space="720"/>
          <w:titlePg/>
          <w:docGrid w:linePitch="272"/>
        </w:sectPr>
      </w:pPr>
    </w:p>
    <w:p w:rsidR="005C34B3" w:rsidRDefault="005C34B3" w:rsidP="00861E67">
      <w:pPr>
        <w:pStyle w:val="HChG"/>
      </w:pPr>
      <w:r>
        <w:lastRenderedPageBreak/>
        <w:tab/>
      </w:r>
      <w:r w:rsidR="00861E67" w:rsidRPr="006C1404">
        <w:t xml:space="preserve">Annex </w:t>
      </w:r>
      <w:r w:rsidR="004309FE">
        <w:t>II</w:t>
      </w:r>
    </w:p>
    <w:p w:rsidR="00861E67" w:rsidRPr="00B23E28" w:rsidRDefault="005C34B3" w:rsidP="00861E67">
      <w:pPr>
        <w:pStyle w:val="HChG"/>
      </w:pPr>
      <w:r>
        <w:tab/>
      </w:r>
      <w:r>
        <w:tab/>
      </w:r>
      <w:r w:rsidR="00861E67" w:rsidRPr="00B23E28">
        <w:t xml:space="preserve">Proposed </w:t>
      </w:r>
      <w:r w:rsidR="00861E67">
        <w:t xml:space="preserve">consequential </w:t>
      </w:r>
      <w:r w:rsidR="00861E67" w:rsidRPr="00B23E28">
        <w:t>amendments</w:t>
      </w:r>
      <w:r w:rsidR="00DC2AE8">
        <w:t xml:space="preserve"> to the </w:t>
      </w:r>
      <w:r w:rsidR="00861E67">
        <w:t>Manual of Tests and Criteria</w:t>
      </w:r>
    </w:p>
    <w:p w:rsidR="00861E67" w:rsidRDefault="00861E67" w:rsidP="00861E67">
      <w:pPr>
        <w:pStyle w:val="SingleTxtG"/>
      </w:pPr>
      <w:r w:rsidRPr="00B23E28">
        <w:t xml:space="preserve">Amendments are shown as follows: </w:t>
      </w:r>
      <w:r w:rsidRPr="00B23E28">
        <w:rPr>
          <w:u w:val="single"/>
        </w:rPr>
        <w:t>Additions are underlined</w:t>
      </w:r>
      <w:r w:rsidRPr="00B23E28">
        <w:t xml:space="preserve">, deletions are </w:t>
      </w:r>
      <w:r w:rsidRPr="00B23E28">
        <w:rPr>
          <w:strike/>
        </w:rPr>
        <w:t>in strikethrough</w:t>
      </w:r>
      <w:r w:rsidRPr="00B23E28">
        <w:t>.</w:t>
      </w:r>
    </w:p>
    <w:p w:rsidR="00A87C9C" w:rsidRPr="002E5F7F" w:rsidRDefault="009047E1" w:rsidP="009047E1">
      <w:pPr>
        <w:pStyle w:val="H1G"/>
        <w:rPr>
          <w:sz w:val="22"/>
          <w:szCs w:val="22"/>
        </w:rPr>
      </w:pPr>
      <w:r w:rsidRPr="002E5F7F">
        <w:rPr>
          <w:sz w:val="22"/>
          <w:szCs w:val="22"/>
        </w:rPr>
        <w:tab/>
      </w:r>
      <w:r w:rsidRPr="002E5F7F">
        <w:rPr>
          <w:sz w:val="22"/>
          <w:szCs w:val="22"/>
        </w:rPr>
        <w:tab/>
      </w:r>
      <w:r w:rsidR="00100294" w:rsidRPr="002E5F7F">
        <w:rPr>
          <w:sz w:val="22"/>
          <w:szCs w:val="22"/>
        </w:rPr>
        <w:t>Amend</w:t>
      </w:r>
      <w:r w:rsidR="00C57294" w:rsidRPr="002E5F7F">
        <w:rPr>
          <w:sz w:val="22"/>
          <w:szCs w:val="22"/>
        </w:rPr>
        <w:t xml:space="preserve"> </w:t>
      </w:r>
      <w:r w:rsidR="00006778">
        <w:rPr>
          <w:sz w:val="22"/>
          <w:szCs w:val="22"/>
        </w:rPr>
        <w:t>the introductory sentence of paragraph</w:t>
      </w:r>
      <w:r w:rsidR="00C57294" w:rsidRPr="002E5F7F">
        <w:rPr>
          <w:sz w:val="22"/>
          <w:szCs w:val="22"/>
        </w:rPr>
        <w:t xml:space="preserve"> 4.1 of Appendix 6 </w:t>
      </w:r>
      <w:r w:rsidR="00006778">
        <w:rPr>
          <w:sz w:val="22"/>
          <w:szCs w:val="22"/>
        </w:rPr>
        <w:t xml:space="preserve">to read </w:t>
      </w:r>
      <w:r w:rsidR="00C57294" w:rsidRPr="002E5F7F">
        <w:rPr>
          <w:sz w:val="22"/>
          <w:szCs w:val="22"/>
        </w:rPr>
        <w:t xml:space="preserve">as </w:t>
      </w:r>
      <w:r w:rsidR="00100294" w:rsidRPr="002E5F7F">
        <w:rPr>
          <w:sz w:val="22"/>
          <w:szCs w:val="22"/>
        </w:rPr>
        <w:t>follows (</w:t>
      </w:r>
      <w:r w:rsidR="00BE4844">
        <w:rPr>
          <w:sz w:val="22"/>
          <w:szCs w:val="22"/>
        </w:rPr>
        <w:t xml:space="preserve">for </w:t>
      </w:r>
      <w:r w:rsidR="002E5F7F" w:rsidRPr="002E5F7F">
        <w:rPr>
          <w:sz w:val="22"/>
          <w:szCs w:val="22"/>
        </w:rPr>
        <w:t xml:space="preserve">explanation </w:t>
      </w:r>
      <w:r w:rsidR="00100294" w:rsidRPr="002E5F7F">
        <w:rPr>
          <w:sz w:val="22"/>
          <w:szCs w:val="22"/>
        </w:rPr>
        <w:t xml:space="preserve">see paragraph 2 </w:t>
      </w:r>
      <w:r w:rsidR="00006778">
        <w:rPr>
          <w:sz w:val="22"/>
          <w:szCs w:val="22"/>
        </w:rPr>
        <w:t>in the main text of this document</w:t>
      </w:r>
      <w:r w:rsidR="00100294" w:rsidRPr="002E5F7F">
        <w:rPr>
          <w:sz w:val="22"/>
          <w:szCs w:val="22"/>
        </w:rPr>
        <w:t>)</w:t>
      </w:r>
      <w:r w:rsidR="00A87C9C" w:rsidRPr="002E5F7F">
        <w:rPr>
          <w:sz w:val="22"/>
          <w:szCs w:val="22"/>
        </w:rPr>
        <w:t>:</w:t>
      </w:r>
    </w:p>
    <w:p w:rsidR="00A87C9C" w:rsidRDefault="00A87C9C" w:rsidP="005C34B3">
      <w:pPr>
        <w:pStyle w:val="SingleTxtG"/>
      </w:pPr>
      <w:r>
        <w:t>"</w:t>
      </w:r>
      <w:r w:rsidR="00BF5E5B">
        <w:t>4.1</w:t>
      </w:r>
      <w:r>
        <w:tab/>
      </w:r>
      <w:r w:rsidR="00BF5E5B">
        <w:t>The procedure only applies to possible flammable mixtures</w:t>
      </w:r>
      <w:r w:rsidR="00DE06A8">
        <w:t xml:space="preserve"> </w:t>
      </w:r>
      <w:r w:rsidR="00DE06A8" w:rsidRPr="00DE06A8">
        <w:rPr>
          <w:vertAlign w:val="superscript"/>
        </w:rPr>
        <w:t>1</w:t>
      </w:r>
      <w:r w:rsidR="00BF5E5B">
        <w:t xml:space="preserve"> containing</w:t>
      </w:r>
      <w:r w:rsidRPr="005F6A5A">
        <w:t xml:space="preserve"> known flammable liquids in defined concentrations although they</w:t>
      </w:r>
      <w:r>
        <w:t xml:space="preserve"> </w:t>
      </w:r>
      <w:r w:rsidRPr="005F6A5A">
        <w:t xml:space="preserve">may contain non-volatile </w:t>
      </w:r>
      <w:r w:rsidR="00BF5E5B">
        <w:t>components</w:t>
      </w:r>
      <w:r w:rsidRPr="005F6A5A">
        <w:t xml:space="preserve"> e.g. polymers, additives</w:t>
      </w:r>
      <w:r w:rsidR="00BF5E5B">
        <w:t xml:space="preserve"> etc. T</w:t>
      </w:r>
      <w:r w:rsidRPr="005F6A5A">
        <w:t xml:space="preserve">he flash point </w:t>
      </w:r>
      <w:r w:rsidR="00BF5E5B">
        <w:t xml:space="preserve">of these mixtures </w:t>
      </w:r>
      <w:r w:rsidRPr="005F6A5A">
        <w:t>need not be determined experimentally if</w:t>
      </w:r>
      <w:r>
        <w:t xml:space="preserve"> </w:t>
      </w:r>
      <w:r w:rsidRPr="005F6A5A">
        <w:t xml:space="preserve">the calculated flash point of the mixture, using the method given in </w:t>
      </w:r>
      <w:r w:rsidR="00BF5E5B">
        <w:t>4.2</w:t>
      </w:r>
      <w:r w:rsidRPr="005F6A5A">
        <w:t>, is at least 5 °C</w:t>
      </w:r>
      <w:r w:rsidR="00DE06A8">
        <w:t xml:space="preserve"> </w:t>
      </w:r>
      <w:r w:rsidR="00DE06A8" w:rsidRPr="00DE06A8">
        <w:rPr>
          <w:vertAlign w:val="superscript"/>
        </w:rPr>
        <w:t>2</w:t>
      </w:r>
      <w:r w:rsidRPr="005F6A5A">
        <w:t xml:space="preserve"> greater than the</w:t>
      </w:r>
      <w:r>
        <w:t xml:space="preserve"> </w:t>
      </w:r>
      <w:r w:rsidRPr="005F6A5A">
        <w:t xml:space="preserve">relevant classification criterion </w:t>
      </w:r>
      <w:r w:rsidRPr="005F6A5A">
        <w:rPr>
          <w:strike/>
        </w:rPr>
        <w:t>(23 °C and 60 °C, respectively)</w:t>
      </w:r>
      <w:r w:rsidRPr="005F6A5A">
        <w:t xml:space="preserve"> and provided that:</w:t>
      </w:r>
      <w:r>
        <w:t xml:space="preserve"> "</w:t>
      </w:r>
    </w:p>
    <w:p w:rsidR="00A87C9C" w:rsidRDefault="00A87C9C" w:rsidP="009047E1">
      <w:pPr>
        <w:pStyle w:val="H1G"/>
        <w:rPr>
          <w:sz w:val="22"/>
          <w:szCs w:val="22"/>
        </w:rPr>
      </w:pPr>
      <w:r w:rsidRPr="002E5F7F">
        <w:rPr>
          <w:sz w:val="22"/>
          <w:szCs w:val="22"/>
        </w:rPr>
        <w:tab/>
      </w:r>
      <w:r w:rsidRPr="002E5F7F">
        <w:rPr>
          <w:sz w:val="22"/>
          <w:szCs w:val="22"/>
        </w:rPr>
        <w:tab/>
      </w:r>
      <w:r w:rsidR="00006778">
        <w:rPr>
          <w:sz w:val="22"/>
          <w:szCs w:val="22"/>
        </w:rPr>
        <w:t>In</w:t>
      </w:r>
      <w:r w:rsidR="00C57294" w:rsidRPr="002E5F7F">
        <w:rPr>
          <w:sz w:val="22"/>
          <w:szCs w:val="22"/>
        </w:rPr>
        <w:t xml:space="preserve"> 32.5.2 </w:t>
      </w:r>
      <w:r w:rsidR="00100294" w:rsidRPr="002E5F7F">
        <w:rPr>
          <w:sz w:val="22"/>
          <w:szCs w:val="22"/>
        </w:rPr>
        <w:t>(</w:t>
      </w:r>
      <w:r w:rsidR="00006778">
        <w:rPr>
          <w:sz w:val="22"/>
          <w:szCs w:val="22"/>
        </w:rPr>
        <w:t xml:space="preserve">for </w:t>
      </w:r>
      <w:r w:rsidR="00E8728D">
        <w:rPr>
          <w:sz w:val="22"/>
          <w:szCs w:val="22"/>
        </w:rPr>
        <w:t>explanation</w:t>
      </w:r>
      <w:r w:rsidR="00006778">
        <w:rPr>
          <w:sz w:val="22"/>
          <w:szCs w:val="22"/>
        </w:rPr>
        <w:t>,</w:t>
      </w:r>
      <w:r w:rsidR="00E8728D">
        <w:rPr>
          <w:sz w:val="22"/>
          <w:szCs w:val="22"/>
        </w:rPr>
        <w:t xml:space="preserve"> </w:t>
      </w:r>
      <w:r w:rsidR="00100294" w:rsidRPr="002E5F7F">
        <w:rPr>
          <w:sz w:val="22"/>
          <w:szCs w:val="22"/>
        </w:rPr>
        <w:t xml:space="preserve">see paragraph 5 </w:t>
      </w:r>
      <w:r w:rsidR="00006778">
        <w:rPr>
          <w:sz w:val="22"/>
          <w:szCs w:val="22"/>
        </w:rPr>
        <w:t>in the main text of this document</w:t>
      </w:r>
      <w:r w:rsidR="00100294" w:rsidRPr="002E5F7F">
        <w:rPr>
          <w:sz w:val="22"/>
          <w:szCs w:val="22"/>
        </w:rPr>
        <w:t>)</w:t>
      </w:r>
      <w:r w:rsidRPr="002E5F7F">
        <w:rPr>
          <w:sz w:val="22"/>
          <w:szCs w:val="22"/>
        </w:rPr>
        <w:t>:</w:t>
      </w:r>
    </w:p>
    <w:p w:rsidR="00006778" w:rsidRPr="002E5F7F" w:rsidRDefault="00BE4844" w:rsidP="00006778">
      <w:pPr>
        <w:pStyle w:val="H1G"/>
        <w:rPr>
          <w:sz w:val="22"/>
          <w:szCs w:val="22"/>
        </w:rPr>
      </w:pPr>
      <w:r>
        <w:rPr>
          <w:sz w:val="22"/>
          <w:szCs w:val="22"/>
        </w:rPr>
        <w:tab/>
        <w:t>(a)</w:t>
      </w:r>
      <w:r>
        <w:rPr>
          <w:sz w:val="22"/>
          <w:szCs w:val="22"/>
        </w:rPr>
        <w:tab/>
      </w:r>
      <w:r w:rsidR="00006778" w:rsidRPr="002E5F7F">
        <w:rPr>
          <w:sz w:val="22"/>
          <w:szCs w:val="22"/>
        </w:rPr>
        <w:t xml:space="preserve">Amend </w:t>
      </w:r>
      <w:r w:rsidR="00006778">
        <w:rPr>
          <w:sz w:val="22"/>
          <w:szCs w:val="22"/>
        </w:rPr>
        <w:t>the second sentence of 32.5.2.3.2 to read:</w:t>
      </w:r>
    </w:p>
    <w:p w:rsidR="00A87C9C" w:rsidRDefault="00006778" w:rsidP="005C34B3">
      <w:pPr>
        <w:pStyle w:val="SingleTxtG"/>
      </w:pPr>
      <w:r>
        <w:t>“</w:t>
      </w:r>
      <w:r w:rsidR="00C044E4" w:rsidRPr="00C044E4">
        <w:t xml:space="preserve">The test temperature is 60.5 °C or 75 °C </w:t>
      </w:r>
      <w:r w:rsidR="00C044E4" w:rsidRPr="005C34B3">
        <w:rPr>
          <w:u w:val="single"/>
        </w:rPr>
        <w:t xml:space="preserve">(for liquids with a flash point of more than 35 °C and less than or equal to 60 °C) or 93 °C or 108 °C (for liquids with a flash point of more than 60 °C and less than or equal to 93 °C) </w:t>
      </w:r>
      <w:r w:rsidR="00C044E4" w:rsidRPr="00C044E4">
        <w:t>(see 32.5.2.3.8).</w:t>
      </w:r>
      <w:r w:rsidR="00BE4844">
        <w:t>”;</w:t>
      </w:r>
    </w:p>
    <w:p w:rsidR="00006778" w:rsidRPr="002E5F7F" w:rsidRDefault="00BE4844" w:rsidP="00006778">
      <w:pPr>
        <w:pStyle w:val="H1G"/>
        <w:rPr>
          <w:sz w:val="22"/>
          <w:szCs w:val="22"/>
        </w:rPr>
      </w:pPr>
      <w:r>
        <w:rPr>
          <w:sz w:val="22"/>
          <w:szCs w:val="22"/>
        </w:rPr>
        <w:tab/>
        <w:t>(b)</w:t>
      </w:r>
      <w:r>
        <w:rPr>
          <w:sz w:val="22"/>
          <w:szCs w:val="22"/>
        </w:rPr>
        <w:tab/>
      </w:r>
      <w:r w:rsidR="00006778" w:rsidRPr="002E5F7F">
        <w:rPr>
          <w:sz w:val="22"/>
          <w:szCs w:val="22"/>
        </w:rPr>
        <w:t xml:space="preserve">Amend </w:t>
      </w:r>
      <w:r w:rsidR="00006778">
        <w:rPr>
          <w:sz w:val="22"/>
          <w:szCs w:val="22"/>
        </w:rPr>
        <w:t>32.5.2.3.8 to read:</w:t>
      </w:r>
    </w:p>
    <w:p w:rsidR="005C3727" w:rsidRPr="00CE1F29" w:rsidRDefault="00C044E4" w:rsidP="005C3727">
      <w:pPr>
        <w:pStyle w:val="SingleTxtG"/>
      </w:pPr>
      <w:r w:rsidRPr="00CE1F29">
        <w:t>"32.5.2.3.8</w:t>
      </w:r>
      <w:r w:rsidRPr="00CE1F29">
        <w:tab/>
        <w:t xml:space="preserve">If sustained combustion, interpreted in accordance with 32.5.2.4 is not found </w:t>
      </w:r>
      <w:r w:rsidR="00CE1F29">
        <w:t xml:space="preserve">at </w:t>
      </w:r>
      <w:r w:rsidR="00CE1F29" w:rsidRPr="00CE1F29">
        <w:rPr>
          <w:u w:val="single"/>
        </w:rPr>
        <w:t xml:space="preserve">the lower applicable test temperature according to 32.5.2.3.2 </w:t>
      </w:r>
      <w:r w:rsidR="00CE1F29" w:rsidRPr="00CE1F29">
        <w:rPr>
          <w:strike/>
        </w:rPr>
        <w:t>a test temperature of 60.5 °C</w:t>
      </w:r>
      <w:r w:rsidR="00CE1F29">
        <w:t xml:space="preserve">, </w:t>
      </w:r>
      <w:r w:rsidRPr="00CE1F29">
        <w:t xml:space="preserve">repeat the </w:t>
      </w:r>
      <w:r w:rsidR="00CE1F29">
        <w:t xml:space="preserve">complete procedure with new </w:t>
      </w:r>
      <w:r w:rsidRPr="00CE1F29">
        <w:t xml:space="preserve">test </w:t>
      </w:r>
      <w:r w:rsidR="00CE1F29">
        <w:t xml:space="preserve">portions, but </w:t>
      </w:r>
      <w:r w:rsidRPr="00CE1F29">
        <w:t xml:space="preserve">at </w:t>
      </w:r>
      <w:r w:rsidR="00CE1F29" w:rsidRPr="00CE1F29">
        <w:rPr>
          <w:u w:val="single"/>
        </w:rPr>
        <w:t xml:space="preserve">the </w:t>
      </w:r>
      <w:r w:rsidR="00CE1F29">
        <w:rPr>
          <w:u w:val="single"/>
        </w:rPr>
        <w:t>higher</w:t>
      </w:r>
      <w:r w:rsidR="00CE1F29" w:rsidRPr="00CE1F29">
        <w:rPr>
          <w:u w:val="single"/>
        </w:rPr>
        <w:t xml:space="preserve"> applicable test temperature according to 32.5.2.3.2</w:t>
      </w:r>
      <w:r w:rsidR="00CE1F29" w:rsidRPr="00CE1F29">
        <w:rPr>
          <w:strike/>
        </w:rPr>
        <w:t xml:space="preserve"> a test temperature of 75 °C</w:t>
      </w:r>
      <w:r w:rsidR="00BE4844">
        <w:t>.</w:t>
      </w:r>
      <w:r w:rsidR="00CE1F29">
        <w:t>"</w:t>
      </w:r>
      <w:r w:rsidR="00BE4844">
        <w:t>.</w:t>
      </w:r>
    </w:p>
    <w:p w:rsidR="00601DF1" w:rsidRDefault="00DE032C" w:rsidP="00965CB6">
      <w:pPr>
        <w:spacing w:before="60"/>
        <w:ind w:left="1134" w:right="1134"/>
        <w:jc w:val="center"/>
      </w:pPr>
      <w:r>
        <w:rPr>
          <w:u w:val="single"/>
        </w:rPr>
        <w:tab/>
      </w:r>
      <w:r>
        <w:rPr>
          <w:u w:val="single"/>
        </w:rPr>
        <w:tab/>
      </w:r>
      <w:r>
        <w:rPr>
          <w:u w:val="single"/>
        </w:rPr>
        <w:tab/>
      </w:r>
    </w:p>
    <w:sectPr w:rsidR="00601DF1" w:rsidSect="004D728D">
      <w:headerReference w:type="first" r:id="rId16"/>
      <w:footerReference w:type="first" r:id="rId17"/>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A5A" w:rsidRDefault="005F6A5A"/>
  </w:endnote>
  <w:endnote w:type="continuationSeparator" w:id="0">
    <w:p w:rsidR="005F6A5A" w:rsidRDefault="005F6A5A"/>
  </w:endnote>
  <w:endnote w:type="continuationNotice" w:id="1">
    <w:p w:rsidR="005F6A5A" w:rsidRDefault="005F6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5A" w:rsidRPr="00601DF1" w:rsidRDefault="005F6A5A" w:rsidP="00601DF1">
    <w:pPr>
      <w:pStyle w:val="Footer"/>
      <w:tabs>
        <w:tab w:val="right" w:pos="9638"/>
      </w:tabs>
      <w:rPr>
        <w:sz w:val="18"/>
      </w:rPr>
    </w:pPr>
    <w:r w:rsidRPr="00601DF1">
      <w:rPr>
        <w:b/>
        <w:sz w:val="18"/>
      </w:rPr>
      <w:fldChar w:fldCharType="begin"/>
    </w:r>
    <w:r w:rsidRPr="00601DF1">
      <w:rPr>
        <w:b/>
        <w:sz w:val="18"/>
      </w:rPr>
      <w:instrText xml:space="preserve"> PAGE  \* MERGEFORMAT </w:instrText>
    </w:r>
    <w:r w:rsidRPr="00601DF1">
      <w:rPr>
        <w:b/>
        <w:sz w:val="18"/>
      </w:rPr>
      <w:fldChar w:fldCharType="separate"/>
    </w:r>
    <w:r w:rsidR="00635754">
      <w:rPr>
        <w:b/>
        <w:noProof/>
        <w:sz w:val="18"/>
      </w:rPr>
      <w:t>2</w:t>
    </w:r>
    <w:r w:rsidRPr="00601DF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5A" w:rsidRPr="00601DF1" w:rsidRDefault="005F6A5A" w:rsidP="00601DF1">
    <w:pPr>
      <w:pStyle w:val="Footer"/>
      <w:tabs>
        <w:tab w:val="right" w:pos="9638"/>
      </w:tabs>
      <w:rPr>
        <w:b/>
        <w:sz w:val="18"/>
      </w:rPr>
    </w:pPr>
    <w:r>
      <w:tab/>
    </w:r>
    <w:r w:rsidRPr="00601DF1">
      <w:rPr>
        <w:b/>
        <w:sz w:val="18"/>
      </w:rPr>
      <w:fldChar w:fldCharType="begin"/>
    </w:r>
    <w:r w:rsidRPr="00601DF1">
      <w:rPr>
        <w:b/>
        <w:sz w:val="18"/>
      </w:rPr>
      <w:instrText xml:space="preserve"> PAGE  \* MERGEFORMAT </w:instrText>
    </w:r>
    <w:r w:rsidRPr="00601DF1">
      <w:rPr>
        <w:b/>
        <w:sz w:val="18"/>
      </w:rPr>
      <w:fldChar w:fldCharType="separate"/>
    </w:r>
    <w:r w:rsidR="004D728D">
      <w:rPr>
        <w:b/>
        <w:noProof/>
        <w:sz w:val="18"/>
      </w:rPr>
      <w:t>3</w:t>
    </w:r>
    <w:r w:rsidRPr="00601DF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69594620"/>
      <w:docPartObj>
        <w:docPartGallery w:val="Page Numbers (Bottom of Page)"/>
        <w:docPartUnique/>
      </w:docPartObj>
    </w:sdtPr>
    <w:sdtEndPr>
      <w:rPr>
        <w:noProof/>
      </w:rPr>
    </w:sdtEndPr>
    <w:sdtContent>
      <w:p w:rsidR="00997331" w:rsidRPr="00997331" w:rsidRDefault="00997331">
        <w:pPr>
          <w:pStyle w:val="Footer"/>
          <w:jc w:val="right"/>
          <w:rPr>
            <w:b/>
          </w:rPr>
        </w:pPr>
        <w:r w:rsidRPr="00997331">
          <w:rPr>
            <w:b/>
          </w:rPr>
          <w:fldChar w:fldCharType="begin"/>
        </w:r>
        <w:r w:rsidRPr="00997331">
          <w:rPr>
            <w:b/>
          </w:rPr>
          <w:instrText xml:space="preserve"> PAGE   \* MERGEFORMAT </w:instrText>
        </w:r>
        <w:r w:rsidRPr="00997331">
          <w:rPr>
            <w:b/>
          </w:rPr>
          <w:fldChar w:fldCharType="separate"/>
        </w:r>
        <w:r w:rsidR="00635754">
          <w:rPr>
            <w:b/>
            <w:noProof/>
          </w:rPr>
          <w:t>3</w:t>
        </w:r>
        <w:r w:rsidRPr="00997331">
          <w:rPr>
            <w:b/>
            <w:noProof/>
          </w:rPr>
          <w:fldChar w:fldCharType="end"/>
        </w:r>
      </w:p>
    </w:sdtContent>
  </w:sdt>
  <w:p w:rsidR="00997331" w:rsidRDefault="009973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604682780"/>
      <w:docPartObj>
        <w:docPartGallery w:val="Page Numbers (Bottom of Page)"/>
        <w:docPartUnique/>
      </w:docPartObj>
    </w:sdtPr>
    <w:sdtEndPr>
      <w:rPr>
        <w:noProof/>
      </w:rPr>
    </w:sdtEndPr>
    <w:sdtContent>
      <w:p w:rsidR="00997331" w:rsidRPr="00997331" w:rsidRDefault="00997331">
        <w:pPr>
          <w:pStyle w:val="Footer"/>
          <w:rPr>
            <w:b/>
          </w:rPr>
        </w:pPr>
        <w:r w:rsidRPr="00997331">
          <w:rPr>
            <w:b/>
          </w:rPr>
          <w:fldChar w:fldCharType="begin"/>
        </w:r>
        <w:r w:rsidRPr="00997331">
          <w:rPr>
            <w:b/>
          </w:rPr>
          <w:instrText xml:space="preserve"> PAGE   \* MERGEFORMAT </w:instrText>
        </w:r>
        <w:r w:rsidRPr="00997331">
          <w:rPr>
            <w:b/>
          </w:rPr>
          <w:fldChar w:fldCharType="separate"/>
        </w:r>
        <w:r w:rsidR="00635754">
          <w:rPr>
            <w:b/>
            <w:noProof/>
          </w:rPr>
          <w:t>4</w:t>
        </w:r>
        <w:r w:rsidRPr="00997331">
          <w:rPr>
            <w:b/>
            <w:noProof/>
          </w:rPr>
          <w:fldChar w:fldCharType="end"/>
        </w:r>
      </w:p>
    </w:sdtContent>
  </w:sdt>
  <w:p w:rsidR="00997331" w:rsidRDefault="00997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A5A" w:rsidRPr="000B175B" w:rsidRDefault="005F6A5A" w:rsidP="000B175B">
      <w:pPr>
        <w:tabs>
          <w:tab w:val="right" w:pos="2155"/>
        </w:tabs>
        <w:spacing w:after="80"/>
        <w:ind w:left="680"/>
        <w:rPr>
          <w:u w:val="single"/>
        </w:rPr>
      </w:pPr>
      <w:r>
        <w:rPr>
          <w:u w:val="single"/>
        </w:rPr>
        <w:tab/>
      </w:r>
    </w:p>
  </w:footnote>
  <w:footnote w:type="continuationSeparator" w:id="0">
    <w:p w:rsidR="005F6A5A" w:rsidRPr="00FC68B7" w:rsidRDefault="005F6A5A" w:rsidP="00FC68B7">
      <w:pPr>
        <w:tabs>
          <w:tab w:val="left" w:pos="2155"/>
        </w:tabs>
        <w:spacing w:after="80"/>
        <w:ind w:left="680"/>
        <w:rPr>
          <w:u w:val="single"/>
        </w:rPr>
      </w:pPr>
      <w:r>
        <w:rPr>
          <w:u w:val="single"/>
        </w:rPr>
        <w:tab/>
      </w:r>
    </w:p>
  </w:footnote>
  <w:footnote w:type="continuationNotice" w:id="1">
    <w:p w:rsidR="005F6A5A" w:rsidRDefault="005F6A5A"/>
  </w:footnote>
  <w:footnote w:id="2">
    <w:p w:rsidR="00FA3CD2" w:rsidRPr="003B7E58" w:rsidRDefault="00FA3CD2" w:rsidP="006231C5">
      <w:pPr>
        <w:pStyle w:val="SingleTxtG"/>
        <w:tabs>
          <w:tab w:val="left" w:pos="1418"/>
        </w:tabs>
        <w:spacing w:after="0"/>
        <w:rPr>
          <w:sz w:val="18"/>
          <w:szCs w:val="18"/>
        </w:rPr>
      </w:pPr>
      <w:r w:rsidRPr="003B7E58">
        <w:rPr>
          <w:rStyle w:val="FootnoteReference"/>
          <w:szCs w:val="18"/>
        </w:rPr>
        <w:footnoteRef/>
      </w:r>
      <w:r w:rsidRPr="003B7E58">
        <w:rPr>
          <w:sz w:val="18"/>
          <w:szCs w:val="18"/>
        </w:rPr>
        <w:t xml:space="preserve"> </w:t>
      </w:r>
      <w:r w:rsidRPr="003B7E58">
        <w:rPr>
          <w:sz w:val="18"/>
          <w:szCs w:val="18"/>
        </w:rPr>
        <w:tab/>
        <w:t>In accordance with the programme of work of the Sub-Committee for 2015–2016 approved 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5A" w:rsidRPr="00601DF1" w:rsidRDefault="005F6A5A">
    <w:pPr>
      <w:pStyle w:val="Header"/>
    </w:pPr>
    <w:r>
      <w:t>ST/SG/AC.10/C.3/2016/</w:t>
    </w:r>
    <w:r w:rsidR="00F46502">
      <w:t>62</w:t>
    </w:r>
    <w:r>
      <w:br/>
      <w:t>ST/SG/AC.10/C.4/2016/</w:t>
    </w:r>
    <w:r w:rsidR="00F46502">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5A" w:rsidRPr="00601DF1" w:rsidRDefault="005F6A5A" w:rsidP="00601DF1">
    <w:pPr>
      <w:pStyle w:val="Header"/>
      <w:jc w:val="right"/>
    </w:pPr>
    <w:r>
      <w:t>ST/SG/AC.10/C.3/2016/</w:t>
    </w:r>
    <w:r w:rsidR="00C059DA">
      <w:t>x</w:t>
    </w:r>
    <w:r w:rsidR="00C059DA">
      <w:br/>
      <w:t>ST/SG/AC.10/C.4/2016/y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24" w:rsidRPr="00601DF1" w:rsidRDefault="00F51224" w:rsidP="00F51224">
    <w:pPr>
      <w:pStyle w:val="Header"/>
      <w:jc w:val="right"/>
    </w:pPr>
    <w:r>
      <w:t>ST/SG/AC.10/C.3/2016/62</w:t>
    </w:r>
    <w:r>
      <w:br/>
      <w:t>ST/SG/AC.10/C.4/2016/13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31" w:rsidRPr="00601DF1" w:rsidRDefault="00997331" w:rsidP="00997331">
    <w:pPr>
      <w:pStyle w:val="Header"/>
    </w:pPr>
    <w:r>
      <w:t>ST/SG/AC.10/C.3/2016/62</w:t>
    </w:r>
    <w:r>
      <w:br/>
      <w:t>ST/SG/AC.10/C.4/2016/13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2103B8D"/>
    <w:multiLevelType w:val="hybridMultilevel"/>
    <w:tmpl w:val="B748D9F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F1"/>
    <w:rsid w:val="00006778"/>
    <w:rsid w:val="00047CEB"/>
    <w:rsid w:val="000504CE"/>
    <w:rsid w:val="00050F6B"/>
    <w:rsid w:val="000569F4"/>
    <w:rsid w:val="00072C8C"/>
    <w:rsid w:val="00081A1C"/>
    <w:rsid w:val="00091419"/>
    <w:rsid w:val="000931C0"/>
    <w:rsid w:val="00097C02"/>
    <w:rsid w:val="000B175B"/>
    <w:rsid w:val="000B3A0F"/>
    <w:rsid w:val="000E0415"/>
    <w:rsid w:val="00100294"/>
    <w:rsid w:val="00117787"/>
    <w:rsid w:val="00125843"/>
    <w:rsid w:val="00131D42"/>
    <w:rsid w:val="00143567"/>
    <w:rsid w:val="001633FB"/>
    <w:rsid w:val="00167786"/>
    <w:rsid w:val="00176A38"/>
    <w:rsid w:val="00195C75"/>
    <w:rsid w:val="001B4B04"/>
    <w:rsid w:val="001C6663"/>
    <w:rsid w:val="001C7895"/>
    <w:rsid w:val="001D26DF"/>
    <w:rsid w:val="001D2FDC"/>
    <w:rsid w:val="0020003A"/>
    <w:rsid w:val="0020107E"/>
    <w:rsid w:val="00211E0B"/>
    <w:rsid w:val="00212371"/>
    <w:rsid w:val="00213BF9"/>
    <w:rsid w:val="002309A7"/>
    <w:rsid w:val="00237785"/>
    <w:rsid w:val="00241466"/>
    <w:rsid w:val="00251DD6"/>
    <w:rsid w:val="00254308"/>
    <w:rsid w:val="002725CA"/>
    <w:rsid w:val="00272D83"/>
    <w:rsid w:val="00280EB7"/>
    <w:rsid w:val="002B1CDA"/>
    <w:rsid w:val="002E1C62"/>
    <w:rsid w:val="002E5F7F"/>
    <w:rsid w:val="002F352A"/>
    <w:rsid w:val="00303F76"/>
    <w:rsid w:val="003107FA"/>
    <w:rsid w:val="003229D8"/>
    <w:rsid w:val="00374565"/>
    <w:rsid w:val="0039277A"/>
    <w:rsid w:val="003972E0"/>
    <w:rsid w:val="003B7E58"/>
    <w:rsid w:val="003C2CC4"/>
    <w:rsid w:val="003D4B23"/>
    <w:rsid w:val="0040168C"/>
    <w:rsid w:val="00406ABA"/>
    <w:rsid w:val="00410751"/>
    <w:rsid w:val="004240F9"/>
    <w:rsid w:val="004309FE"/>
    <w:rsid w:val="004325CB"/>
    <w:rsid w:val="00437F3F"/>
    <w:rsid w:val="00443C10"/>
    <w:rsid w:val="00446DE4"/>
    <w:rsid w:val="00454036"/>
    <w:rsid w:val="004B2C9D"/>
    <w:rsid w:val="004D728D"/>
    <w:rsid w:val="004D7F7F"/>
    <w:rsid w:val="004F4D0F"/>
    <w:rsid w:val="005023AA"/>
    <w:rsid w:val="00504189"/>
    <w:rsid w:val="00504F12"/>
    <w:rsid w:val="00527910"/>
    <w:rsid w:val="005420F2"/>
    <w:rsid w:val="005567BB"/>
    <w:rsid w:val="005641FC"/>
    <w:rsid w:val="00586B06"/>
    <w:rsid w:val="00590144"/>
    <w:rsid w:val="005B3DB3"/>
    <w:rsid w:val="005B7108"/>
    <w:rsid w:val="005C34B3"/>
    <w:rsid w:val="005C3727"/>
    <w:rsid w:val="005C6070"/>
    <w:rsid w:val="005E3591"/>
    <w:rsid w:val="005F123D"/>
    <w:rsid w:val="005F6A5A"/>
    <w:rsid w:val="00601DF1"/>
    <w:rsid w:val="00611FC4"/>
    <w:rsid w:val="006176FB"/>
    <w:rsid w:val="006231C5"/>
    <w:rsid w:val="0063419C"/>
    <w:rsid w:val="00635754"/>
    <w:rsid w:val="00640B26"/>
    <w:rsid w:val="006500BA"/>
    <w:rsid w:val="006A7392"/>
    <w:rsid w:val="006B21AF"/>
    <w:rsid w:val="006C0D34"/>
    <w:rsid w:val="006E0279"/>
    <w:rsid w:val="006E564B"/>
    <w:rsid w:val="00707963"/>
    <w:rsid w:val="007213B8"/>
    <w:rsid w:val="0072632A"/>
    <w:rsid w:val="00764B92"/>
    <w:rsid w:val="00790791"/>
    <w:rsid w:val="007B1A7E"/>
    <w:rsid w:val="007B6BA5"/>
    <w:rsid w:val="007C3390"/>
    <w:rsid w:val="007C4F4B"/>
    <w:rsid w:val="007F6611"/>
    <w:rsid w:val="008175E9"/>
    <w:rsid w:val="008242D7"/>
    <w:rsid w:val="00861E67"/>
    <w:rsid w:val="00871FD5"/>
    <w:rsid w:val="0089375A"/>
    <w:rsid w:val="008979B1"/>
    <w:rsid w:val="008A218C"/>
    <w:rsid w:val="008A6B25"/>
    <w:rsid w:val="008A6C4F"/>
    <w:rsid w:val="008C0346"/>
    <w:rsid w:val="008E0E46"/>
    <w:rsid w:val="008F798A"/>
    <w:rsid w:val="009047E1"/>
    <w:rsid w:val="00913A5F"/>
    <w:rsid w:val="0094580E"/>
    <w:rsid w:val="00945A5D"/>
    <w:rsid w:val="009607CE"/>
    <w:rsid w:val="009636DD"/>
    <w:rsid w:val="00963CBA"/>
    <w:rsid w:val="00965CB6"/>
    <w:rsid w:val="00966F1A"/>
    <w:rsid w:val="0099124E"/>
    <w:rsid w:val="00991261"/>
    <w:rsid w:val="00997331"/>
    <w:rsid w:val="009A2EC9"/>
    <w:rsid w:val="009D1AAE"/>
    <w:rsid w:val="009E7FC4"/>
    <w:rsid w:val="009F0F06"/>
    <w:rsid w:val="00A12DC4"/>
    <w:rsid w:val="00A1427D"/>
    <w:rsid w:val="00A17883"/>
    <w:rsid w:val="00A31948"/>
    <w:rsid w:val="00A33771"/>
    <w:rsid w:val="00A338CA"/>
    <w:rsid w:val="00A54540"/>
    <w:rsid w:val="00A718CC"/>
    <w:rsid w:val="00A72F22"/>
    <w:rsid w:val="00A748A6"/>
    <w:rsid w:val="00A75EC9"/>
    <w:rsid w:val="00A8523D"/>
    <w:rsid w:val="00A879A4"/>
    <w:rsid w:val="00A87C9C"/>
    <w:rsid w:val="00AF009B"/>
    <w:rsid w:val="00AF23EC"/>
    <w:rsid w:val="00AF76D9"/>
    <w:rsid w:val="00B23E28"/>
    <w:rsid w:val="00B30179"/>
    <w:rsid w:val="00B3317B"/>
    <w:rsid w:val="00B43B43"/>
    <w:rsid w:val="00B47598"/>
    <w:rsid w:val="00B56DD8"/>
    <w:rsid w:val="00B81E12"/>
    <w:rsid w:val="00B93068"/>
    <w:rsid w:val="00BA5D34"/>
    <w:rsid w:val="00BC74E9"/>
    <w:rsid w:val="00BD013B"/>
    <w:rsid w:val="00BD066E"/>
    <w:rsid w:val="00BE4844"/>
    <w:rsid w:val="00BE618E"/>
    <w:rsid w:val="00BF248E"/>
    <w:rsid w:val="00BF5E5B"/>
    <w:rsid w:val="00C01AB9"/>
    <w:rsid w:val="00C044E4"/>
    <w:rsid w:val="00C059DA"/>
    <w:rsid w:val="00C245F9"/>
    <w:rsid w:val="00C34460"/>
    <w:rsid w:val="00C43945"/>
    <w:rsid w:val="00C463DD"/>
    <w:rsid w:val="00C54D04"/>
    <w:rsid w:val="00C57294"/>
    <w:rsid w:val="00C62F76"/>
    <w:rsid w:val="00C745C3"/>
    <w:rsid w:val="00CC7568"/>
    <w:rsid w:val="00CD26AC"/>
    <w:rsid w:val="00CD3225"/>
    <w:rsid w:val="00CE1F29"/>
    <w:rsid w:val="00CE46BA"/>
    <w:rsid w:val="00CE4A8F"/>
    <w:rsid w:val="00CF5BEA"/>
    <w:rsid w:val="00D01C11"/>
    <w:rsid w:val="00D2031B"/>
    <w:rsid w:val="00D21943"/>
    <w:rsid w:val="00D25FE2"/>
    <w:rsid w:val="00D43252"/>
    <w:rsid w:val="00D46231"/>
    <w:rsid w:val="00D615AE"/>
    <w:rsid w:val="00D61D58"/>
    <w:rsid w:val="00D753D8"/>
    <w:rsid w:val="00D96CC5"/>
    <w:rsid w:val="00D978C6"/>
    <w:rsid w:val="00DA24EE"/>
    <w:rsid w:val="00DA67AD"/>
    <w:rsid w:val="00DC2AE8"/>
    <w:rsid w:val="00DE032C"/>
    <w:rsid w:val="00DE06A8"/>
    <w:rsid w:val="00E03050"/>
    <w:rsid w:val="00E130AB"/>
    <w:rsid w:val="00E1679E"/>
    <w:rsid w:val="00E259E9"/>
    <w:rsid w:val="00E35FA0"/>
    <w:rsid w:val="00E41BE9"/>
    <w:rsid w:val="00E5644E"/>
    <w:rsid w:val="00E61386"/>
    <w:rsid w:val="00E7260F"/>
    <w:rsid w:val="00E81230"/>
    <w:rsid w:val="00E82B43"/>
    <w:rsid w:val="00E8535A"/>
    <w:rsid w:val="00E8728D"/>
    <w:rsid w:val="00E96630"/>
    <w:rsid w:val="00EA772F"/>
    <w:rsid w:val="00EB6832"/>
    <w:rsid w:val="00EC271A"/>
    <w:rsid w:val="00ED7A2A"/>
    <w:rsid w:val="00EF1D7F"/>
    <w:rsid w:val="00F40E75"/>
    <w:rsid w:val="00F46502"/>
    <w:rsid w:val="00F51224"/>
    <w:rsid w:val="00F54674"/>
    <w:rsid w:val="00F92952"/>
    <w:rsid w:val="00FA3CD2"/>
    <w:rsid w:val="00FA3F8B"/>
    <w:rsid w:val="00FC0B21"/>
    <w:rsid w:val="00FC68B7"/>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8D"/>
    <w:pPr>
      <w:suppressAutoHyphens/>
      <w:spacing w:line="240" w:lineRule="atLeast"/>
    </w:pPr>
    <w:rPr>
      <w:lang w:eastAsia="en-US"/>
    </w:rPr>
  </w:style>
  <w:style w:type="paragraph" w:styleId="Heading1">
    <w:name w:val="heading 1"/>
    <w:aliases w:val="Table_G,Heading GHS"/>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rsid w:val="008A218C"/>
    <w:pPr>
      <w:tabs>
        <w:tab w:val="left" w:pos="426"/>
      </w:tabs>
      <w:spacing w:before="60" w:line="220" w:lineRule="exact"/>
    </w:pPr>
    <w:rPr>
      <w:i/>
      <w:szCs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01DF1"/>
    <w:pPr>
      <w:spacing w:line="240" w:lineRule="auto"/>
    </w:pPr>
    <w:rPr>
      <w:rFonts w:ascii="Tahoma" w:hAnsi="Tahoma" w:cs="Tahoma"/>
      <w:sz w:val="16"/>
      <w:szCs w:val="16"/>
    </w:rPr>
  </w:style>
  <w:style w:type="character" w:customStyle="1" w:styleId="BalloonTextChar">
    <w:name w:val="Balloon Text Char"/>
    <w:link w:val="BalloonText"/>
    <w:rsid w:val="00601DF1"/>
    <w:rPr>
      <w:rFonts w:ascii="Tahoma" w:hAnsi="Tahoma" w:cs="Tahoma"/>
      <w:sz w:val="16"/>
      <w:szCs w:val="16"/>
      <w:lang w:eastAsia="en-US"/>
    </w:rPr>
  </w:style>
  <w:style w:type="paragraph" w:customStyle="1" w:styleId="GHSBodyText">
    <w:name w:val="GHSBody Text"/>
    <w:basedOn w:val="BodyText"/>
    <w:link w:val="GHSBodyTextChar"/>
    <w:rsid w:val="00DE032C"/>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paragraph" w:customStyle="1" w:styleId="GHSHeading2">
    <w:name w:val="GHSHeading2"/>
    <w:basedOn w:val="Normal"/>
    <w:autoRedefine/>
    <w:rsid w:val="004D7F7F"/>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DE032C"/>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DE032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character" w:customStyle="1" w:styleId="SingleTxtGChar">
    <w:name w:val="_ Single Txt_G Char"/>
    <w:link w:val="SingleTxtG"/>
    <w:rsid w:val="00DE032C"/>
    <w:rPr>
      <w:lang w:eastAsia="en-US"/>
    </w:rPr>
  </w:style>
  <w:style w:type="character" w:customStyle="1" w:styleId="GHSBodyTextChar">
    <w:name w:val="GHSBody Text Char"/>
    <w:link w:val="GHSBodyText"/>
    <w:rsid w:val="00DE032C"/>
    <w:rPr>
      <w:sz w:val="22"/>
      <w:lang w:eastAsia="en-US"/>
    </w:rPr>
  </w:style>
  <w:style w:type="character" w:customStyle="1" w:styleId="BodyTextChar">
    <w:name w:val="Body Text Char"/>
    <w:link w:val="BodyText"/>
    <w:rsid w:val="00DE032C"/>
    <w:rPr>
      <w:lang w:eastAsia="en-US"/>
    </w:rPr>
  </w:style>
  <w:style w:type="character" w:customStyle="1" w:styleId="Heading2Char">
    <w:name w:val="Heading 2 Char"/>
    <w:link w:val="Heading2"/>
    <w:rsid w:val="00DE032C"/>
    <w:rPr>
      <w:lang w:eastAsia="en-US"/>
    </w:rPr>
  </w:style>
  <w:style w:type="character" w:customStyle="1" w:styleId="BodyText2Char">
    <w:name w:val="Body Text 2 Char"/>
    <w:link w:val="BodyText2"/>
    <w:rsid w:val="00DE032C"/>
    <w:rPr>
      <w:lang w:eastAsia="en-US"/>
    </w:rPr>
  </w:style>
  <w:style w:type="character" w:customStyle="1" w:styleId="BodyText3Char">
    <w:name w:val="Body Text 3 Char"/>
    <w:link w:val="BodyText3"/>
    <w:rsid w:val="00DE032C"/>
    <w:rPr>
      <w:sz w:val="16"/>
      <w:szCs w:val="16"/>
      <w:lang w:eastAsia="en-US"/>
    </w:rPr>
  </w:style>
  <w:style w:type="character" w:customStyle="1" w:styleId="Heading3Char">
    <w:name w:val="Heading 3 Char"/>
    <w:link w:val="Heading3"/>
    <w:rsid w:val="00DE032C"/>
    <w:rPr>
      <w:lang w:eastAsia="en-US"/>
    </w:rPr>
  </w:style>
  <w:style w:type="character" w:customStyle="1" w:styleId="Heading1Char">
    <w:name w:val="Heading 1 Char"/>
    <w:aliases w:val="Table_G Char,Heading GHS Char"/>
    <w:link w:val="Heading1"/>
    <w:rsid w:val="00DE032C"/>
    <w:rPr>
      <w:lang w:eastAsia="en-US"/>
    </w:rPr>
  </w:style>
  <w:style w:type="paragraph" w:customStyle="1" w:styleId="Style1">
    <w:name w:val="Style1"/>
    <w:basedOn w:val="Normal"/>
    <w:rsid w:val="00DE032C"/>
    <w:pPr>
      <w:suppressAutoHyphens w:val="0"/>
      <w:spacing w:line="240" w:lineRule="auto"/>
    </w:pPr>
    <w:rPr>
      <w:sz w:val="22"/>
      <w:szCs w:val="24"/>
    </w:rPr>
  </w:style>
  <w:style w:type="character" w:customStyle="1" w:styleId="CommentTextChar">
    <w:name w:val="Comment Text Char"/>
    <w:basedOn w:val="DefaultParagraphFont"/>
    <w:link w:val="CommentText"/>
    <w:semiHidden/>
    <w:rsid w:val="004D728D"/>
    <w:rPr>
      <w:lang w:eastAsia="en-US"/>
    </w:rPr>
  </w:style>
  <w:style w:type="character" w:customStyle="1" w:styleId="FooterChar">
    <w:name w:val="Footer Char"/>
    <w:aliases w:val="3_G Char"/>
    <w:basedOn w:val="DefaultParagraphFont"/>
    <w:link w:val="Footer"/>
    <w:uiPriority w:val="99"/>
    <w:rsid w:val="00997331"/>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8D"/>
    <w:pPr>
      <w:suppressAutoHyphens/>
      <w:spacing w:line="240" w:lineRule="atLeast"/>
    </w:pPr>
    <w:rPr>
      <w:lang w:eastAsia="en-US"/>
    </w:rPr>
  </w:style>
  <w:style w:type="paragraph" w:styleId="Heading1">
    <w:name w:val="heading 1"/>
    <w:aliases w:val="Table_G,Heading GHS"/>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rsid w:val="008A218C"/>
    <w:pPr>
      <w:tabs>
        <w:tab w:val="left" w:pos="426"/>
      </w:tabs>
      <w:spacing w:before="60" w:line="220" w:lineRule="exact"/>
    </w:pPr>
    <w:rPr>
      <w:i/>
      <w:szCs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01DF1"/>
    <w:pPr>
      <w:spacing w:line="240" w:lineRule="auto"/>
    </w:pPr>
    <w:rPr>
      <w:rFonts w:ascii="Tahoma" w:hAnsi="Tahoma" w:cs="Tahoma"/>
      <w:sz w:val="16"/>
      <w:szCs w:val="16"/>
    </w:rPr>
  </w:style>
  <w:style w:type="character" w:customStyle="1" w:styleId="BalloonTextChar">
    <w:name w:val="Balloon Text Char"/>
    <w:link w:val="BalloonText"/>
    <w:rsid w:val="00601DF1"/>
    <w:rPr>
      <w:rFonts w:ascii="Tahoma" w:hAnsi="Tahoma" w:cs="Tahoma"/>
      <w:sz w:val="16"/>
      <w:szCs w:val="16"/>
      <w:lang w:eastAsia="en-US"/>
    </w:rPr>
  </w:style>
  <w:style w:type="paragraph" w:customStyle="1" w:styleId="GHSBodyText">
    <w:name w:val="GHSBody Text"/>
    <w:basedOn w:val="BodyText"/>
    <w:link w:val="GHSBodyTextChar"/>
    <w:rsid w:val="00DE032C"/>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paragraph" w:customStyle="1" w:styleId="GHSHeading2">
    <w:name w:val="GHSHeading2"/>
    <w:basedOn w:val="Normal"/>
    <w:autoRedefine/>
    <w:rsid w:val="004D7F7F"/>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DE032C"/>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DE032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character" w:customStyle="1" w:styleId="SingleTxtGChar">
    <w:name w:val="_ Single Txt_G Char"/>
    <w:link w:val="SingleTxtG"/>
    <w:rsid w:val="00DE032C"/>
    <w:rPr>
      <w:lang w:eastAsia="en-US"/>
    </w:rPr>
  </w:style>
  <w:style w:type="character" w:customStyle="1" w:styleId="GHSBodyTextChar">
    <w:name w:val="GHSBody Text Char"/>
    <w:link w:val="GHSBodyText"/>
    <w:rsid w:val="00DE032C"/>
    <w:rPr>
      <w:sz w:val="22"/>
      <w:lang w:eastAsia="en-US"/>
    </w:rPr>
  </w:style>
  <w:style w:type="character" w:customStyle="1" w:styleId="BodyTextChar">
    <w:name w:val="Body Text Char"/>
    <w:link w:val="BodyText"/>
    <w:rsid w:val="00DE032C"/>
    <w:rPr>
      <w:lang w:eastAsia="en-US"/>
    </w:rPr>
  </w:style>
  <w:style w:type="character" w:customStyle="1" w:styleId="Heading2Char">
    <w:name w:val="Heading 2 Char"/>
    <w:link w:val="Heading2"/>
    <w:rsid w:val="00DE032C"/>
    <w:rPr>
      <w:lang w:eastAsia="en-US"/>
    </w:rPr>
  </w:style>
  <w:style w:type="character" w:customStyle="1" w:styleId="BodyText2Char">
    <w:name w:val="Body Text 2 Char"/>
    <w:link w:val="BodyText2"/>
    <w:rsid w:val="00DE032C"/>
    <w:rPr>
      <w:lang w:eastAsia="en-US"/>
    </w:rPr>
  </w:style>
  <w:style w:type="character" w:customStyle="1" w:styleId="BodyText3Char">
    <w:name w:val="Body Text 3 Char"/>
    <w:link w:val="BodyText3"/>
    <w:rsid w:val="00DE032C"/>
    <w:rPr>
      <w:sz w:val="16"/>
      <w:szCs w:val="16"/>
      <w:lang w:eastAsia="en-US"/>
    </w:rPr>
  </w:style>
  <w:style w:type="character" w:customStyle="1" w:styleId="Heading3Char">
    <w:name w:val="Heading 3 Char"/>
    <w:link w:val="Heading3"/>
    <w:rsid w:val="00DE032C"/>
    <w:rPr>
      <w:lang w:eastAsia="en-US"/>
    </w:rPr>
  </w:style>
  <w:style w:type="character" w:customStyle="1" w:styleId="Heading1Char">
    <w:name w:val="Heading 1 Char"/>
    <w:aliases w:val="Table_G Char,Heading GHS Char"/>
    <w:link w:val="Heading1"/>
    <w:rsid w:val="00DE032C"/>
    <w:rPr>
      <w:lang w:eastAsia="en-US"/>
    </w:rPr>
  </w:style>
  <w:style w:type="paragraph" w:customStyle="1" w:styleId="Style1">
    <w:name w:val="Style1"/>
    <w:basedOn w:val="Normal"/>
    <w:rsid w:val="00DE032C"/>
    <w:pPr>
      <w:suppressAutoHyphens w:val="0"/>
      <w:spacing w:line="240" w:lineRule="auto"/>
    </w:pPr>
    <w:rPr>
      <w:sz w:val="22"/>
      <w:szCs w:val="24"/>
    </w:rPr>
  </w:style>
  <w:style w:type="character" w:customStyle="1" w:styleId="CommentTextChar">
    <w:name w:val="Comment Text Char"/>
    <w:basedOn w:val="DefaultParagraphFont"/>
    <w:link w:val="CommentText"/>
    <w:semiHidden/>
    <w:rsid w:val="004D728D"/>
    <w:rPr>
      <w:lang w:eastAsia="en-US"/>
    </w:rPr>
  </w:style>
  <w:style w:type="character" w:customStyle="1" w:styleId="FooterChar">
    <w:name w:val="Footer Char"/>
    <w:aliases w:val="3_G Char"/>
    <w:basedOn w:val="DefaultParagraphFont"/>
    <w:link w:val="Footer"/>
    <w:uiPriority w:val="99"/>
    <w:rsid w:val="00997331"/>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610D-DA69-4A4D-AA95-0AA925BB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77</TotalTime>
  <Pages>4</Pages>
  <Words>1407</Words>
  <Characters>7068</Characters>
  <Application>Microsoft Office Word</Application>
  <DocSecurity>0</DocSecurity>
  <Lines>135</Lines>
  <Paragraphs>53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8422</CharactersWithSpaces>
  <SharedDoc>false</SharedDoc>
  <HLinks>
    <vt:vector size="6" baseType="variant">
      <vt:variant>
        <vt:i4>131084</vt:i4>
      </vt:variant>
      <vt:variant>
        <vt:i4>0</vt:i4>
      </vt:variant>
      <vt:variant>
        <vt:i4>0</vt:i4>
      </vt:variant>
      <vt:variant>
        <vt:i4>5</vt:i4>
      </vt:variant>
      <vt:variant>
        <vt:lpwstr>http://www.csb.gov/assets/1/19/ConAgra_Statements_final_for_print_rev_1.pdf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40</cp:revision>
  <cp:lastPrinted>2016-09-05T12:37:00Z</cp:lastPrinted>
  <dcterms:created xsi:type="dcterms:W3CDTF">2016-08-31T11:43:00Z</dcterms:created>
  <dcterms:modified xsi:type="dcterms:W3CDTF">2016-09-06T14:29:00Z</dcterms:modified>
</cp:coreProperties>
</file>