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DE032C">
        <w:trPr>
          <w:trHeight w:val="851"/>
        </w:trPr>
        <w:tc>
          <w:tcPr>
            <w:tcW w:w="1259" w:type="dxa"/>
            <w:tcBorders>
              <w:top w:val="nil"/>
              <w:left w:val="nil"/>
              <w:bottom w:val="single" w:sz="4" w:space="0" w:color="auto"/>
              <w:right w:val="nil"/>
            </w:tcBorders>
            <w:shd w:val="clear" w:color="auto" w:fill="auto"/>
          </w:tcPr>
          <w:p w:rsidR="00446DE4" w:rsidRPr="006500BA" w:rsidRDefault="00446DE4" w:rsidP="00DE032C">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DE032C" w:rsidRDefault="00B3317B" w:rsidP="00DE032C">
            <w:pPr>
              <w:spacing w:after="80" w:line="340" w:lineRule="exact"/>
              <w:rPr>
                <w:sz w:val="28"/>
                <w:szCs w:val="28"/>
              </w:rPr>
            </w:pPr>
            <w:r w:rsidRPr="00DE032C">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01DF1" w:rsidRPr="006500BA" w:rsidRDefault="00601DF1" w:rsidP="00842F58">
            <w:pPr>
              <w:jc w:val="right"/>
            </w:pPr>
            <w:r w:rsidRPr="00DE032C">
              <w:rPr>
                <w:sz w:val="40"/>
              </w:rPr>
              <w:t>ST</w:t>
            </w:r>
            <w:r>
              <w:t>/SG/AC.10/C.3/2016/</w:t>
            </w:r>
            <w:r w:rsidR="00842F58">
              <w:t>53</w:t>
            </w:r>
            <w:r>
              <w:t>−</w:t>
            </w:r>
            <w:r w:rsidRPr="00DE032C">
              <w:rPr>
                <w:sz w:val="40"/>
              </w:rPr>
              <w:t>ST</w:t>
            </w:r>
            <w:r>
              <w:t>/SG/AC.10/C.4/2016/</w:t>
            </w:r>
            <w:r w:rsidR="00E03050">
              <w:t>1</w:t>
            </w:r>
            <w:r w:rsidR="00842F58">
              <w:t>4</w:t>
            </w:r>
          </w:p>
        </w:tc>
      </w:tr>
      <w:tr w:rsidR="003107FA" w:rsidRPr="006500BA" w:rsidTr="00DE032C">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5641FC" w:rsidP="00DE032C">
            <w:pPr>
              <w:spacing w:before="120"/>
              <w:jc w:val="center"/>
            </w:pPr>
            <w:r>
              <w:rPr>
                <w:noProof/>
                <w:lang w:eastAsia="en-GB"/>
              </w:rPr>
              <w:drawing>
                <wp:inline distT="0" distB="0" distL="0" distR="0">
                  <wp:extent cx="712470" cy="598170"/>
                  <wp:effectExtent l="0" t="0" r="0" b="0"/>
                  <wp:docPr id="10"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817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443C10" w:rsidRDefault="00D96CC5" w:rsidP="00DE032C">
            <w:pPr>
              <w:spacing w:before="120" w:line="420" w:lineRule="exact"/>
              <w:rPr>
                <w:b/>
                <w:sz w:val="40"/>
                <w:szCs w:val="40"/>
              </w:rPr>
            </w:pPr>
            <w:r w:rsidRPr="00443C10">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Pr="00443C10" w:rsidRDefault="00601DF1" w:rsidP="00DE032C">
            <w:pPr>
              <w:spacing w:before="240" w:line="240" w:lineRule="exact"/>
            </w:pPr>
            <w:r w:rsidRPr="00443C10">
              <w:t>Distr.: General</w:t>
            </w:r>
          </w:p>
          <w:p w:rsidR="00601DF1" w:rsidRPr="00443C10" w:rsidRDefault="006C1092" w:rsidP="00DE032C">
            <w:pPr>
              <w:spacing w:line="240" w:lineRule="exact"/>
            </w:pPr>
            <w:r>
              <w:t>6</w:t>
            </w:r>
            <w:r w:rsidR="00F46502">
              <w:t xml:space="preserve"> September</w:t>
            </w:r>
            <w:r w:rsidR="00601DF1" w:rsidRPr="00443C10">
              <w:t xml:space="preserve"> 2016</w:t>
            </w:r>
          </w:p>
          <w:p w:rsidR="00601DF1" w:rsidRPr="00443C10" w:rsidRDefault="00601DF1" w:rsidP="00DE032C">
            <w:pPr>
              <w:spacing w:line="240" w:lineRule="exact"/>
            </w:pPr>
          </w:p>
          <w:p w:rsidR="00601DF1" w:rsidRPr="00443C10" w:rsidRDefault="00601DF1" w:rsidP="00DE032C">
            <w:pPr>
              <w:spacing w:line="240" w:lineRule="exact"/>
            </w:pPr>
            <w:r w:rsidRPr="00443C10">
              <w:t>Original: English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D46231" w:rsidTr="00DE032C">
        <w:tc>
          <w:tcPr>
            <w:tcW w:w="4593" w:type="dxa"/>
            <w:shd w:val="clear" w:color="auto" w:fill="auto"/>
          </w:tcPr>
          <w:p w:rsidR="00D46231" w:rsidRPr="00DE032C" w:rsidRDefault="00D46231" w:rsidP="006345E5">
            <w:pPr>
              <w:spacing w:before="120" w:after="60"/>
              <w:rPr>
                <w:b/>
              </w:rPr>
            </w:pPr>
            <w:r w:rsidRPr="00DE032C">
              <w:rPr>
                <w:b/>
              </w:rPr>
              <w:t xml:space="preserve">Sub-Committee of Experts on the Transport </w:t>
            </w:r>
            <w:r w:rsidRPr="00DE032C">
              <w:rPr>
                <w:b/>
              </w:rPr>
              <w:br/>
              <w:t xml:space="preserve">of Dangerous Goods </w:t>
            </w:r>
          </w:p>
        </w:tc>
        <w:tc>
          <w:tcPr>
            <w:tcW w:w="5046" w:type="dxa"/>
            <w:shd w:val="clear" w:color="auto" w:fill="auto"/>
          </w:tcPr>
          <w:p w:rsidR="00D46231" w:rsidRPr="00DE032C" w:rsidRDefault="00D46231" w:rsidP="00A718CC">
            <w:pPr>
              <w:spacing w:before="120"/>
              <w:ind w:left="85"/>
              <w:rPr>
                <w:b/>
              </w:rPr>
            </w:pPr>
            <w:r w:rsidRPr="00DE032C">
              <w:rPr>
                <w:b/>
              </w:rPr>
              <w:t>Sub-Committee of Experts on the Globally Harmonized System of Classification and</w:t>
            </w:r>
            <w:r w:rsidR="00E1679E" w:rsidRPr="00DE032C">
              <w:rPr>
                <w:b/>
              </w:rPr>
              <w:t xml:space="preserve"> </w:t>
            </w:r>
            <w:r w:rsidRPr="00DE032C">
              <w:rPr>
                <w:b/>
              </w:rPr>
              <w:t xml:space="preserve">Labelling of Chemicals </w:t>
            </w:r>
          </w:p>
        </w:tc>
      </w:tr>
      <w:tr w:rsidR="00D46231" w:rsidTr="00DE032C">
        <w:tc>
          <w:tcPr>
            <w:tcW w:w="4593" w:type="dxa"/>
            <w:shd w:val="clear" w:color="auto" w:fill="auto"/>
          </w:tcPr>
          <w:p w:rsidR="00D46231" w:rsidRPr="00DE032C" w:rsidRDefault="00DE032C" w:rsidP="00DF7C77">
            <w:pPr>
              <w:rPr>
                <w:b/>
              </w:rPr>
            </w:pPr>
            <w:r w:rsidRPr="00DE032C">
              <w:rPr>
                <w:b/>
              </w:rPr>
              <w:t>F</w:t>
            </w:r>
            <w:r w:rsidR="00DF7C77">
              <w:rPr>
                <w:b/>
              </w:rPr>
              <w:t>iftieth</w:t>
            </w:r>
            <w:r w:rsidRPr="00DE032C">
              <w:rPr>
                <w:b/>
              </w:rPr>
              <w:t xml:space="preserve"> session</w:t>
            </w:r>
          </w:p>
        </w:tc>
        <w:tc>
          <w:tcPr>
            <w:tcW w:w="5046" w:type="dxa"/>
            <w:shd w:val="clear" w:color="auto" w:fill="auto"/>
          </w:tcPr>
          <w:p w:rsidR="00D46231" w:rsidRPr="00DE032C" w:rsidRDefault="00DE032C" w:rsidP="004027B2">
            <w:pPr>
              <w:ind w:left="85"/>
              <w:rPr>
                <w:b/>
              </w:rPr>
            </w:pPr>
            <w:r w:rsidRPr="00DE032C">
              <w:rPr>
                <w:b/>
              </w:rPr>
              <w:t>Thirty-</w:t>
            </w:r>
            <w:r w:rsidR="004027B2">
              <w:rPr>
                <w:b/>
              </w:rPr>
              <w:t>second</w:t>
            </w:r>
            <w:r w:rsidRPr="00DE032C">
              <w:rPr>
                <w:b/>
              </w:rPr>
              <w:t xml:space="preserve"> session</w:t>
            </w:r>
          </w:p>
        </w:tc>
      </w:tr>
      <w:tr w:rsidR="00D46231" w:rsidTr="00DE032C">
        <w:tc>
          <w:tcPr>
            <w:tcW w:w="4593" w:type="dxa"/>
            <w:shd w:val="clear" w:color="auto" w:fill="auto"/>
          </w:tcPr>
          <w:p w:rsidR="00DE032C" w:rsidRPr="00A718CC" w:rsidRDefault="00DE032C" w:rsidP="00DE032C">
            <w:pPr>
              <w:spacing w:before="60"/>
              <w:rPr>
                <w:sz w:val="19"/>
                <w:szCs w:val="19"/>
                <w:lang w:val="en-US"/>
              </w:rPr>
            </w:pPr>
            <w:r w:rsidRPr="00A718CC">
              <w:rPr>
                <w:sz w:val="19"/>
                <w:szCs w:val="19"/>
                <w:lang w:val="en-US"/>
              </w:rPr>
              <w:t>Geneva, 2</w:t>
            </w:r>
            <w:r w:rsidR="006345E5">
              <w:rPr>
                <w:sz w:val="19"/>
                <w:szCs w:val="19"/>
                <w:lang w:val="en-US"/>
              </w:rPr>
              <w:t>8 November-</w:t>
            </w:r>
            <w:r w:rsidRPr="00A718CC">
              <w:rPr>
                <w:sz w:val="19"/>
                <w:szCs w:val="19"/>
                <w:lang w:val="en-US"/>
              </w:rPr>
              <w:t xml:space="preserve">6 </w:t>
            </w:r>
            <w:r w:rsidR="00CE1F29">
              <w:rPr>
                <w:sz w:val="19"/>
                <w:szCs w:val="19"/>
                <w:lang w:val="en-US"/>
              </w:rPr>
              <w:t xml:space="preserve">December </w:t>
            </w:r>
            <w:r w:rsidRPr="00A718CC">
              <w:rPr>
                <w:sz w:val="19"/>
                <w:szCs w:val="19"/>
                <w:lang w:val="en-US"/>
              </w:rPr>
              <w:t>2016</w:t>
            </w:r>
          </w:p>
          <w:p w:rsidR="00DE032C" w:rsidRPr="00A718CC" w:rsidRDefault="00DE032C" w:rsidP="00DE032C">
            <w:r w:rsidRPr="00A718CC">
              <w:t xml:space="preserve">Item </w:t>
            </w:r>
            <w:r w:rsidR="00842F58">
              <w:t>2 (b)</w:t>
            </w:r>
            <w:r w:rsidRPr="00A718CC">
              <w:t xml:space="preserve"> of the provisional agenda</w:t>
            </w:r>
          </w:p>
          <w:p w:rsidR="00D46231" w:rsidRPr="00842F58" w:rsidRDefault="00842F58" w:rsidP="00CE1F29">
            <w:pPr>
              <w:rPr>
                <w:b/>
                <w:highlight w:val="yellow"/>
              </w:rPr>
            </w:pPr>
            <w:r w:rsidRPr="00842F58">
              <w:rPr>
                <w:b/>
              </w:rPr>
              <w:t>Recommendations made by the Sub-Committee on its forty-seventh, forty-eighth and forty-ninth sessions and pending issues: explosives and related matters</w:t>
            </w:r>
          </w:p>
        </w:tc>
        <w:tc>
          <w:tcPr>
            <w:tcW w:w="5046" w:type="dxa"/>
            <w:shd w:val="clear" w:color="auto" w:fill="auto"/>
          </w:tcPr>
          <w:p w:rsidR="00DE032C" w:rsidRPr="00A718CC" w:rsidRDefault="00DE032C" w:rsidP="00A718CC">
            <w:pPr>
              <w:spacing w:before="60"/>
              <w:ind w:left="85"/>
            </w:pPr>
            <w:r w:rsidRPr="00A718CC">
              <w:t xml:space="preserve">Geneva, </w:t>
            </w:r>
            <w:r w:rsidR="00CE1F29">
              <w:t>7</w:t>
            </w:r>
            <w:r w:rsidR="006345E5">
              <w:t>-</w:t>
            </w:r>
            <w:r w:rsidR="00CE1F29">
              <w:t>9</w:t>
            </w:r>
            <w:r w:rsidRPr="00A718CC">
              <w:t xml:space="preserve"> </w:t>
            </w:r>
            <w:r w:rsidR="00CE1F29">
              <w:t>December</w:t>
            </w:r>
            <w:r w:rsidRPr="00A718CC">
              <w:t xml:space="preserve"> 2016</w:t>
            </w:r>
          </w:p>
          <w:p w:rsidR="00D46231" w:rsidRPr="00DE032C" w:rsidRDefault="00DE032C" w:rsidP="00842F58">
            <w:pPr>
              <w:spacing w:after="120"/>
              <w:ind w:left="85"/>
              <w:rPr>
                <w:b/>
              </w:rPr>
            </w:pPr>
            <w:r w:rsidRPr="00A718CC">
              <w:t xml:space="preserve">Item </w:t>
            </w:r>
            <w:r w:rsidR="00A718CC" w:rsidRPr="00A718CC">
              <w:t>2</w:t>
            </w:r>
            <w:r w:rsidRPr="00A718CC">
              <w:t xml:space="preserve"> </w:t>
            </w:r>
            <w:r w:rsidR="00842F58">
              <w:t xml:space="preserve">(a) </w:t>
            </w:r>
            <w:r w:rsidRPr="00A718CC">
              <w:t>of the provisional agenda</w:t>
            </w:r>
            <w:r w:rsidRPr="00A718CC">
              <w:br/>
            </w:r>
            <w:r w:rsidR="00842F58" w:rsidRPr="00842F58">
              <w:rPr>
                <w:b/>
              </w:rPr>
              <w:t>Classification criteria and related hazard communication: recommendations made by the Sub-Committee on its twenty-ninth, thirtieth and thirty-first sessions</w:t>
            </w:r>
          </w:p>
        </w:tc>
      </w:tr>
    </w:tbl>
    <w:p w:rsidR="00776E90" w:rsidRPr="00776E90" w:rsidRDefault="002A17F1" w:rsidP="00776E90">
      <w:pPr>
        <w:pStyle w:val="HChG"/>
        <w:spacing w:before="240" w:after="120"/>
      </w:pPr>
      <w:r>
        <w:tab/>
      </w:r>
      <w:r>
        <w:tab/>
        <w:t>Chapter 2.1 of the Model Regulations – Class 1 definition</w:t>
      </w:r>
      <w:r w:rsidR="00776E90">
        <w:br/>
        <w:t>Chapter 2.1 of the GHS – Class of explosives</w:t>
      </w:r>
    </w:p>
    <w:p w:rsidR="002A17F1" w:rsidRDefault="002A17F1" w:rsidP="002A17F1">
      <w:pPr>
        <w:pStyle w:val="H1G"/>
        <w:spacing w:before="240" w:after="120"/>
      </w:pPr>
      <w:r>
        <w:tab/>
      </w:r>
      <w:r>
        <w:tab/>
        <w:t>Transmitted by the Australian Explosives Industry Safety Group (AEISG)</w:t>
      </w:r>
      <w:r w:rsidR="00AB1C96">
        <w:rPr>
          <w:rStyle w:val="FootnoteReference"/>
        </w:rPr>
        <w:footnoteReference w:id="2"/>
      </w:r>
    </w:p>
    <w:p w:rsidR="002A17F1" w:rsidRPr="00620D30" w:rsidRDefault="002A17F1" w:rsidP="002A17F1">
      <w:pPr>
        <w:pStyle w:val="HChG"/>
      </w:pPr>
      <w:r>
        <w:tab/>
      </w:r>
      <w:r>
        <w:tab/>
      </w:r>
      <w:r w:rsidRPr="00620D30">
        <w:t>Introduction</w:t>
      </w:r>
    </w:p>
    <w:p w:rsidR="002A17F1" w:rsidRPr="00F41719" w:rsidRDefault="002A17F1" w:rsidP="002A17F1">
      <w:pPr>
        <w:pStyle w:val="SingleTxtG"/>
        <w:numPr>
          <w:ilvl w:val="0"/>
          <w:numId w:val="18"/>
        </w:numPr>
        <w:ind w:left="1134" w:firstLine="0"/>
        <w:rPr>
          <w:szCs w:val="22"/>
        </w:rPr>
      </w:pPr>
      <w:r>
        <w:t xml:space="preserve">In Chapter 2.1 of the </w:t>
      </w:r>
      <w:r w:rsidR="00776E90">
        <w:t>United Nations R</w:t>
      </w:r>
      <w:r w:rsidR="00B61A14">
        <w:t xml:space="preserve">ecommendations on the Transport of Dangerous Goods, </w:t>
      </w:r>
      <w:r>
        <w:t>Model Regulations, 2.1.1.1 currently reads:</w:t>
      </w:r>
    </w:p>
    <w:p w:rsidR="002A17F1" w:rsidRPr="00005D43" w:rsidRDefault="002A17F1" w:rsidP="002A17F1">
      <w:pPr>
        <w:pStyle w:val="SingleTxtG"/>
        <w:ind w:left="1701"/>
        <w:rPr>
          <w:lang w:val="en-US"/>
        </w:rPr>
      </w:pPr>
      <w:r>
        <w:rPr>
          <w:lang w:val="en-US"/>
        </w:rPr>
        <w:t>“</w:t>
      </w:r>
      <w:r w:rsidRPr="00005D43">
        <w:rPr>
          <w:lang w:val="en-US"/>
        </w:rPr>
        <w:t>2.1.1.1 Class 1 comprises:</w:t>
      </w:r>
    </w:p>
    <w:p w:rsidR="002A17F1" w:rsidRPr="00005D43" w:rsidRDefault="002A17F1" w:rsidP="002A17F1">
      <w:pPr>
        <w:pStyle w:val="SingleTxtG"/>
        <w:ind w:left="1701"/>
        <w:rPr>
          <w:lang w:val="en-US"/>
        </w:rPr>
      </w:pPr>
      <w:r>
        <w:rPr>
          <w:lang w:val="en-US"/>
        </w:rPr>
        <w:t>(a)</w:t>
      </w:r>
      <w:r>
        <w:rPr>
          <w:lang w:val="en-US"/>
        </w:rPr>
        <w:tab/>
      </w:r>
      <w:r w:rsidRPr="00005D43">
        <w:rPr>
          <w:lang w:val="en-US"/>
        </w:rPr>
        <w:t>Explosive substances (a substance which is not itself an explosive but which can form an ex</w:t>
      </w:r>
      <w:r w:rsidR="00B61A14">
        <w:rPr>
          <w:lang w:val="en-US"/>
        </w:rPr>
        <w:t>plosive atmosphere of gas, vapo</w:t>
      </w:r>
      <w:r w:rsidRPr="00005D43">
        <w:rPr>
          <w:lang w:val="en-US"/>
        </w:rPr>
        <w:t>r or dust is not included in Class 1), except those that are too dangerous to transport or those where the predominant hazard is appropriate to another class;</w:t>
      </w:r>
    </w:p>
    <w:p w:rsidR="002A17F1" w:rsidRPr="00005D43" w:rsidRDefault="002A17F1" w:rsidP="002A17F1">
      <w:pPr>
        <w:pStyle w:val="SingleTxtG"/>
        <w:ind w:left="1701"/>
        <w:rPr>
          <w:lang w:val="en-US"/>
        </w:rPr>
      </w:pPr>
      <w:r>
        <w:rPr>
          <w:lang w:val="en-US"/>
        </w:rPr>
        <w:t>(b)</w:t>
      </w:r>
      <w:r>
        <w:rPr>
          <w:lang w:val="en-US"/>
        </w:rPr>
        <w:tab/>
      </w:r>
      <w:r w:rsidRPr="00005D43">
        <w:rPr>
          <w:lang w:val="en-US"/>
        </w:rPr>
        <w:t>Explosive articles, except devices containing explosive substances in such quantity or of such a character that their inadvertent or accidental ignition or initiation during transport shall not cause any effect external to the device either by projection, fire, smoke, heat or loud noise (see 2.1.3.6); and</w:t>
      </w:r>
    </w:p>
    <w:p w:rsidR="002A17F1" w:rsidRDefault="002A17F1" w:rsidP="002A17F1">
      <w:pPr>
        <w:pStyle w:val="SingleTxtG"/>
        <w:ind w:left="1701"/>
        <w:rPr>
          <w:lang w:val="en-US"/>
        </w:rPr>
      </w:pPr>
      <w:r>
        <w:rPr>
          <w:lang w:val="en-US"/>
        </w:rPr>
        <w:lastRenderedPageBreak/>
        <w:t>(c)</w:t>
      </w:r>
      <w:r>
        <w:rPr>
          <w:lang w:val="en-US"/>
        </w:rPr>
        <w:tab/>
      </w:r>
      <w:r w:rsidRPr="00005D43">
        <w:rPr>
          <w:lang w:val="en-US"/>
        </w:rPr>
        <w:t xml:space="preserve">Substances and articles not mentioned under (a) and (b) which are manufactured with a view to producing </w:t>
      </w:r>
      <w:r w:rsidRPr="006E1026">
        <w:rPr>
          <w:lang w:val="en-US"/>
        </w:rPr>
        <w:t>a practical, explosive or pyrotechnic effect</w:t>
      </w:r>
      <w:r>
        <w:rPr>
          <w:lang w:val="en-US"/>
        </w:rPr>
        <w:t>.”</w:t>
      </w:r>
    </w:p>
    <w:p w:rsidR="00AE6B11" w:rsidRDefault="00AE6B11" w:rsidP="00AE6B11">
      <w:pPr>
        <w:pStyle w:val="SingleTxtG"/>
      </w:pPr>
      <w:r>
        <w:t>2.</w:t>
      </w:r>
      <w:r>
        <w:tab/>
        <w:t>Similarly, in Chapter 2.1 of the GHS, 2.1.1.2 currently reads:</w:t>
      </w:r>
    </w:p>
    <w:p w:rsidR="00AE6B11" w:rsidRPr="00251D0E" w:rsidRDefault="004A0F1D" w:rsidP="00A81010">
      <w:pPr>
        <w:pStyle w:val="SingleTxtG"/>
        <w:tabs>
          <w:tab w:val="left" w:pos="2552"/>
        </w:tabs>
        <w:ind w:left="1701"/>
        <w:rPr>
          <w:lang w:val="en-US"/>
        </w:rPr>
      </w:pPr>
      <w:r>
        <w:rPr>
          <w:lang w:val="en-US"/>
        </w:rPr>
        <w:t xml:space="preserve">“2.1.1.2 </w:t>
      </w:r>
      <w:r w:rsidR="00AE6B11" w:rsidRPr="00251D0E">
        <w:rPr>
          <w:lang w:val="en-US"/>
        </w:rPr>
        <w:t>The class of explosives comprises:</w:t>
      </w:r>
    </w:p>
    <w:p w:rsidR="00AE6B11" w:rsidRPr="00251D0E" w:rsidRDefault="00AE6B11" w:rsidP="00AE6B11">
      <w:pPr>
        <w:pStyle w:val="SingleTxtG"/>
        <w:ind w:left="1701"/>
        <w:rPr>
          <w:lang w:val="en-US"/>
        </w:rPr>
      </w:pPr>
      <w:r>
        <w:rPr>
          <w:lang w:val="en-US"/>
        </w:rPr>
        <w:t>(a)</w:t>
      </w:r>
      <w:r>
        <w:rPr>
          <w:lang w:val="en-US"/>
        </w:rPr>
        <w:tab/>
      </w:r>
      <w:r w:rsidRPr="00251D0E">
        <w:rPr>
          <w:lang w:val="en-US"/>
        </w:rPr>
        <w:t>Explosive substances and mixtures;</w:t>
      </w:r>
    </w:p>
    <w:p w:rsidR="00AE6B11" w:rsidRPr="00251D0E" w:rsidRDefault="00AE6B11" w:rsidP="00AE6B11">
      <w:pPr>
        <w:pStyle w:val="SingleTxtG"/>
        <w:ind w:left="1701"/>
        <w:rPr>
          <w:lang w:val="en-US"/>
        </w:rPr>
      </w:pPr>
      <w:r>
        <w:rPr>
          <w:lang w:val="en-US"/>
        </w:rPr>
        <w:t>(b)</w:t>
      </w:r>
      <w:r>
        <w:rPr>
          <w:lang w:val="en-US"/>
        </w:rPr>
        <w:tab/>
      </w:r>
      <w:r w:rsidRPr="00251D0E">
        <w:rPr>
          <w:lang w:val="en-US"/>
        </w:rPr>
        <w:t>Explosive articles, except devices containing explosive substances or mixtures in such quantity or of such a character that their inadvertent or accidental ignition or initiation shall not cause any effect external to the device either by projection, fire, smoke, heat or loud noise; and</w:t>
      </w:r>
    </w:p>
    <w:p w:rsidR="00AE6B11" w:rsidRPr="00251D0E" w:rsidRDefault="00AE6B11" w:rsidP="00AE6B11">
      <w:pPr>
        <w:pStyle w:val="SingleTxtG"/>
        <w:ind w:left="1701"/>
      </w:pPr>
      <w:r>
        <w:rPr>
          <w:lang w:val="en-US"/>
        </w:rPr>
        <w:t>(c)</w:t>
      </w:r>
      <w:r>
        <w:rPr>
          <w:lang w:val="en-US"/>
        </w:rPr>
        <w:tab/>
      </w:r>
      <w:r w:rsidRPr="00251D0E">
        <w:rPr>
          <w:lang w:val="en-US"/>
        </w:rPr>
        <w:t xml:space="preserve">Substances, mixtures and articles not mentioned under (a) and (b) above which are manufactured with the view to producing </w:t>
      </w:r>
      <w:r w:rsidRPr="00AE6B11">
        <w:rPr>
          <w:lang w:val="en-US"/>
        </w:rPr>
        <w:t>a practical, explosive or pyrotechnic effect</w:t>
      </w:r>
      <w:r w:rsidRPr="00251D0E">
        <w:rPr>
          <w:lang w:val="en-US"/>
        </w:rPr>
        <w:t>.</w:t>
      </w:r>
      <w:r>
        <w:t>”</w:t>
      </w:r>
    </w:p>
    <w:p w:rsidR="002A17F1" w:rsidRPr="00EE4265" w:rsidRDefault="000B267F" w:rsidP="000B267F">
      <w:pPr>
        <w:pStyle w:val="SingleTxtG"/>
      </w:pPr>
      <w:r>
        <w:t>3.</w:t>
      </w:r>
      <w:r>
        <w:tab/>
      </w:r>
      <w:r w:rsidR="002A17F1" w:rsidRPr="00866446">
        <w:t xml:space="preserve">The </w:t>
      </w:r>
      <w:r w:rsidR="002A17F1">
        <w:t xml:space="preserve">comma after the word ‘practical’ in 2.1.1.1(c) </w:t>
      </w:r>
      <w:r w:rsidR="006E1026">
        <w:t xml:space="preserve">of the Model Regulations and 2.1.1.2 (c) of the GHS </w:t>
      </w:r>
      <w:r w:rsidR="002A17F1">
        <w:t xml:space="preserve">is unnecessary and incorrectly extends Class 1 </w:t>
      </w:r>
      <w:r w:rsidR="006E1026">
        <w:t xml:space="preserve">of the Model Regulations/the class of explosives of the GHS </w:t>
      </w:r>
      <w:r w:rsidR="002A17F1">
        <w:t>to include any substance</w:t>
      </w:r>
      <w:r>
        <w:t>, mixture</w:t>
      </w:r>
      <w:r w:rsidR="002A17F1">
        <w:t xml:space="preserve"> or article which is manufactured with a view to producing a practical effect even if non-explosive in nature. </w:t>
      </w:r>
    </w:p>
    <w:p w:rsidR="002A17F1" w:rsidRDefault="002A17F1" w:rsidP="002A17F1">
      <w:pPr>
        <w:pStyle w:val="HChG"/>
      </w:pPr>
      <w:r>
        <w:tab/>
      </w:r>
      <w:r>
        <w:tab/>
        <w:t>Discussion</w:t>
      </w:r>
    </w:p>
    <w:p w:rsidR="002A17F1" w:rsidRDefault="00C64AE2" w:rsidP="00C64AE2">
      <w:pPr>
        <w:pStyle w:val="SingleTxtG"/>
      </w:pPr>
      <w:r>
        <w:t>4.</w:t>
      </w:r>
      <w:r>
        <w:tab/>
      </w:r>
      <w:r w:rsidR="002A17F1">
        <w:t>AEISG believes the added comma represents an error which has been ca</w:t>
      </w:r>
      <w:r>
        <w:t>rried on from previous editions of the Model Regulations.</w:t>
      </w:r>
    </w:p>
    <w:p w:rsidR="002A17F1" w:rsidRDefault="00C64AE2" w:rsidP="00C64AE2">
      <w:pPr>
        <w:pStyle w:val="SingleTxtG"/>
      </w:pPr>
      <w:r>
        <w:t>5.</w:t>
      </w:r>
      <w:r>
        <w:tab/>
      </w:r>
      <w:r w:rsidR="002A17F1">
        <w:t>The phrase “a practical explosive or pyrotechnic effect”, EXCLUDING THE COMMA, is used in other parts of the existing Model Regulations (</w:t>
      </w:r>
      <w:r>
        <w:t>nineteenth</w:t>
      </w:r>
      <w:r w:rsidR="002A17F1">
        <w:t xml:space="preserve"> revised edition)</w:t>
      </w:r>
      <w:r>
        <w:t>,</w:t>
      </w:r>
      <w:r w:rsidR="002A17F1">
        <w:t xml:space="preserve"> the Manual of Tests and Criteria (</w:t>
      </w:r>
      <w:r>
        <w:t>sixth</w:t>
      </w:r>
      <w:r w:rsidR="002A17F1">
        <w:t xml:space="preserve"> revised edition)</w:t>
      </w:r>
      <w:r>
        <w:t xml:space="preserve"> and the GHS (sixth revised edition)</w:t>
      </w:r>
      <w:r w:rsidR="002A17F1">
        <w:t xml:space="preserve"> including:</w:t>
      </w:r>
    </w:p>
    <w:p w:rsidR="002A17F1" w:rsidRDefault="002A17F1" w:rsidP="002A17F1">
      <w:pPr>
        <w:pStyle w:val="Bullet1G"/>
        <w:numPr>
          <w:ilvl w:val="0"/>
          <w:numId w:val="17"/>
        </w:numPr>
      </w:pPr>
      <w:r>
        <w:t>2.1.3.3.1 of the Model Regulations;</w:t>
      </w:r>
    </w:p>
    <w:p w:rsidR="002A17F1" w:rsidRDefault="002A17F1" w:rsidP="002A17F1">
      <w:pPr>
        <w:pStyle w:val="Bullet1G"/>
        <w:numPr>
          <w:ilvl w:val="0"/>
          <w:numId w:val="17"/>
        </w:numPr>
      </w:pPr>
      <w:r>
        <w:t xml:space="preserve">Figure 10.2 (Box 2), Figure 10.6 (3. Box 2), Figure 10.7 (Box 2), Figure 10.8 (8. Box 35), 16.6.1.4.7(a), 16.6.1.4.7(b) and Appendix 6 (3.1) of the </w:t>
      </w:r>
      <w:r w:rsidR="00C64AE2">
        <w:t>Manual of Tests and Criteria;</w:t>
      </w:r>
    </w:p>
    <w:p w:rsidR="00C64AE2" w:rsidRDefault="00C64AE2" w:rsidP="002A17F1">
      <w:pPr>
        <w:pStyle w:val="Bullet1G"/>
        <w:numPr>
          <w:ilvl w:val="0"/>
          <w:numId w:val="17"/>
        </w:numPr>
      </w:pPr>
      <w:r>
        <w:t>Figures 2.1.2 and 2.1.3 of the GHS.</w:t>
      </w:r>
    </w:p>
    <w:p w:rsidR="002A17F1" w:rsidRDefault="00655034" w:rsidP="00655034">
      <w:pPr>
        <w:pStyle w:val="SingleTxtG"/>
      </w:pPr>
      <w:r>
        <w:t>6</w:t>
      </w:r>
      <w:r w:rsidR="002A17F1">
        <w:t xml:space="preserve">. </w:t>
      </w:r>
      <w:r w:rsidR="002A17F1">
        <w:tab/>
      </w:r>
      <w:r w:rsidR="002A17F1" w:rsidRPr="00655034">
        <w:t>While</w:t>
      </w:r>
      <w:r w:rsidR="002A17F1">
        <w:t xml:space="preserve"> the phrase “a practical, explosive or pyrotechnic effect”, WITH COMMA, appears in 51.2.2 (a) o</w:t>
      </w:r>
      <w:r>
        <w:t xml:space="preserve">f the current version of the </w:t>
      </w:r>
      <w:r w:rsidR="002A17F1">
        <w:t>Manual of Tests and Criteria (</w:t>
      </w:r>
      <w:r w:rsidR="00606A65">
        <w:t>sixth</w:t>
      </w:r>
      <w:r w:rsidR="002A17F1">
        <w:t xml:space="preserve"> revised edition)</w:t>
      </w:r>
      <w:r w:rsidR="00606A65">
        <w:t xml:space="preserve"> and 2.17.2.1 (a) of the GHS, this was amended at the f</w:t>
      </w:r>
      <w:r w:rsidR="002A17F1">
        <w:t>ort</w:t>
      </w:r>
      <w:r w:rsidR="00606A65">
        <w:t>y-n</w:t>
      </w:r>
      <w:r w:rsidR="002A17F1">
        <w:t xml:space="preserve">inth session </w:t>
      </w:r>
      <w:r w:rsidR="00606A65">
        <w:t xml:space="preserve">of the TDG Sub-Committee and at the thirty-first session of the GHS Sub-Committee </w:t>
      </w:r>
      <w:r w:rsidR="002A17F1">
        <w:t>to exclude the comma amongst other things (ST/SG/AC.10/C</w:t>
      </w:r>
      <w:r w:rsidR="00606A65">
        <w:t>.</w:t>
      </w:r>
      <w:r w:rsidR="002A17F1">
        <w:t>3/98, paragraph 138</w:t>
      </w:r>
      <w:r w:rsidR="00606A65">
        <w:t xml:space="preserve"> and ST/SG/AC.10/C.4/62, paragraph 23</w:t>
      </w:r>
      <w:r w:rsidR="002A17F1">
        <w:t xml:space="preserve">). </w:t>
      </w:r>
    </w:p>
    <w:p w:rsidR="000930EA" w:rsidRDefault="000930EA" w:rsidP="000930EA">
      <w:pPr>
        <w:pStyle w:val="SingleTxtG"/>
      </w:pPr>
      <w:r>
        <w:t>7.</w:t>
      </w:r>
      <w:r>
        <w:tab/>
        <w:t xml:space="preserve">The </w:t>
      </w:r>
      <w:r w:rsidRPr="000930EA">
        <w:t>phrase</w:t>
      </w:r>
      <w:r>
        <w:t xml:space="preserve"> “</w:t>
      </w:r>
      <w:r w:rsidRPr="00251D0E">
        <w:t xml:space="preserve">a practical, </w:t>
      </w:r>
      <w:r>
        <w:t>explosive or pyrotechnic effect”</w:t>
      </w:r>
      <w:r w:rsidRPr="00251D0E">
        <w:t>,</w:t>
      </w:r>
      <w:r>
        <w:t xml:space="preserve"> with the comma after the word “practical”, is also used in the Note “</w:t>
      </w:r>
      <w:r w:rsidRPr="00251D0E">
        <w:t>b</w:t>
      </w:r>
      <w:r>
        <w:t>”</w:t>
      </w:r>
      <w:r w:rsidRPr="00251D0E">
        <w:t xml:space="preserve"> to T</w:t>
      </w:r>
      <w:r>
        <w:t xml:space="preserve">able 2.1.1. </w:t>
      </w:r>
    </w:p>
    <w:p w:rsidR="002A17F1" w:rsidRPr="00D87A7A" w:rsidRDefault="002A17F1" w:rsidP="002A17F1">
      <w:pPr>
        <w:pStyle w:val="HChG"/>
      </w:pPr>
      <w:r>
        <w:tab/>
      </w:r>
      <w:r>
        <w:tab/>
        <w:t>Proposal</w:t>
      </w:r>
      <w:r w:rsidR="000930EA">
        <w:t>s</w:t>
      </w:r>
    </w:p>
    <w:p w:rsidR="002A4951" w:rsidRDefault="000930EA" w:rsidP="00CB3115">
      <w:pPr>
        <w:pStyle w:val="SingleTxtG"/>
      </w:pPr>
      <w:r>
        <w:t>8</w:t>
      </w:r>
      <w:r w:rsidR="002A17F1">
        <w:t xml:space="preserve">. </w:t>
      </w:r>
      <w:r w:rsidR="002A17F1">
        <w:tab/>
        <w:t xml:space="preserve">It is proposed to remove the comma after the word “practical” in 2.1.1.1(c) of the Model Regulations </w:t>
      </w:r>
      <w:r>
        <w:t xml:space="preserve">and </w:t>
      </w:r>
      <w:r w:rsidR="002A17F1">
        <w:t>to clarify intent and to achieve consistency with all other references throughout t</w:t>
      </w:r>
      <w:r w:rsidR="00776E90">
        <w:t xml:space="preserve">he Model Regulations and the </w:t>
      </w:r>
      <w:r w:rsidR="002A17F1">
        <w:t>Manual of Tests and Criteria, such that 2.1.1.1 would read:</w:t>
      </w:r>
      <w:r w:rsidR="002A4951">
        <w:br w:type="page"/>
      </w:r>
    </w:p>
    <w:p w:rsidR="002A17F1" w:rsidRPr="00EE4265" w:rsidRDefault="002A17F1" w:rsidP="002A17F1">
      <w:pPr>
        <w:pStyle w:val="SingleTxtG"/>
        <w:ind w:left="1701"/>
        <w:rPr>
          <w:lang w:val="en-US"/>
        </w:rPr>
      </w:pPr>
      <w:r>
        <w:lastRenderedPageBreak/>
        <w:t>“</w:t>
      </w:r>
      <w:r w:rsidRPr="00EE4265">
        <w:rPr>
          <w:sz w:val="22"/>
          <w:szCs w:val="22"/>
          <w:lang w:val="en-US"/>
        </w:rPr>
        <w:t>2.1.1.1</w:t>
      </w:r>
      <w:r w:rsidRPr="00EE4265">
        <w:rPr>
          <w:lang w:val="en-US"/>
        </w:rPr>
        <w:t xml:space="preserve"> Class 1 comprises:</w:t>
      </w:r>
    </w:p>
    <w:p w:rsidR="002A17F1" w:rsidRPr="00EE4265" w:rsidRDefault="002A17F1" w:rsidP="002A17F1">
      <w:pPr>
        <w:pStyle w:val="SingleTxtG"/>
        <w:ind w:left="1701"/>
        <w:rPr>
          <w:lang w:val="en-US"/>
        </w:rPr>
      </w:pPr>
      <w:r>
        <w:rPr>
          <w:lang w:val="en-US"/>
        </w:rPr>
        <w:t>(a)</w:t>
      </w:r>
      <w:r>
        <w:rPr>
          <w:lang w:val="en-US"/>
        </w:rPr>
        <w:tab/>
      </w:r>
      <w:r w:rsidRPr="00EE4265">
        <w:rPr>
          <w:lang w:val="en-US"/>
        </w:rPr>
        <w:t>Explosive substances (a substance which is not itself an explosive but which can form an explosive atmosphere of gas, vapour or dust is not included in Class 1), except those that are too dangerous to transport or those where the predominant hazard is appropriate to another class;</w:t>
      </w:r>
    </w:p>
    <w:p w:rsidR="002A17F1" w:rsidRPr="00EE4265" w:rsidRDefault="002A17F1" w:rsidP="002A17F1">
      <w:pPr>
        <w:pStyle w:val="SingleTxtG"/>
        <w:ind w:left="1701"/>
        <w:rPr>
          <w:lang w:val="en-US"/>
        </w:rPr>
      </w:pPr>
      <w:r>
        <w:rPr>
          <w:lang w:val="en-US"/>
        </w:rPr>
        <w:t>(b)</w:t>
      </w:r>
      <w:r>
        <w:rPr>
          <w:lang w:val="en-US"/>
        </w:rPr>
        <w:tab/>
      </w:r>
      <w:r w:rsidRPr="00EE4265">
        <w:rPr>
          <w:lang w:val="en-US"/>
        </w:rPr>
        <w:t>Explosive articles, except devices containing explosive substances in such quantity or of such a character that their inadvertent or accidental ignition or initiation during transport shall not cause any effect external to the device either by projection, fire, smoke, heat or loud noise (see 2.1.3.6); and</w:t>
      </w:r>
    </w:p>
    <w:p w:rsidR="002A17F1" w:rsidRDefault="002A17F1" w:rsidP="002A17F1">
      <w:pPr>
        <w:pStyle w:val="SingleTxtG"/>
        <w:ind w:left="1701"/>
        <w:rPr>
          <w:lang w:val="en-US"/>
        </w:rPr>
      </w:pPr>
      <w:r>
        <w:rPr>
          <w:lang w:val="en-US"/>
        </w:rPr>
        <w:t>(c)</w:t>
      </w:r>
      <w:r>
        <w:rPr>
          <w:lang w:val="en-US"/>
        </w:rPr>
        <w:tab/>
      </w:r>
      <w:r w:rsidRPr="00EE4265">
        <w:rPr>
          <w:lang w:val="en-US"/>
        </w:rPr>
        <w:t>Substances and articles not mentioned under (a) and (b) which are manufactured with a view to producing a practical explosive or pyrotechnic effect</w:t>
      </w:r>
      <w:r>
        <w:rPr>
          <w:lang w:val="en-US"/>
        </w:rPr>
        <w:t>.”</w:t>
      </w:r>
    </w:p>
    <w:p w:rsidR="000930EA" w:rsidRDefault="000930EA" w:rsidP="000930EA">
      <w:pPr>
        <w:pStyle w:val="SingleTxtG"/>
      </w:pPr>
      <w:r>
        <w:t>9</w:t>
      </w:r>
      <w:r w:rsidRPr="006C7D88">
        <w:t>.</w:t>
      </w:r>
      <w:r>
        <w:tab/>
        <w:t>It is proposed to remove the comma after the word “practical” in 2.1.1.2 (c) and Note b to Table 2.1.1 of the GHS to clarify intent and to achieve consistency with all other refere</w:t>
      </w:r>
      <w:r w:rsidR="002D56F2">
        <w:t xml:space="preserve">nces throughout the GHS, the Model Regulations and the </w:t>
      </w:r>
      <w:r>
        <w:t>Manual of Tests and Criteria, such that</w:t>
      </w:r>
    </w:p>
    <w:p w:rsidR="000930EA" w:rsidRDefault="000930EA" w:rsidP="006C258C">
      <w:pPr>
        <w:pStyle w:val="SingleTxtG"/>
        <w:tabs>
          <w:tab w:val="left" w:pos="2552"/>
        </w:tabs>
        <w:ind w:firstLine="567"/>
      </w:pPr>
      <w:r>
        <w:t>2.1.1.2 would read:</w:t>
      </w:r>
    </w:p>
    <w:p w:rsidR="000930EA" w:rsidRPr="00251D0E" w:rsidRDefault="000930EA" w:rsidP="006C258C">
      <w:pPr>
        <w:pStyle w:val="SingleTxtG"/>
        <w:tabs>
          <w:tab w:val="left" w:pos="2552"/>
        </w:tabs>
        <w:ind w:left="1701"/>
        <w:rPr>
          <w:lang w:val="en-US"/>
        </w:rPr>
      </w:pPr>
      <w:r w:rsidRPr="00251D0E">
        <w:rPr>
          <w:lang w:val="en-US"/>
        </w:rPr>
        <w:t>“2.1.1.2 The class of explosives comprises:</w:t>
      </w:r>
    </w:p>
    <w:p w:rsidR="000930EA" w:rsidRPr="00251D0E" w:rsidRDefault="000930EA" w:rsidP="000930EA">
      <w:pPr>
        <w:pStyle w:val="SingleTxtG"/>
        <w:ind w:left="1701"/>
        <w:rPr>
          <w:lang w:val="en-US"/>
        </w:rPr>
      </w:pPr>
      <w:r>
        <w:rPr>
          <w:lang w:val="en-US"/>
        </w:rPr>
        <w:t>(a)</w:t>
      </w:r>
      <w:r>
        <w:rPr>
          <w:lang w:val="en-US"/>
        </w:rPr>
        <w:tab/>
      </w:r>
      <w:r w:rsidRPr="00251D0E">
        <w:rPr>
          <w:lang w:val="en-US"/>
        </w:rPr>
        <w:t>Explosive substances and mixtures;</w:t>
      </w:r>
    </w:p>
    <w:p w:rsidR="000930EA" w:rsidRPr="00251D0E" w:rsidRDefault="000930EA" w:rsidP="000930EA">
      <w:pPr>
        <w:pStyle w:val="SingleTxtG"/>
        <w:ind w:left="1701"/>
        <w:rPr>
          <w:lang w:val="en-US"/>
        </w:rPr>
      </w:pPr>
      <w:r>
        <w:rPr>
          <w:lang w:val="en-US"/>
        </w:rPr>
        <w:t>(b)</w:t>
      </w:r>
      <w:r>
        <w:rPr>
          <w:lang w:val="en-US"/>
        </w:rPr>
        <w:tab/>
      </w:r>
      <w:r w:rsidRPr="00251D0E">
        <w:rPr>
          <w:lang w:val="en-US"/>
        </w:rPr>
        <w:t>Explosive articles, except devices containing explosive substances or mixtures in such quantity or of such a character that their inadvertent or accidental ignition or initiation shall not cause any effect external to the device either by projection, fire, smoke, heat or loud noise; and</w:t>
      </w:r>
    </w:p>
    <w:p w:rsidR="000930EA" w:rsidRPr="00251D0E" w:rsidRDefault="000930EA" w:rsidP="000930EA">
      <w:pPr>
        <w:pStyle w:val="SingleTxtG"/>
        <w:ind w:left="1701"/>
        <w:rPr>
          <w:lang w:val="en-US"/>
        </w:rPr>
      </w:pPr>
      <w:r>
        <w:rPr>
          <w:lang w:val="en-US"/>
        </w:rPr>
        <w:t>(c)</w:t>
      </w:r>
      <w:r>
        <w:rPr>
          <w:lang w:val="en-US"/>
        </w:rPr>
        <w:tab/>
      </w:r>
      <w:r w:rsidRPr="00251D0E">
        <w:rPr>
          <w:lang w:val="en-US"/>
        </w:rPr>
        <w:t>Substances, mixtures and articles not mentioned under (a) and (b) above which are manufactured with the view to producing a practical explosive or pyrotechnic effect.’</w:t>
      </w:r>
    </w:p>
    <w:p w:rsidR="000930EA" w:rsidRDefault="000930EA" w:rsidP="000930EA">
      <w:pPr>
        <w:pStyle w:val="SingleTxtG"/>
        <w:ind w:firstLine="567"/>
        <w:rPr>
          <w:lang w:val="en-US"/>
        </w:rPr>
      </w:pPr>
      <w:r>
        <w:rPr>
          <w:lang w:val="en-US"/>
        </w:rPr>
        <w:t>Note b to Table 2.1.1 would read:</w:t>
      </w:r>
    </w:p>
    <w:p w:rsidR="000930EA" w:rsidRPr="00251D0E" w:rsidRDefault="000930EA" w:rsidP="000930EA">
      <w:pPr>
        <w:pStyle w:val="SingleTxtG"/>
        <w:ind w:left="1701"/>
      </w:pPr>
      <w:r w:rsidRPr="00251D0E">
        <w:rPr>
          <w:b/>
          <w:bCs/>
          <w:lang w:val="en-US"/>
        </w:rPr>
        <w:t>“</w:t>
      </w:r>
      <w:r w:rsidRPr="00251D0E">
        <w:rPr>
          <w:bCs/>
          <w:lang w:val="en-US"/>
        </w:rPr>
        <w:t>b</w:t>
      </w:r>
      <w:r w:rsidRPr="00251D0E">
        <w:rPr>
          <w:b/>
          <w:bCs/>
          <w:lang w:val="en-US"/>
        </w:rPr>
        <w:t xml:space="preserve"> </w:t>
      </w:r>
      <w:r w:rsidRPr="00251D0E">
        <w:rPr>
          <w:iCs/>
          <w:lang w:val="en-US"/>
        </w:rPr>
        <w:t>This comprises substances, mixtures and articles which are manufactured with a view to producing a practical explosive or pyrotechnic effect.’</w:t>
      </w:r>
    </w:p>
    <w:p w:rsidR="002A17F1" w:rsidRPr="008A6C86" w:rsidRDefault="002A17F1" w:rsidP="002A17F1">
      <w:pPr>
        <w:pStyle w:val="SingleTxtG"/>
        <w:spacing w:before="240" w:after="0"/>
        <w:jc w:val="center"/>
        <w:rPr>
          <w:u w:val="single"/>
        </w:rPr>
      </w:pPr>
      <w:r>
        <w:rPr>
          <w:u w:val="single"/>
        </w:rPr>
        <w:tab/>
      </w:r>
      <w:r>
        <w:rPr>
          <w:u w:val="single"/>
        </w:rPr>
        <w:tab/>
      </w:r>
      <w:r>
        <w:rPr>
          <w:u w:val="single"/>
        </w:rPr>
        <w:tab/>
      </w:r>
    </w:p>
    <w:p w:rsidR="002A17F1" w:rsidRDefault="002A17F1" w:rsidP="002A17F1">
      <w:pPr>
        <w:pStyle w:val="SingleTxtG"/>
      </w:pPr>
    </w:p>
    <w:p w:rsidR="002A17F1" w:rsidRDefault="002A17F1" w:rsidP="002A17F1">
      <w:pPr>
        <w:pStyle w:val="SingleTxtG"/>
        <w:rPr>
          <w:b/>
        </w:rPr>
      </w:pPr>
    </w:p>
    <w:p w:rsidR="00601DF1" w:rsidRDefault="00601DF1" w:rsidP="005553CB">
      <w:pPr>
        <w:pStyle w:val="HChG"/>
      </w:pPr>
    </w:p>
    <w:sectPr w:rsidR="00601DF1" w:rsidSect="005553CB">
      <w:headerReference w:type="even" r:id="rId10"/>
      <w:headerReference w:type="default" r:id="rId11"/>
      <w:endnotePr>
        <w:numFmt w:val="decimal"/>
      </w:endnotePr>
      <w:type w:val="continuous"/>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A5A" w:rsidRDefault="005F6A5A"/>
  </w:endnote>
  <w:endnote w:type="continuationSeparator" w:id="0">
    <w:p w:rsidR="005F6A5A" w:rsidRDefault="005F6A5A"/>
  </w:endnote>
  <w:endnote w:type="continuationNotice" w:id="1">
    <w:p w:rsidR="005F6A5A" w:rsidRDefault="005F6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A5A" w:rsidRPr="000B175B" w:rsidRDefault="005F6A5A" w:rsidP="000B175B">
      <w:pPr>
        <w:tabs>
          <w:tab w:val="right" w:pos="2155"/>
        </w:tabs>
        <w:spacing w:after="80"/>
        <w:ind w:left="680"/>
        <w:rPr>
          <w:u w:val="single"/>
        </w:rPr>
      </w:pPr>
      <w:r>
        <w:rPr>
          <w:u w:val="single"/>
        </w:rPr>
        <w:tab/>
      </w:r>
    </w:p>
  </w:footnote>
  <w:footnote w:type="continuationSeparator" w:id="0">
    <w:p w:rsidR="005F6A5A" w:rsidRPr="00FC68B7" w:rsidRDefault="005F6A5A" w:rsidP="00FC68B7">
      <w:pPr>
        <w:tabs>
          <w:tab w:val="left" w:pos="2155"/>
        </w:tabs>
        <w:spacing w:after="80"/>
        <w:ind w:left="680"/>
        <w:rPr>
          <w:u w:val="single"/>
        </w:rPr>
      </w:pPr>
      <w:r>
        <w:rPr>
          <w:u w:val="single"/>
        </w:rPr>
        <w:tab/>
      </w:r>
    </w:p>
  </w:footnote>
  <w:footnote w:type="continuationNotice" w:id="1">
    <w:p w:rsidR="005F6A5A" w:rsidRDefault="005F6A5A"/>
  </w:footnote>
  <w:footnote w:id="2">
    <w:p w:rsidR="00AB1C96" w:rsidRPr="00CB3115" w:rsidRDefault="00AB1C96" w:rsidP="00CB3115">
      <w:pPr>
        <w:pStyle w:val="SingleTxtG"/>
        <w:tabs>
          <w:tab w:val="left" w:pos="1418"/>
        </w:tabs>
        <w:spacing w:after="0"/>
        <w:jc w:val="left"/>
        <w:rPr>
          <w:sz w:val="18"/>
          <w:szCs w:val="18"/>
          <w:lang w:val="fr-CH"/>
        </w:rPr>
      </w:pPr>
      <w:r w:rsidRPr="00CB3115">
        <w:rPr>
          <w:rStyle w:val="FootnoteReference"/>
          <w:szCs w:val="18"/>
        </w:rPr>
        <w:footnoteRef/>
      </w:r>
      <w:r w:rsidRPr="00CB3115">
        <w:rPr>
          <w:sz w:val="18"/>
          <w:szCs w:val="18"/>
        </w:rPr>
        <w:t xml:space="preserve"> </w:t>
      </w:r>
      <w:r w:rsidR="00CB3115" w:rsidRPr="00CB3115">
        <w:rPr>
          <w:sz w:val="18"/>
          <w:szCs w:val="18"/>
        </w:rPr>
        <w:tab/>
        <w:t>In accordance with the programme of work of the Sub-C</w:t>
      </w:r>
      <w:r w:rsidR="00CB3115">
        <w:rPr>
          <w:sz w:val="18"/>
          <w:szCs w:val="18"/>
        </w:rPr>
        <w:t xml:space="preserve">ommittee for 2015–2016 approved </w:t>
      </w:r>
      <w:r w:rsidR="00CB3115" w:rsidRPr="00CB3115">
        <w:rPr>
          <w:sz w:val="18"/>
          <w:szCs w:val="18"/>
        </w:rPr>
        <w:t>by the Committee at its seventh session (see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F7" w:rsidRPr="00513AF7" w:rsidRDefault="00513AF7">
    <w:pPr>
      <w:pStyle w:val="Header"/>
      <w:rPr>
        <w:lang w:val="fr-CH"/>
      </w:rPr>
    </w:pPr>
    <w:r>
      <w:rPr>
        <w:lang w:val="fr-CH"/>
      </w:rPr>
      <w:t>ST/SG/AC.10/C.3/2016/53</w:t>
    </w:r>
    <w:r>
      <w:rPr>
        <w:lang w:val="fr-CH"/>
      </w:rPr>
      <w:br/>
      <w:t>ST/SG/AC.10/C.4/2016/14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EA" w:rsidRPr="00513AF7" w:rsidRDefault="000930EA" w:rsidP="000930EA">
    <w:pPr>
      <w:pStyle w:val="Header"/>
      <w:rPr>
        <w:lang w:val="fr-CH"/>
      </w:rPr>
    </w:pPr>
    <w:r>
      <w:rPr>
        <w:lang w:val="fr-CH"/>
      </w:rPr>
      <w:t>ST/SG/AC.10/C.3/2016/53</w:t>
    </w:r>
    <w:r>
      <w:rPr>
        <w:lang w:val="fr-CH"/>
      </w:rPr>
      <w:br/>
      <w:t>ST/SG/AC.10/C.4/2016/14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3A1216A"/>
    <w:multiLevelType w:val="hybridMultilevel"/>
    <w:tmpl w:val="7EC0EDA8"/>
    <w:lvl w:ilvl="0" w:tplc="BF50169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32103B8D"/>
    <w:multiLevelType w:val="hybridMultilevel"/>
    <w:tmpl w:val="B748D9F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7"/>
  </w:num>
  <w:num w:numId="16">
    <w:abstractNumId w:val="14"/>
  </w:num>
  <w:num w:numId="17">
    <w:abstractNumId w:val="10"/>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1"/>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F1"/>
    <w:rsid w:val="000504CE"/>
    <w:rsid w:val="00050F6B"/>
    <w:rsid w:val="000569F4"/>
    <w:rsid w:val="00072C8C"/>
    <w:rsid w:val="00081A1C"/>
    <w:rsid w:val="00091419"/>
    <w:rsid w:val="000930EA"/>
    <w:rsid w:val="000931C0"/>
    <w:rsid w:val="00097C02"/>
    <w:rsid w:val="000B175B"/>
    <w:rsid w:val="000B267F"/>
    <w:rsid w:val="000B3A0F"/>
    <w:rsid w:val="000E0415"/>
    <w:rsid w:val="00100294"/>
    <w:rsid w:val="00117787"/>
    <w:rsid w:val="00125843"/>
    <w:rsid w:val="00131D42"/>
    <w:rsid w:val="00143567"/>
    <w:rsid w:val="001633FB"/>
    <w:rsid w:val="00167786"/>
    <w:rsid w:val="00172177"/>
    <w:rsid w:val="00195C75"/>
    <w:rsid w:val="001B4B04"/>
    <w:rsid w:val="001C6663"/>
    <w:rsid w:val="001C7895"/>
    <w:rsid w:val="001D26DF"/>
    <w:rsid w:val="001D2FDC"/>
    <w:rsid w:val="0020003A"/>
    <w:rsid w:val="0020107E"/>
    <w:rsid w:val="00211E0B"/>
    <w:rsid w:val="00212371"/>
    <w:rsid w:val="00213BF9"/>
    <w:rsid w:val="002309A7"/>
    <w:rsid w:val="00237785"/>
    <w:rsid w:val="00241466"/>
    <w:rsid w:val="00251DD6"/>
    <w:rsid w:val="00263F67"/>
    <w:rsid w:val="002725CA"/>
    <w:rsid w:val="00280EB7"/>
    <w:rsid w:val="002A17F1"/>
    <w:rsid w:val="002A4951"/>
    <w:rsid w:val="002B1CDA"/>
    <w:rsid w:val="002D56F2"/>
    <w:rsid w:val="002E1C62"/>
    <w:rsid w:val="002E5F7F"/>
    <w:rsid w:val="002F352A"/>
    <w:rsid w:val="00303F76"/>
    <w:rsid w:val="003107FA"/>
    <w:rsid w:val="003229D8"/>
    <w:rsid w:val="00374565"/>
    <w:rsid w:val="0039277A"/>
    <w:rsid w:val="003972E0"/>
    <w:rsid w:val="003C296B"/>
    <w:rsid w:val="003C2CC4"/>
    <w:rsid w:val="003D4B23"/>
    <w:rsid w:val="0040168C"/>
    <w:rsid w:val="004027B2"/>
    <w:rsid w:val="00406ABA"/>
    <w:rsid w:val="00410751"/>
    <w:rsid w:val="004240F9"/>
    <w:rsid w:val="004325CB"/>
    <w:rsid w:val="00437F3F"/>
    <w:rsid w:val="00443C10"/>
    <w:rsid w:val="00446DE4"/>
    <w:rsid w:val="00454036"/>
    <w:rsid w:val="004A0F1D"/>
    <w:rsid w:val="004B2C9D"/>
    <w:rsid w:val="004D728D"/>
    <w:rsid w:val="004D7F7F"/>
    <w:rsid w:val="004F4D0F"/>
    <w:rsid w:val="00504189"/>
    <w:rsid w:val="00504F12"/>
    <w:rsid w:val="00513AF7"/>
    <w:rsid w:val="00527910"/>
    <w:rsid w:val="005420F2"/>
    <w:rsid w:val="005553CB"/>
    <w:rsid w:val="005641FC"/>
    <w:rsid w:val="00586B06"/>
    <w:rsid w:val="00590144"/>
    <w:rsid w:val="005B3DB3"/>
    <w:rsid w:val="005B7108"/>
    <w:rsid w:val="005C34B3"/>
    <w:rsid w:val="005C6070"/>
    <w:rsid w:val="005F123D"/>
    <w:rsid w:val="005F6A5A"/>
    <w:rsid w:val="00601DF1"/>
    <w:rsid w:val="00606A65"/>
    <w:rsid w:val="00611FC4"/>
    <w:rsid w:val="006176FB"/>
    <w:rsid w:val="0063419C"/>
    <w:rsid w:val="006345E5"/>
    <w:rsid w:val="00640B26"/>
    <w:rsid w:val="006500BA"/>
    <w:rsid w:val="00655034"/>
    <w:rsid w:val="006A7392"/>
    <w:rsid w:val="006B21AF"/>
    <w:rsid w:val="006C0D34"/>
    <w:rsid w:val="006C1092"/>
    <w:rsid w:val="006C258C"/>
    <w:rsid w:val="006E0279"/>
    <w:rsid w:val="006E1026"/>
    <w:rsid w:val="006E564B"/>
    <w:rsid w:val="006E6A15"/>
    <w:rsid w:val="0072632A"/>
    <w:rsid w:val="00764B92"/>
    <w:rsid w:val="00776E90"/>
    <w:rsid w:val="00790791"/>
    <w:rsid w:val="007B1A7E"/>
    <w:rsid w:val="007B6BA5"/>
    <w:rsid w:val="007C3390"/>
    <w:rsid w:val="007C4F4B"/>
    <w:rsid w:val="007F6611"/>
    <w:rsid w:val="008175E9"/>
    <w:rsid w:val="008242D7"/>
    <w:rsid w:val="00842F58"/>
    <w:rsid w:val="00861E67"/>
    <w:rsid w:val="00871FD5"/>
    <w:rsid w:val="0089375A"/>
    <w:rsid w:val="008979B1"/>
    <w:rsid w:val="008A218C"/>
    <w:rsid w:val="008A6B25"/>
    <w:rsid w:val="008A6C4F"/>
    <w:rsid w:val="008E0E46"/>
    <w:rsid w:val="008F798A"/>
    <w:rsid w:val="009047E1"/>
    <w:rsid w:val="00945A5D"/>
    <w:rsid w:val="009607CE"/>
    <w:rsid w:val="009636DD"/>
    <w:rsid w:val="00963CBA"/>
    <w:rsid w:val="00965CB6"/>
    <w:rsid w:val="0099124E"/>
    <w:rsid w:val="00991261"/>
    <w:rsid w:val="009A2EC9"/>
    <w:rsid w:val="009D1AAE"/>
    <w:rsid w:val="009F0F06"/>
    <w:rsid w:val="00A12DC4"/>
    <w:rsid w:val="00A1427D"/>
    <w:rsid w:val="00A31948"/>
    <w:rsid w:val="00A33771"/>
    <w:rsid w:val="00A718CC"/>
    <w:rsid w:val="00A72F22"/>
    <w:rsid w:val="00A748A6"/>
    <w:rsid w:val="00A75EC9"/>
    <w:rsid w:val="00A81010"/>
    <w:rsid w:val="00A8523D"/>
    <w:rsid w:val="00A879A4"/>
    <w:rsid w:val="00A87C9C"/>
    <w:rsid w:val="00AB1C96"/>
    <w:rsid w:val="00AE6B11"/>
    <w:rsid w:val="00AF009B"/>
    <w:rsid w:val="00AF76D9"/>
    <w:rsid w:val="00B23E28"/>
    <w:rsid w:val="00B30179"/>
    <w:rsid w:val="00B3317B"/>
    <w:rsid w:val="00B47598"/>
    <w:rsid w:val="00B56DD8"/>
    <w:rsid w:val="00B61A14"/>
    <w:rsid w:val="00B81E12"/>
    <w:rsid w:val="00B93068"/>
    <w:rsid w:val="00BC74E9"/>
    <w:rsid w:val="00BD066E"/>
    <w:rsid w:val="00BE618E"/>
    <w:rsid w:val="00BF248E"/>
    <w:rsid w:val="00BF5E5B"/>
    <w:rsid w:val="00C01AB9"/>
    <w:rsid w:val="00C044E4"/>
    <w:rsid w:val="00C059DA"/>
    <w:rsid w:val="00C245F9"/>
    <w:rsid w:val="00C34460"/>
    <w:rsid w:val="00C43945"/>
    <w:rsid w:val="00C463DD"/>
    <w:rsid w:val="00C54D04"/>
    <w:rsid w:val="00C57294"/>
    <w:rsid w:val="00C62F76"/>
    <w:rsid w:val="00C64AE2"/>
    <w:rsid w:val="00C745C3"/>
    <w:rsid w:val="00CB3115"/>
    <w:rsid w:val="00CC7568"/>
    <w:rsid w:val="00CD26AC"/>
    <w:rsid w:val="00CD3225"/>
    <w:rsid w:val="00CE1F29"/>
    <w:rsid w:val="00CE46BA"/>
    <w:rsid w:val="00CE4A8F"/>
    <w:rsid w:val="00D01C11"/>
    <w:rsid w:val="00D2031B"/>
    <w:rsid w:val="00D21943"/>
    <w:rsid w:val="00D25FE2"/>
    <w:rsid w:val="00D43252"/>
    <w:rsid w:val="00D46231"/>
    <w:rsid w:val="00D615AE"/>
    <w:rsid w:val="00D61D58"/>
    <w:rsid w:val="00D753D8"/>
    <w:rsid w:val="00D96CC5"/>
    <w:rsid w:val="00D978C6"/>
    <w:rsid w:val="00DA24EE"/>
    <w:rsid w:val="00DA67AD"/>
    <w:rsid w:val="00DE032C"/>
    <w:rsid w:val="00DF7C77"/>
    <w:rsid w:val="00E03050"/>
    <w:rsid w:val="00E130AB"/>
    <w:rsid w:val="00E1679E"/>
    <w:rsid w:val="00E259E9"/>
    <w:rsid w:val="00E35FA0"/>
    <w:rsid w:val="00E41BE9"/>
    <w:rsid w:val="00E5644E"/>
    <w:rsid w:val="00E61386"/>
    <w:rsid w:val="00E7260F"/>
    <w:rsid w:val="00E81230"/>
    <w:rsid w:val="00E8535A"/>
    <w:rsid w:val="00E8728D"/>
    <w:rsid w:val="00E96630"/>
    <w:rsid w:val="00EA772F"/>
    <w:rsid w:val="00EB6832"/>
    <w:rsid w:val="00EC271A"/>
    <w:rsid w:val="00ED7A2A"/>
    <w:rsid w:val="00EF1D7F"/>
    <w:rsid w:val="00F40E75"/>
    <w:rsid w:val="00F46502"/>
    <w:rsid w:val="00F51224"/>
    <w:rsid w:val="00F54674"/>
    <w:rsid w:val="00FA3F8B"/>
    <w:rsid w:val="00FC68B7"/>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8D"/>
    <w:pPr>
      <w:suppressAutoHyphens/>
      <w:spacing w:line="240" w:lineRule="atLeast"/>
    </w:pPr>
    <w:rPr>
      <w:lang w:eastAsia="en-US"/>
    </w:rPr>
  </w:style>
  <w:style w:type="paragraph" w:styleId="Heading1">
    <w:name w:val="heading 1"/>
    <w:aliases w:val="Table_G,Heading GHS"/>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rsid w:val="008A218C"/>
    <w:pPr>
      <w:tabs>
        <w:tab w:val="left" w:pos="426"/>
      </w:tabs>
      <w:spacing w:before="60" w:line="220" w:lineRule="exact"/>
    </w:pPr>
    <w:rPr>
      <w:i/>
      <w:szCs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01DF1"/>
    <w:pPr>
      <w:spacing w:line="240" w:lineRule="auto"/>
    </w:pPr>
    <w:rPr>
      <w:rFonts w:ascii="Tahoma" w:hAnsi="Tahoma" w:cs="Tahoma"/>
      <w:sz w:val="16"/>
      <w:szCs w:val="16"/>
    </w:rPr>
  </w:style>
  <w:style w:type="character" w:customStyle="1" w:styleId="BalloonTextChar">
    <w:name w:val="Balloon Text Char"/>
    <w:link w:val="BalloonText"/>
    <w:rsid w:val="00601DF1"/>
    <w:rPr>
      <w:rFonts w:ascii="Tahoma" w:hAnsi="Tahoma" w:cs="Tahoma"/>
      <w:sz w:val="16"/>
      <w:szCs w:val="16"/>
      <w:lang w:eastAsia="en-US"/>
    </w:rPr>
  </w:style>
  <w:style w:type="paragraph" w:customStyle="1" w:styleId="GHSBodyText">
    <w:name w:val="GHSBody Text"/>
    <w:basedOn w:val="BodyText"/>
    <w:link w:val="GHSBodyTextChar"/>
    <w:rsid w:val="00DE032C"/>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paragraph" w:customStyle="1" w:styleId="GHSHeading2">
    <w:name w:val="GHSHeading2"/>
    <w:basedOn w:val="Normal"/>
    <w:autoRedefine/>
    <w:rsid w:val="004D7F7F"/>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DE032C"/>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DE032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character" w:customStyle="1" w:styleId="SingleTxtGChar">
    <w:name w:val="_ Single Txt_G Char"/>
    <w:link w:val="SingleTxtG"/>
    <w:rsid w:val="00DE032C"/>
    <w:rPr>
      <w:lang w:eastAsia="en-US"/>
    </w:rPr>
  </w:style>
  <w:style w:type="character" w:customStyle="1" w:styleId="GHSBodyTextChar">
    <w:name w:val="GHSBody Text Char"/>
    <w:link w:val="GHSBodyText"/>
    <w:rsid w:val="00DE032C"/>
    <w:rPr>
      <w:sz w:val="22"/>
      <w:lang w:eastAsia="en-US"/>
    </w:rPr>
  </w:style>
  <w:style w:type="character" w:customStyle="1" w:styleId="BodyTextChar">
    <w:name w:val="Body Text Char"/>
    <w:link w:val="BodyText"/>
    <w:rsid w:val="00DE032C"/>
    <w:rPr>
      <w:lang w:eastAsia="en-US"/>
    </w:rPr>
  </w:style>
  <w:style w:type="character" w:customStyle="1" w:styleId="Heading2Char">
    <w:name w:val="Heading 2 Char"/>
    <w:link w:val="Heading2"/>
    <w:rsid w:val="00DE032C"/>
    <w:rPr>
      <w:lang w:eastAsia="en-US"/>
    </w:rPr>
  </w:style>
  <w:style w:type="character" w:customStyle="1" w:styleId="BodyText2Char">
    <w:name w:val="Body Text 2 Char"/>
    <w:link w:val="BodyText2"/>
    <w:rsid w:val="00DE032C"/>
    <w:rPr>
      <w:lang w:eastAsia="en-US"/>
    </w:rPr>
  </w:style>
  <w:style w:type="character" w:customStyle="1" w:styleId="BodyText3Char">
    <w:name w:val="Body Text 3 Char"/>
    <w:link w:val="BodyText3"/>
    <w:rsid w:val="00DE032C"/>
    <w:rPr>
      <w:sz w:val="16"/>
      <w:szCs w:val="16"/>
      <w:lang w:eastAsia="en-US"/>
    </w:rPr>
  </w:style>
  <w:style w:type="character" w:customStyle="1" w:styleId="Heading3Char">
    <w:name w:val="Heading 3 Char"/>
    <w:link w:val="Heading3"/>
    <w:rsid w:val="00DE032C"/>
    <w:rPr>
      <w:lang w:eastAsia="en-US"/>
    </w:rPr>
  </w:style>
  <w:style w:type="character" w:customStyle="1" w:styleId="Heading1Char">
    <w:name w:val="Heading 1 Char"/>
    <w:aliases w:val="Table_G Char,Heading GHS Char"/>
    <w:link w:val="Heading1"/>
    <w:rsid w:val="00DE032C"/>
    <w:rPr>
      <w:lang w:eastAsia="en-US"/>
    </w:rPr>
  </w:style>
  <w:style w:type="paragraph" w:customStyle="1" w:styleId="Style1">
    <w:name w:val="Style1"/>
    <w:basedOn w:val="Normal"/>
    <w:rsid w:val="00DE032C"/>
    <w:pPr>
      <w:suppressAutoHyphens w:val="0"/>
      <w:spacing w:line="240" w:lineRule="auto"/>
    </w:pPr>
    <w:rPr>
      <w:sz w:val="22"/>
      <w:szCs w:val="24"/>
    </w:rPr>
  </w:style>
  <w:style w:type="character" w:customStyle="1" w:styleId="CommentTextChar">
    <w:name w:val="Comment Text Char"/>
    <w:basedOn w:val="DefaultParagraphFont"/>
    <w:link w:val="CommentText"/>
    <w:semiHidden/>
    <w:rsid w:val="004D728D"/>
    <w:rPr>
      <w:lang w:eastAsia="en-US"/>
    </w:rPr>
  </w:style>
  <w:style w:type="character" w:customStyle="1" w:styleId="HChGChar">
    <w:name w:val="_ H _Ch_G Char"/>
    <w:link w:val="HChG"/>
    <w:rsid w:val="002A17F1"/>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8D"/>
    <w:pPr>
      <w:suppressAutoHyphens/>
      <w:spacing w:line="240" w:lineRule="atLeast"/>
    </w:pPr>
    <w:rPr>
      <w:lang w:eastAsia="en-US"/>
    </w:rPr>
  </w:style>
  <w:style w:type="paragraph" w:styleId="Heading1">
    <w:name w:val="heading 1"/>
    <w:aliases w:val="Table_G,Heading GHS"/>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rsid w:val="008A218C"/>
    <w:pPr>
      <w:tabs>
        <w:tab w:val="left" w:pos="426"/>
      </w:tabs>
      <w:spacing w:before="60" w:line="220" w:lineRule="exact"/>
    </w:pPr>
    <w:rPr>
      <w:i/>
      <w:szCs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01DF1"/>
    <w:pPr>
      <w:spacing w:line="240" w:lineRule="auto"/>
    </w:pPr>
    <w:rPr>
      <w:rFonts w:ascii="Tahoma" w:hAnsi="Tahoma" w:cs="Tahoma"/>
      <w:sz w:val="16"/>
      <w:szCs w:val="16"/>
    </w:rPr>
  </w:style>
  <w:style w:type="character" w:customStyle="1" w:styleId="BalloonTextChar">
    <w:name w:val="Balloon Text Char"/>
    <w:link w:val="BalloonText"/>
    <w:rsid w:val="00601DF1"/>
    <w:rPr>
      <w:rFonts w:ascii="Tahoma" w:hAnsi="Tahoma" w:cs="Tahoma"/>
      <w:sz w:val="16"/>
      <w:szCs w:val="16"/>
      <w:lang w:eastAsia="en-US"/>
    </w:rPr>
  </w:style>
  <w:style w:type="paragraph" w:customStyle="1" w:styleId="GHSBodyText">
    <w:name w:val="GHSBody Text"/>
    <w:basedOn w:val="BodyText"/>
    <w:link w:val="GHSBodyTextChar"/>
    <w:rsid w:val="00DE032C"/>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paragraph" w:customStyle="1" w:styleId="GHSHeading2">
    <w:name w:val="GHSHeading2"/>
    <w:basedOn w:val="Normal"/>
    <w:autoRedefine/>
    <w:rsid w:val="004D7F7F"/>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DE032C"/>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DE032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character" w:customStyle="1" w:styleId="SingleTxtGChar">
    <w:name w:val="_ Single Txt_G Char"/>
    <w:link w:val="SingleTxtG"/>
    <w:rsid w:val="00DE032C"/>
    <w:rPr>
      <w:lang w:eastAsia="en-US"/>
    </w:rPr>
  </w:style>
  <w:style w:type="character" w:customStyle="1" w:styleId="GHSBodyTextChar">
    <w:name w:val="GHSBody Text Char"/>
    <w:link w:val="GHSBodyText"/>
    <w:rsid w:val="00DE032C"/>
    <w:rPr>
      <w:sz w:val="22"/>
      <w:lang w:eastAsia="en-US"/>
    </w:rPr>
  </w:style>
  <w:style w:type="character" w:customStyle="1" w:styleId="BodyTextChar">
    <w:name w:val="Body Text Char"/>
    <w:link w:val="BodyText"/>
    <w:rsid w:val="00DE032C"/>
    <w:rPr>
      <w:lang w:eastAsia="en-US"/>
    </w:rPr>
  </w:style>
  <w:style w:type="character" w:customStyle="1" w:styleId="Heading2Char">
    <w:name w:val="Heading 2 Char"/>
    <w:link w:val="Heading2"/>
    <w:rsid w:val="00DE032C"/>
    <w:rPr>
      <w:lang w:eastAsia="en-US"/>
    </w:rPr>
  </w:style>
  <w:style w:type="character" w:customStyle="1" w:styleId="BodyText2Char">
    <w:name w:val="Body Text 2 Char"/>
    <w:link w:val="BodyText2"/>
    <w:rsid w:val="00DE032C"/>
    <w:rPr>
      <w:lang w:eastAsia="en-US"/>
    </w:rPr>
  </w:style>
  <w:style w:type="character" w:customStyle="1" w:styleId="BodyText3Char">
    <w:name w:val="Body Text 3 Char"/>
    <w:link w:val="BodyText3"/>
    <w:rsid w:val="00DE032C"/>
    <w:rPr>
      <w:sz w:val="16"/>
      <w:szCs w:val="16"/>
      <w:lang w:eastAsia="en-US"/>
    </w:rPr>
  </w:style>
  <w:style w:type="character" w:customStyle="1" w:styleId="Heading3Char">
    <w:name w:val="Heading 3 Char"/>
    <w:link w:val="Heading3"/>
    <w:rsid w:val="00DE032C"/>
    <w:rPr>
      <w:lang w:eastAsia="en-US"/>
    </w:rPr>
  </w:style>
  <w:style w:type="character" w:customStyle="1" w:styleId="Heading1Char">
    <w:name w:val="Heading 1 Char"/>
    <w:aliases w:val="Table_G Char,Heading GHS Char"/>
    <w:link w:val="Heading1"/>
    <w:rsid w:val="00DE032C"/>
    <w:rPr>
      <w:lang w:eastAsia="en-US"/>
    </w:rPr>
  </w:style>
  <w:style w:type="paragraph" w:customStyle="1" w:styleId="Style1">
    <w:name w:val="Style1"/>
    <w:basedOn w:val="Normal"/>
    <w:rsid w:val="00DE032C"/>
    <w:pPr>
      <w:suppressAutoHyphens w:val="0"/>
      <w:spacing w:line="240" w:lineRule="auto"/>
    </w:pPr>
    <w:rPr>
      <w:sz w:val="22"/>
      <w:szCs w:val="24"/>
    </w:rPr>
  </w:style>
  <w:style w:type="character" w:customStyle="1" w:styleId="CommentTextChar">
    <w:name w:val="Comment Text Char"/>
    <w:basedOn w:val="DefaultParagraphFont"/>
    <w:link w:val="CommentText"/>
    <w:semiHidden/>
    <w:rsid w:val="004D728D"/>
    <w:rPr>
      <w:lang w:eastAsia="en-US"/>
    </w:rPr>
  </w:style>
  <w:style w:type="character" w:customStyle="1" w:styleId="HChGChar">
    <w:name w:val="_ H _Ch_G Char"/>
    <w:link w:val="HChG"/>
    <w:rsid w:val="002A17F1"/>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8531">
      <w:bodyDiv w:val="1"/>
      <w:marLeft w:val="0"/>
      <w:marRight w:val="0"/>
      <w:marTop w:val="0"/>
      <w:marBottom w:val="0"/>
      <w:divBdr>
        <w:top w:val="none" w:sz="0" w:space="0" w:color="auto"/>
        <w:left w:val="none" w:sz="0" w:space="0" w:color="auto"/>
        <w:bottom w:val="none" w:sz="0" w:space="0" w:color="auto"/>
        <w:right w:val="none" w:sz="0" w:space="0" w:color="auto"/>
      </w:divBdr>
      <w:divsChild>
        <w:div w:id="1878810531">
          <w:marLeft w:val="0"/>
          <w:marRight w:val="0"/>
          <w:marTop w:val="0"/>
          <w:marBottom w:val="0"/>
          <w:divBdr>
            <w:top w:val="none" w:sz="0" w:space="0" w:color="auto"/>
            <w:left w:val="none" w:sz="0" w:space="0" w:color="auto"/>
            <w:bottom w:val="none" w:sz="0" w:space="0" w:color="auto"/>
            <w:right w:val="none" w:sz="0" w:space="0" w:color="auto"/>
          </w:divBdr>
          <w:divsChild>
            <w:div w:id="533691053">
              <w:marLeft w:val="0"/>
              <w:marRight w:val="0"/>
              <w:marTop w:val="0"/>
              <w:marBottom w:val="0"/>
              <w:divBdr>
                <w:top w:val="none" w:sz="0" w:space="0" w:color="auto"/>
                <w:left w:val="none" w:sz="0" w:space="0" w:color="auto"/>
                <w:bottom w:val="none" w:sz="0" w:space="0" w:color="auto"/>
                <w:right w:val="none" w:sz="0" w:space="0" w:color="auto"/>
              </w:divBdr>
              <w:divsChild>
                <w:div w:id="1306813271">
                  <w:marLeft w:val="0"/>
                  <w:marRight w:val="0"/>
                  <w:marTop w:val="0"/>
                  <w:marBottom w:val="0"/>
                  <w:divBdr>
                    <w:top w:val="none" w:sz="0" w:space="0" w:color="auto"/>
                    <w:left w:val="none" w:sz="0" w:space="0" w:color="auto"/>
                    <w:bottom w:val="none" w:sz="0" w:space="0" w:color="auto"/>
                    <w:right w:val="none" w:sz="0" w:space="0" w:color="auto"/>
                  </w:divBdr>
                  <w:divsChild>
                    <w:div w:id="1998148162">
                      <w:marLeft w:val="0"/>
                      <w:marRight w:val="0"/>
                      <w:marTop w:val="0"/>
                      <w:marBottom w:val="0"/>
                      <w:divBdr>
                        <w:top w:val="none" w:sz="0" w:space="0" w:color="auto"/>
                        <w:left w:val="none" w:sz="0" w:space="0" w:color="auto"/>
                        <w:bottom w:val="none" w:sz="0" w:space="0" w:color="auto"/>
                        <w:right w:val="none" w:sz="0" w:space="0" w:color="auto"/>
                      </w:divBdr>
                      <w:divsChild>
                        <w:div w:id="861012024">
                          <w:marLeft w:val="0"/>
                          <w:marRight w:val="0"/>
                          <w:marTop w:val="45"/>
                          <w:marBottom w:val="0"/>
                          <w:divBdr>
                            <w:top w:val="none" w:sz="0" w:space="0" w:color="auto"/>
                            <w:left w:val="none" w:sz="0" w:space="0" w:color="auto"/>
                            <w:bottom w:val="none" w:sz="0" w:space="0" w:color="auto"/>
                            <w:right w:val="none" w:sz="0" w:space="0" w:color="auto"/>
                          </w:divBdr>
                          <w:divsChild>
                            <w:div w:id="1824660483">
                              <w:marLeft w:val="0"/>
                              <w:marRight w:val="0"/>
                              <w:marTop w:val="0"/>
                              <w:marBottom w:val="0"/>
                              <w:divBdr>
                                <w:top w:val="none" w:sz="0" w:space="0" w:color="auto"/>
                                <w:left w:val="none" w:sz="0" w:space="0" w:color="auto"/>
                                <w:bottom w:val="none" w:sz="0" w:space="0" w:color="auto"/>
                                <w:right w:val="none" w:sz="0" w:space="0" w:color="auto"/>
                              </w:divBdr>
                              <w:divsChild>
                                <w:div w:id="484131077">
                                  <w:marLeft w:val="2070"/>
                                  <w:marRight w:val="3810"/>
                                  <w:marTop w:val="0"/>
                                  <w:marBottom w:val="0"/>
                                  <w:divBdr>
                                    <w:top w:val="none" w:sz="0" w:space="0" w:color="auto"/>
                                    <w:left w:val="none" w:sz="0" w:space="0" w:color="auto"/>
                                    <w:bottom w:val="none" w:sz="0" w:space="0" w:color="auto"/>
                                    <w:right w:val="none" w:sz="0" w:space="0" w:color="auto"/>
                                  </w:divBdr>
                                  <w:divsChild>
                                    <w:div w:id="572660939">
                                      <w:marLeft w:val="0"/>
                                      <w:marRight w:val="0"/>
                                      <w:marTop w:val="0"/>
                                      <w:marBottom w:val="0"/>
                                      <w:divBdr>
                                        <w:top w:val="none" w:sz="0" w:space="0" w:color="auto"/>
                                        <w:left w:val="none" w:sz="0" w:space="0" w:color="auto"/>
                                        <w:bottom w:val="none" w:sz="0" w:space="0" w:color="auto"/>
                                        <w:right w:val="none" w:sz="0" w:space="0" w:color="auto"/>
                                      </w:divBdr>
                                      <w:divsChild>
                                        <w:div w:id="90201736">
                                          <w:marLeft w:val="0"/>
                                          <w:marRight w:val="0"/>
                                          <w:marTop w:val="0"/>
                                          <w:marBottom w:val="0"/>
                                          <w:divBdr>
                                            <w:top w:val="none" w:sz="0" w:space="0" w:color="auto"/>
                                            <w:left w:val="none" w:sz="0" w:space="0" w:color="auto"/>
                                            <w:bottom w:val="none" w:sz="0" w:space="0" w:color="auto"/>
                                            <w:right w:val="none" w:sz="0" w:space="0" w:color="auto"/>
                                          </w:divBdr>
                                          <w:divsChild>
                                            <w:div w:id="1163740805">
                                              <w:marLeft w:val="0"/>
                                              <w:marRight w:val="0"/>
                                              <w:marTop w:val="0"/>
                                              <w:marBottom w:val="0"/>
                                              <w:divBdr>
                                                <w:top w:val="none" w:sz="0" w:space="0" w:color="auto"/>
                                                <w:left w:val="none" w:sz="0" w:space="0" w:color="auto"/>
                                                <w:bottom w:val="none" w:sz="0" w:space="0" w:color="auto"/>
                                                <w:right w:val="none" w:sz="0" w:space="0" w:color="auto"/>
                                              </w:divBdr>
                                              <w:divsChild>
                                                <w:div w:id="147871345">
                                                  <w:marLeft w:val="0"/>
                                                  <w:marRight w:val="0"/>
                                                  <w:marTop w:val="0"/>
                                                  <w:marBottom w:val="0"/>
                                                  <w:divBdr>
                                                    <w:top w:val="none" w:sz="0" w:space="0" w:color="auto"/>
                                                    <w:left w:val="none" w:sz="0" w:space="0" w:color="auto"/>
                                                    <w:bottom w:val="none" w:sz="0" w:space="0" w:color="auto"/>
                                                    <w:right w:val="none" w:sz="0" w:space="0" w:color="auto"/>
                                                  </w:divBdr>
                                                  <w:divsChild>
                                                    <w:div w:id="397944464">
                                                      <w:marLeft w:val="0"/>
                                                      <w:marRight w:val="0"/>
                                                      <w:marTop w:val="0"/>
                                                      <w:marBottom w:val="0"/>
                                                      <w:divBdr>
                                                        <w:top w:val="none" w:sz="0" w:space="0" w:color="auto"/>
                                                        <w:left w:val="none" w:sz="0" w:space="0" w:color="auto"/>
                                                        <w:bottom w:val="none" w:sz="0" w:space="0" w:color="auto"/>
                                                        <w:right w:val="none" w:sz="0" w:space="0" w:color="auto"/>
                                                      </w:divBdr>
                                                      <w:divsChild>
                                                        <w:div w:id="1869173880">
                                                          <w:marLeft w:val="0"/>
                                                          <w:marRight w:val="0"/>
                                                          <w:marTop w:val="0"/>
                                                          <w:marBottom w:val="345"/>
                                                          <w:divBdr>
                                                            <w:top w:val="none" w:sz="0" w:space="0" w:color="auto"/>
                                                            <w:left w:val="none" w:sz="0" w:space="0" w:color="auto"/>
                                                            <w:bottom w:val="none" w:sz="0" w:space="0" w:color="auto"/>
                                                            <w:right w:val="none" w:sz="0" w:space="0" w:color="auto"/>
                                                          </w:divBdr>
                                                          <w:divsChild>
                                                            <w:div w:id="856576529">
                                                              <w:marLeft w:val="0"/>
                                                              <w:marRight w:val="0"/>
                                                              <w:marTop w:val="0"/>
                                                              <w:marBottom w:val="0"/>
                                                              <w:divBdr>
                                                                <w:top w:val="none" w:sz="0" w:space="0" w:color="auto"/>
                                                                <w:left w:val="none" w:sz="0" w:space="0" w:color="auto"/>
                                                                <w:bottom w:val="none" w:sz="0" w:space="0" w:color="auto"/>
                                                                <w:right w:val="none" w:sz="0" w:space="0" w:color="auto"/>
                                                              </w:divBdr>
                                                              <w:divsChild>
                                                                <w:div w:id="633877902">
                                                                  <w:marLeft w:val="0"/>
                                                                  <w:marRight w:val="0"/>
                                                                  <w:marTop w:val="0"/>
                                                                  <w:marBottom w:val="0"/>
                                                                  <w:divBdr>
                                                                    <w:top w:val="none" w:sz="0" w:space="0" w:color="auto"/>
                                                                    <w:left w:val="none" w:sz="0" w:space="0" w:color="auto"/>
                                                                    <w:bottom w:val="none" w:sz="0" w:space="0" w:color="auto"/>
                                                                    <w:right w:val="none" w:sz="0" w:space="0" w:color="auto"/>
                                                                  </w:divBdr>
                                                                  <w:divsChild>
                                                                    <w:div w:id="1467115972">
                                                                      <w:marLeft w:val="0"/>
                                                                      <w:marRight w:val="0"/>
                                                                      <w:marTop w:val="0"/>
                                                                      <w:marBottom w:val="0"/>
                                                                      <w:divBdr>
                                                                        <w:top w:val="none" w:sz="0" w:space="0" w:color="auto"/>
                                                                        <w:left w:val="none" w:sz="0" w:space="0" w:color="auto"/>
                                                                        <w:bottom w:val="none" w:sz="0" w:space="0" w:color="auto"/>
                                                                        <w:right w:val="none" w:sz="0" w:space="0" w:color="auto"/>
                                                                      </w:divBdr>
                                                                      <w:divsChild>
                                                                        <w:div w:id="1316373571">
                                                                          <w:marLeft w:val="0"/>
                                                                          <w:marRight w:val="0"/>
                                                                          <w:marTop w:val="0"/>
                                                                          <w:marBottom w:val="0"/>
                                                                          <w:divBdr>
                                                                            <w:top w:val="none" w:sz="0" w:space="0" w:color="auto"/>
                                                                            <w:left w:val="none" w:sz="0" w:space="0" w:color="auto"/>
                                                                            <w:bottom w:val="none" w:sz="0" w:space="0" w:color="auto"/>
                                                                            <w:right w:val="none" w:sz="0" w:space="0" w:color="auto"/>
                                                                          </w:divBdr>
                                                                          <w:divsChild>
                                                                            <w:div w:id="356733826">
                                                                              <w:marLeft w:val="0"/>
                                                                              <w:marRight w:val="0"/>
                                                                              <w:marTop w:val="0"/>
                                                                              <w:marBottom w:val="0"/>
                                                                              <w:divBdr>
                                                                                <w:top w:val="none" w:sz="0" w:space="0" w:color="auto"/>
                                                                                <w:left w:val="none" w:sz="0" w:space="0" w:color="auto"/>
                                                                                <w:bottom w:val="none" w:sz="0" w:space="0" w:color="auto"/>
                                                                                <w:right w:val="none" w:sz="0" w:space="0" w:color="auto"/>
                                                                              </w:divBdr>
                                                                              <w:divsChild>
                                                                                <w:div w:id="1662812159">
                                                                                  <w:marLeft w:val="0"/>
                                                                                  <w:marRight w:val="0"/>
                                                                                  <w:marTop w:val="0"/>
                                                                                  <w:marBottom w:val="0"/>
                                                                                  <w:divBdr>
                                                                                    <w:top w:val="none" w:sz="0" w:space="0" w:color="auto"/>
                                                                                    <w:left w:val="none" w:sz="0" w:space="0" w:color="auto"/>
                                                                                    <w:bottom w:val="none" w:sz="0" w:space="0" w:color="auto"/>
                                                                                    <w:right w:val="none" w:sz="0" w:space="0" w:color="auto"/>
                                                                                  </w:divBdr>
                                                                                  <w:divsChild>
                                                                                    <w:div w:id="1736977587">
                                                                                      <w:marLeft w:val="0"/>
                                                                                      <w:marRight w:val="0"/>
                                                                                      <w:marTop w:val="0"/>
                                                                                      <w:marBottom w:val="0"/>
                                                                                      <w:divBdr>
                                                                                        <w:top w:val="none" w:sz="0" w:space="0" w:color="auto"/>
                                                                                        <w:left w:val="none" w:sz="0" w:space="0" w:color="auto"/>
                                                                                        <w:bottom w:val="none" w:sz="0" w:space="0" w:color="auto"/>
                                                                                        <w:right w:val="none" w:sz="0" w:space="0" w:color="auto"/>
                                                                                      </w:divBdr>
                                                                                      <w:divsChild>
                                                                                        <w:div w:id="2755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1B3B3-003F-45C0-9423-CE287BB8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27</TotalTime>
  <Pages>3</Pages>
  <Words>976</Words>
  <Characters>5379</Characters>
  <Application>Microsoft Office Word</Application>
  <DocSecurity>0</DocSecurity>
  <Lines>117</Lines>
  <Paragraphs>52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6329</CharactersWithSpaces>
  <SharedDoc>false</SharedDoc>
  <HLinks>
    <vt:vector size="6" baseType="variant">
      <vt:variant>
        <vt:i4>131084</vt:i4>
      </vt:variant>
      <vt:variant>
        <vt:i4>0</vt:i4>
      </vt:variant>
      <vt:variant>
        <vt:i4>0</vt:i4>
      </vt:variant>
      <vt:variant>
        <vt:i4>5</vt:i4>
      </vt:variant>
      <vt:variant>
        <vt:lpwstr>http://www.csb.gov/assets/1/19/ConAgra_Statements_final_for_print_rev_1.pdf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28</cp:revision>
  <cp:lastPrinted>2016-09-06T13:33:00Z</cp:lastPrinted>
  <dcterms:created xsi:type="dcterms:W3CDTF">2016-09-02T15:14:00Z</dcterms:created>
  <dcterms:modified xsi:type="dcterms:W3CDTF">2016-09-06T13:39:00Z</dcterms:modified>
</cp:coreProperties>
</file>