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128EA" w:rsidTr="000B4E5A">
        <w:trPr>
          <w:trHeight w:val="851"/>
        </w:trPr>
        <w:tc>
          <w:tcPr>
            <w:tcW w:w="1259" w:type="dxa"/>
            <w:tcBorders>
              <w:top w:val="nil"/>
              <w:left w:val="nil"/>
              <w:bottom w:val="single" w:sz="4" w:space="0" w:color="auto"/>
              <w:right w:val="nil"/>
            </w:tcBorders>
            <w:shd w:val="clear" w:color="auto" w:fill="auto"/>
          </w:tcPr>
          <w:p w:rsidR="00446DE4" w:rsidRPr="00F128EA" w:rsidRDefault="00446DE4" w:rsidP="000B4E5A">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F128EA" w:rsidRDefault="00B3317B" w:rsidP="000B4E5A">
            <w:pPr>
              <w:spacing w:after="80" w:line="340" w:lineRule="exact"/>
              <w:rPr>
                <w:sz w:val="28"/>
                <w:szCs w:val="28"/>
              </w:rPr>
            </w:pPr>
            <w:r w:rsidRPr="00F128E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F128EA" w:rsidRDefault="00690ECD" w:rsidP="002714D1">
            <w:pPr>
              <w:suppressAutoHyphens w:val="0"/>
              <w:spacing w:after="20"/>
              <w:jc w:val="right"/>
            </w:pPr>
            <w:r w:rsidRPr="00F128EA">
              <w:rPr>
                <w:sz w:val="40"/>
              </w:rPr>
              <w:t>ST</w:t>
            </w:r>
            <w:r w:rsidRPr="00F128EA">
              <w:t>/SG/AC.10/C.3/2016/</w:t>
            </w:r>
            <w:r w:rsidR="00891250">
              <w:t>4</w:t>
            </w:r>
            <w:r w:rsidR="002714D1">
              <w:t>2</w:t>
            </w:r>
          </w:p>
        </w:tc>
      </w:tr>
      <w:tr w:rsidR="003107FA" w:rsidRPr="00F128EA" w:rsidTr="000B4E5A">
        <w:trPr>
          <w:trHeight w:val="2835"/>
        </w:trPr>
        <w:tc>
          <w:tcPr>
            <w:tcW w:w="1259" w:type="dxa"/>
            <w:tcBorders>
              <w:top w:val="single" w:sz="4" w:space="0" w:color="auto"/>
              <w:left w:val="nil"/>
              <w:bottom w:val="single" w:sz="12" w:space="0" w:color="auto"/>
              <w:right w:val="nil"/>
            </w:tcBorders>
            <w:shd w:val="clear" w:color="auto" w:fill="auto"/>
          </w:tcPr>
          <w:p w:rsidR="00BA5365" w:rsidRPr="00F128EA" w:rsidRDefault="00803245" w:rsidP="000B4E5A">
            <w:pPr>
              <w:spacing w:before="120"/>
              <w:jc w:val="center"/>
            </w:pPr>
            <w:r w:rsidRPr="00F128EA">
              <w:rPr>
                <w:noProof/>
                <w:lang w:eastAsia="en-GB"/>
              </w:rPr>
              <w:drawing>
                <wp:inline distT="0" distB="0" distL="0" distR="0" wp14:anchorId="360A8F69" wp14:editId="4E2C7474">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p w:rsidR="00BA5365" w:rsidRPr="00F128EA" w:rsidRDefault="00BA5365" w:rsidP="00BA5365"/>
          <w:p w:rsidR="00BA5365" w:rsidRPr="00F128EA" w:rsidRDefault="00BA5365" w:rsidP="00BA5365"/>
          <w:p w:rsidR="00BA5365" w:rsidRPr="00F128EA" w:rsidRDefault="00BA5365" w:rsidP="00BA5365"/>
          <w:p w:rsidR="00BA5365" w:rsidRPr="00F128EA" w:rsidRDefault="00BA5365" w:rsidP="00BA5365"/>
          <w:p w:rsidR="00BA5365" w:rsidRPr="00F128EA" w:rsidRDefault="00BA5365" w:rsidP="00BA5365"/>
          <w:p w:rsidR="00BA5365" w:rsidRPr="00F128EA" w:rsidRDefault="00BA5365" w:rsidP="00BA5365"/>
          <w:p w:rsidR="003107FA" w:rsidRPr="00F128EA" w:rsidRDefault="003107FA" w:rsidP="00BA5365"/>
        </w:tc>
        <w:tc>
          <w:tcPr>
            <w:tcW w:w="5450" w:type="dxa"/>
            <w:gridSpan w:val="2"/>
            <w:tcBorders>
              <w:top w:val="single" w:sz="4" w:space="0" w:color="auto"/>
              <w:left w:val="nil"/>
              <w:bottom w:val="single" w:sz="12" w:space="0" w:color="auto"/>
              <w:right w:val="nil"/>
            </w:tcBorders>
            <w:shd w:val="clear" w:color="auto" w:fill="auto"/>
          </w:tcPr>
          <w:p w:rsidR="003107FA" w:rsidRPr="00F128EA" w:rsidRDefault="00D96CC5" w:rsidP="000B4E5A">
            <w:pPr>
              <w:spacing w:before="120" w:line="420" w:lineRule="exact"/>
              <w:rPr>
                <w:b/>
                <w:sz w:val="40"/>
                <w:szCs w:val="40"/>
              </w:rPr>
            </w:pPr>
            <w:r w:rsidRPr="00F128EA">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05570C" w:rsidRPr="00F128EA" w:rsidRDefault="0005570C" w:rsidP="000B4E5A">
            <w:pPr>
              <w:suppressAutoHyphens w:val="0"/>
              <w:spacing w:before="240" w:line="240" w:lineRule="exact"/>
            </w:pPr>
            <w:r w:rsidRPr="00F128EA">
              <w:t>Distr.: General</w:t>
            </w:r>
          </w:p>
          <w:p w:rsidR="0005570C" w:rsidRPr="00F128EA" w:rsidRDefault="007A1C86" w:rsidP="000B4E5A">
            <w:pPr>
              <w:suppressAutoHyphens w:val="0"/>
            </w:pPr>
            <w:r>
              <w:t>11</w:t>
            </w:r>
            <w:r w:rsidR="00F128EA">
              <w:t xml:space="preserve"> April</w:t>
            </w:r>
            <w:r w:rsidR="00803245" w:rsidRPr="00F128EA">
              <w:t xml:space="preserve"> 2016</w:t>
            </w:r>
          </w:p>
          <w:p w:rsidR="0005570C" w:rsidRPr="00F128EA" w:rsidRDefault="0005570C" w:rsidP="000B4E5A">
            <w:pPr>
              <w:suppressAutoHyphens w:val="0"/>
            </w:pPr>
          </w:p>
          <w:p w:rsidR="003107FA" w:rsidRPr="00F128EA" w:rsidRDefault="0005570C" w:rsidP="00494D24">
            <w:pPr>
              <w:suppressAutoHyphens w:val="0"/>
            </w:pPr>
            <w:r w:rsidRPr="00F128EA">
              <w:t xml:space="preserve">Original: </w:t>
            </w:r>
            <w:r w:rsidR="00494D24" w:rsidRPr="00F128EA">
              <w:t>English</w:t>
            </w:r>
          </w:p>
        </w:tc>
      </w:tr>
    </w:tbl>
    <w:p w:rsidR="00CF7C69" w:rsidRPr="00F128EA" w:rsidRDefault="00CF7C69" w:rsidP="00EE6D6E">
      <w:pPr>
        <w:spacing w:before="120" w:after="120"/>
        <w:rPr>
          <w:b/>
          <w:sz w:val="24"/>
          <w:szCs w:val="24"/>
          <w:lang w:val="en-US"/>
        </w:rPr>
      </w:pPr>
      <w:r w:rsidRPr="00F128EA">
        <w:rPr>
          <w:b/>
          <w:sz w:val="24"/>
          <w:szCs w:val="24"/>
          <w:lang w:val="en-US"/>
        </w:rPr>
        <w:t>Committee of Experts on the Transport of Dangerous Goods</w:t>
      </w:r>
      <w:r w:rsidR="00EE6D6E" w:rsidRPr="00F128EA">
        <w:rPr>
          <w:b/>
          <w:sz w:val="24"/>
          <w:szCs w:val="24"/>
          <w:lang w:val="en-US"/>
        </w:rPr>
        <w:br/>
      </w:r>
      <w:r w:rsidRPr="00F128EA">
        <w:rPr>
          <w:b/>
          <w:sz w:val="24"/>
          <w:szCs w:val="24"/>
          <w:lang w:val="en-US"/>
        </w:rPr>
        <w:t>and on the Globally Harmonized System of Classification</w:t>
      </w:r>
      <w:r w:rsidR="00EE6D6E" w:rsidRPr="00F128EA">
        <w:rPr>
          <w:b/>
          <w:sz w:val="24"/>
          <w:szCs w:val="24"/>
          <w:lang w:val="en-US"/>
        </w:rPr>
        <w:br/>
      </w:r>
      <w:r w:rsidRPr="00F128EA">
        <w:rPr>
          <w:b/>
          <w:sz w:val="24"/>
          <w:szCs w:val="24"/>
          <w:lang w:val="en-US"/>
        </w:rPr>
        <w:t>and Labelling of Chemicals</w:t>
      </w:r>
    </w:p>
    <w:p w:rsidR="00CF7C69" w:rsidRPr="00F128EA" w:rsidRDefault="00CF7C69" w:rsidP="00B05614">
      <w:pPr>
        <w:spacing w:before="120"/>
        <w:rPr>
          <w:b/>
          <w:lang w:val="en-US"/>
        </w:rPr>
      </w:pPr>
      <w:r w:rsidRPr="00F128EA">
        <w:rPr>
          <w:b/>
          <w:lang w:val="en-US"/>
        </w:rPr>
        <w:t>Sub-Committee of Experts on the Transport of Dangerous Goods</w:t>
      </w:r>
    </w:p>
    <w:p w:rsidR="00CF7C69" w:rsidRPr="00F128EA" w:rsidRDefault="00803245" w:rsidP="00B05614">
      <w:pPr>
        <w:spacing w:before="120"/>
        <w:rPr>
          <w:b/>
          <w:lang w:val="en-US"/>
        </w:rPr>
      </w:pPr>
      <w:r w:rsidRPr="00F128EA">
        <w:rPr>
          <w:b/>
          <w:lang w:val="en-US"/>
        </w:rPr>
        <w:t>Forty nin</w:t>
      </w:r>
      <w:r w:rsidR="00A6043B" w:rsidRPr="00F128EA">
        <w:rPr>
          <w:b/>
          <w:lang w:val="en-US"/>
        </w:rPr>
        <w:t>th</w:t>
      </w:r>
      <w:r w:rsidR="00CF7C69" w:rsidRPr="00F128EA">
        <w:rPr>
          <w:b/>
          <w:lang w:val="en-US"/>
        </w:rPr>
        <w:t xml:space="preserve"> </w:t>
      </w:r>
      <w:proofErr w:type="gramStart"/>
      <w:r w:rsidR="00CF7C69" w:rsidRPr="00F128EA">
        <w:rPr>
          <w:b/>
          <w:lang w:val="en-US"/>
        </w:rPr>
        <w:t>session</w:t>
      </w:r>
      <w:proofErr w:type="gramEnd"/>
    </w:p>
    <w:p w:rsidR="00CF7C69" w:rsidRPr="00F128EA" w:rsidRDefault="00CF7C69" w:rsidP="00CF7C69">
      <w:r w:rsidRPr="00F128EA">
        <w:t>Geneva</w:t>
      </w:r>
      <w:r w:rsidR="00B05614" w:rsidRPr="00F128EA">
        <w:t xml:space="preserve">, </w:t>
      </w:r>
      <w:r w:rsidR="00803245" w:rsidRPr="00F128EA">
        <w:t>27 June</w:t>
      </w:r>
      <w:r w:rsidR="00DD6A81" w:rsidRPr="00F128EA">
        <w:t xml:space="preserve"> – </w:t>
      </w:r>
      <w:r w:rsidR="00803245" w:rsidRPr="00F128EA">
        <w:t>6</w:t>
      </w:r>
      <w:r w:rsidR="00066D95" w:rsidRPr="00F128EA">
        <w:t xml:space="preserve"> </w:t>
      </w:r>
      <w:r w:rsidR="00803245" w:rsidRPr="00F128EA">
        <w:t>July 2016</w:t>
      </w:r>
    </w:p>
    <w:p w:rsidR="00891250" w:rsidRPr="0051274C" w:rsidRDefault="00891250" w:rsidP="00891250">
      <w:r w:rsidRPr="0051274C">
        <w:t xml:space="preserve">Item </w:t>
      </w:r>
      <w:r w:rsidR="00035E81">
        <w:t>4 (d</w:t>
      </w:r>
      <w:r>
        <w:t>)</w:t>
      </w:r>
      <w:r w:rsidRPr="0051274C">
        <w:t xml:space="preserve"> of the provisional agenda</w:t>
      </w:r>
    </w:p>
    <w:p w:rsidR="00803245" w:rsidRPr="00035E81" w:rsidRDefault="00891250" w:rsidP="00CF7C69">
      <w:pPr>
        <w:rPr>
          <w:b/>
        </w:rPr>
      </w:pPr>
      <w:r w:rsidRPr="00035E81">
        <w:rPr>
          <w:b/>
        </w:rPr>
        <w:t xml:space="preserve">Electric storage systems: </w:t>
      </w:r>
      <w:r w:rsidR="00035E81" w:rsidRPr="00035E81">
        <w:rPr>
          <w:b/>
        </w:rPr>
        <w:t>miscellaneous</w:t>
      </w:r>
    </w:p>
    <w:p w:rsidR="00ED2980" w:rsidRPr="00F128EA" w:rsidRDefault="00ED2980" w:rsidP="00ED2980">
      <w:pPr>
        <w:pStyle w:val="HChG"/>
      </w:pPr>
      <w:r w:rsidRPr="00F128EA">
        <w:tab/>
      </w:r>
      <w:r w:rsidRPr="00F128EA">
        <w:tab/>
      </w:r>
      <w:r w:rsidR="00E31D49" w:rsidRPr="00F128EA">
        <w:t>New entries for l</w:t>
      </w:r>
      <w:r w:rsidR="0050632E" w:rsidRPr="00F128EA">
        <w:t>ithium batteries used for m</w:t>
      </w:r>
      <w:r w:rsidR="009177DB" w:rsidRPr="00F128EA">
        <w:t xml:space="preserve">edical </w:t>
      </w:r>
      <w:r w:rsidR="0050632E" w:rsidRPr="00F128EA">
        <w:t>d</w:t>
      </w:r>
      <w:r w:rsidR="009177DB" w:rsidRPr="00F128EA">
        <w:t>evices</w:t>
      </w:r>
    </w:p>
    <w:p w:rsidR="00ED2980" w:rsidRPr="00F128EA" w:rsidRDefault="00ED2980" w:rsidP="00ED2980">
      <w:pPr>
        <w:pStyle w:val="H1G"/>
      </w:pPr>
      <w:r w:rsidRPr="00F128EA">
        <w:tab/>
      </w:r>
      <w:r w:rsidRPr="00F128EA">
        <w:tab/>
        <w:t xml:space="preserve">Transmitted by </w:t>
      </w:r>
      <w:r w:rsidR="00035E81">
        <w:t>t</w:t>
      </w:r>
      <w:r w:rsidR="009A58ED" w:rsidRPr="00F128EA">
        <w:t>he Rechargeable Battery Association</w:t>
      </w:r>
      <w:r w:rsidR="00035E81">
        <w:t xml:space="preserve"> (PRBA)</w:t>
      </w:r>
      <w:r w:rsidR="00035E81">
        <w:rPr>
          <w:rStyle w:val="FootnoteReference"/>
        </w:rPr>
        <w:footnoteReference w:id="2"/>
      </w:r>
    </w:p>
    <w:p w:rsidR="00ED2980" w:rsidRPr="00F128EA" w:rsidRDefault="00ED2980" w:rsidP="009C4ADA">
      <w:pPr>
        <w:pStyle w:val="HChG"/>
      </w:pPr>
      <w:r w:rsidRPr="00F128EA">
        <w:tab/>
      </w:r>
      <w:r w:rsidRPr="00F128EA">
        <w:tab/>
        <w:t>Introduction</w:t>
      </w:r>
    </w:p>
    <w:p w:rsidR="007126CB" w:rsidRPr="00F128EA" w:rsidRDefault="007126CB" w:rsidP="006609D0">
      <w:pPr>
        <w:pStyle w:val="SingleTxtG"/>
      </w:pPr>
      <w:r w:rsidRPr="00F128EA">
        <w:t>1.</w:t>
      </w:r>
      <w:r w:rsidRPr="00F128EA">
        <w:tab/>
      </w:r>
      <w:r w:rsidR="00D7243E" w:rsidRPr="00F128EA">
        <w:t xml:space="preserve">Medical devices powered by lithium batteries are critical to the improvement of public health outcomes in all areas of the world.  Given the urgent nature of medical care, it is vital that life-saving </w:t>
      </w:r>
      <w:r w:rsidR="00D7243E" w:rsidRPr="006609D0">
        <w:t>medical</w:t>
      </w:r>
      <w:r w:rsidR="00D7243E" w:rsidRPr="00F128EA">
        <w:t xml:space="preserve"> devices and their lithium batteries be transported to patients</w:t>
      </w:r>
      <w:r w:rsidR="000A5C27" w:rsidRPr="00F128EA">
        <w:t xml:space="preserve"> in a timely manner, making </w:t>
      </w:r>
      <w:r w:rsidR="00D7243E" w:rsidRPr="00F128EA">
        <w:t xml:space="preserve">medical device manufacturers and patients heavily dependent upon </w:t>
      </w:r>
      <w:r w:rsidR="000A5C27" w:rsidRPr="00F128EA">
        <w:t>air transport</w:t>
      </w:r>
      <w:r w:rsidR="00623015">
        <w:t xml:space="preserve">. </w:t>
      </w:r>
      <w:r w:rsidR="000C328A" w:rsidRPr="00F128EA">
        <w:t>PRBA</w:t>
      </w:r>
      <w:r w:rsidR="00F61AF2" w:rsidRPr="00F128EA">
        <w:t xml:space="preserve">, </w:t>
      </w:r>
      <w:r w:rsidR="00623015">
        <w:t>after consultation of manufacturers of such medical devices</w:t>
      </w:r>
      <w:r w:rsidR="000C328A" w:rsidRPr="00F128EA">
        <w:t xml:space="preserve"> believes that r</w:t>
      </w:r>
      <w:r w:rsidR="00690ECD" w:rsidRPr="00F128EA">
        <w:t xml:space="preserve">ecent actions </w:t>
      </w:r>
      <w:r w:rsidR="00FB7A4C" w:rsidRPr="00F128EA">
        <w:t xml:space="preserve">on lithium batteries </w:t>
      </w:r>
      <w:r w:rsidR="00690ECD" w:rsidRPr="00F128EA">
        <w:t xml:space="preserve">taken by the International Civil Aviation Organization (ICAO) have highlighted the need for </w:t>
      </w:r>
      <w:r w:rsidR="00FB7A4C" w:rsidRPr="00F128EA">
        <w:t xml:space="preserve">new </w:t>
      </w:r>
      <w:r w:rsidR="00690ECD" w:rsidRPr="00F128EA">
        <w:t xml:space="preserve">entries </w:t>
      </w:r>
      <w:r w:rsidR="00623015">
        <w:t xml:space="preserve">in the </w:t>
      </w:r>
      <w:r w:rsidR="000C328A" w:rsidRPr="00F128EA">
        <w:t xml:space="preserve">Model Regulations </w:t>
      </w:r>
      <w:r w:rsidR="00690ECD" w:rsidRPr="00F128EA">
        <w:t>for lithium batteries</w:t>
      </w:r>
      <w:r w:rsidR="00FB7A4C" w:rsidRPr="00F128EA">
        <w:t xml:space="preserve"> that are unique</w:t>
      </w:r>
      <w:r w:rsidR="00B01324" w:rsidRPr="00F128EA">
        <w:t xml:space="preserve">ly designed and manufactured to </w:t>
      </w:r>
      <w:r w:rsidR="00FB7A4C" w:rsidRPr="00F128EA">
        <w:t>power medical devices</w:t>
      </w:r>
      <w:r w:rsidR="00690ECD" w:rsidRPr="00F128EA">
        <w:t xml:space="preserve">.  </w:t>
      </w:r>
    </w:p>
    <w:p w:rsidR="00401F79" w:rsidRPr="00F128EA" w:rsidRDefault="007126CB" w:rsidP="009C4ADA">
      <w:pPr>
        <w:pStyle w:val="SingleTxtG"/>
      </w:pPr>
      <w:r w:rsidRPr="00F128EA">
        <w:t>2.</w:t>
      </w:r>
      <w:r w:rsidRPr="00F128EA">
        <w:tab/>
      </w:r>
      <w:r w:rsidR="000A5C27" w:rsidRPr="00F128EA">
        <w:t xml:space="preserve">Transportation of lithium batteries has become increasingly </w:t>
      </w:r>
      <w:r w:rsidR="00B01324" w:rsidRPr="00F128EA">
        <w:t xml:space="preserve">complex and </w:t>
      </w:r>
      <w:r w:rsidR="000A5C27" w:rsidRPr="00F128EA">
        <w:t>difficult as</w:t>
      </w:r>
      <w:r w:rsidR="00401F79" w:rsidRPr="00F128EA">
        <w:t xml:space="preserve"> a result of </w:t>
      </w:r>
      <w:r w:rsidR="00690ECD" w:rsidRPr="00F128EA">
        <w:t xml:space="preserve">recent </w:t>
      </w:r>
      <w:r w:rsidR="000A5C27" w:rsidRPr="00F128EA">
        <w:t>restrictions imp</w:t>
      </w:r>
      <w:r w:rsidR="00690ECD" w:rsidRPr="00F128EA">
        <w:t xml:space="preserve">osed by ICAO. </w:t>
      </w:r>
      <w:r w:rsidR="00401F79" w:rsidRPr="00F128EA">
        <w:t xml:space="preserve">The most stringent limitations have been imposed upon the transport of lithium batteries by air.  Among the recent significant restrictions </w:t>
      </w:r>
      <w:r w:rsidR="00AF0C68" w:rsidRPr="00F128EA">
        <w:t xml:space="preserve">affecting medical device supply chains </w:t>
      </w:r>
      <w:r w:rsidR="00401F79" w:rsidRPr="00F128EA">
        <w:t>are limits on the battery’s state of charge (SOC)</w:t>
      </w:r>
      <w:r w:rsidR="001F2DE4" w:rsidRPr="00F128EA">
        <w:t xml:space="preserve">, limits on the number of packages per consignment, </w:t>
      </w:r>
      <w:r w:rsidR="00401F79" w:rsidRPr="00F128EA">
        <w:t xml:space="preserve">and a prohibition from transporting standalone lithium batteries as cargo aboard passenger aircraft.  </w:t>
      </w:r>
      <w:r w:rsidR="009A58ED" w:rsidRPr="00F128EA">
        <w:t>T</w:t>
      </w:r>
      <w:r w:rsidR="00401F79" w:rsidRPr="00F128EA">
        <w:t xml:space="preserve">hese restrictions were </w:t>
      </w:r>
      <w:r w:rsidR="009A58ED" w:rsidRPr="00F128EA">
        <w:t>implemented to address the vast range of lithium battery designs, chemistr</w:t>
      </w:r>
      <w:r w:rsidR="00623015">
        <w:t xml:space="preserve">ies and manufacturing methods. </w:t>
      </w:r>
      <w:r w:rsidR="00B01324" w:rsidRPr="00F128EA">
        <w:t xml:space="preserve">Because of the unique design and manufacturing standards that certain medical device lithium batteries may meet, </w:t>
      </w:r>
      <w:r w:rsidR="009A58ED" w:rsidRPr="00F128EA">
        <w:t>there is a need to develop additional entries in the Model Regulations to take this into account</w:t>
      </w:r>
      <w:r w:rsidR="00401F79" w:rsidRPr="00F128EA">
        <w:t>.</w:t>
      </w:r>
      <w:r w:rsidR="00AF0C68" w:rsidRPr="00F128EA">
        <w:t xml:space="preserve">  </w:t>
      </w:r>
    </w:p>
    <w:p w:rsidR="00886BD4" w:rsidRPr="00F128EA" w:rsidRDefault="00401F79" w:rsidP="00886BD4">
      <w:pPr>
        <w:pStyle w:val="SingleTxtG"/>
      </w:pPr>
      <w:r w:rsidRPr="00F128EA">
        <w:lastRenderedPageBreak/>
        <w:t>3.</w:t>
      </w:r>
      <w:r w:rsidRPr="00F128EA">
        <w:tab/>
      </w:r>
      <w:r w:rsidR="00F3767A" w:rsidRPr="00F128EA">
        <w:t xml:space="preserve">Currently, all lithium batteries are grouped together, with the only differentiation being the split between </w:t>
      </w:r>
      <w:r w:rsidR="009A58ED" w:rsidRPr="00F128EA">
        <w:t>li</w:t>
      </w:r>
      <w:r w:rsidR="006609D0">
        <w:t xml:space="preserve">thium ion and metal batteries. </w:t>
      </w:r>
      <w:r w:rsidR="0050632E" w:rsidRPr="00F128EA">
        <w:t xml:space="preserve">The batteries used to power medical devices are </w:t>
      </w:r>
      <w:r w:rsidR="00B01324" w:rsidRPr="00F128EA">
        <w:t xml:space="preserve">often subject </w:t>
      </w:r>
      <w:r w:rsidR="0050632E" w:rsidRPr="00F128EA">
        <w:t xml:space="preserve">to </w:t>
      </w:r>
      <w:r w:rsidR="00B01324" w:rsidRPr="00F128EA">
        <w:t xml:space="preserve">additional </w:t>
      </w:r>
      <w:r w:rsidR="0050632E" w:rsidRPr="00F128EA">
        <w:t>safety standards and oversig</w:t>
      </w:r>
      <w:r w:rsidR="00623015">
        <w:t xml:space="preserve">ht from multiple non-transport </w:t>
      </w:r>
      <w:r w:rsidR="0050632E" w:rsidRPr="00F128EA">
        <w:t>related governmental agencies</w:t>
      </w:r>
      <w:r w:rsidR="00B01324" w:rsidRPr="00F128EA">
        <w:t xml:space="preserve"> (</w:t>
      </w:r>
      <w:r w:rsidR="00B01324" w:rsidRPr="00F128EA">
        <w:rPr>
          <w:i/>
        </w:rPr>
        <w:t>e.g</w:t>
      </w:r>
      <w:r w:rsidR="00B01324" w:rsidRPr="00F128EA">
        <w:t xml:space="preserve">., </w:t>
      </w:r>
      <w:r w:rsidR="00BD409A" w:rsidRPr="00F128EA">
        <w:t>F</w:t>
      </w:r>
      <w:r w:rsidR="00623015">
        <w:t>ederal Drug Administration (FDA in the United States of America</w:t>
      </w:r>
      <w:r w:rsidR="00BD409A" w:rsidRPr="00F128EA">
        <w:t xml:space="preserve">, TÜV </w:t>
      </w:r>
      <w:proofErr w:type="spellStart"/>
      <w:r w:rsidR="00BD409A" w:rsidRPr="00F128EA">
        <w:t>Rheinland</w:t>
      </w:r>
      <w:proofErr w:type="spellEnd"/>
      <w:r w:rsidR="00623015">
        <w:t xml:space="preserve"> in Germany</w:t>
      </w:r>
      <w:r w:rsidR="00B01324" w:rsidRPr="00F128EA">
        <w:t>)</w:t>
      </w:r>
      <w:r w:rsidR="0050632E" w:rsidRPr="00F128EA">
        <w:t xml:space="preserve">. </w:t>
      </w:r>
    </w:p>
    <w:p w:rsidR="00886BD4" w:rsidRPr="00F128EA" w:rsidRDefault="00401F79" w:rsidP="00886BD4">
      <w:pPr>
        <w:pStyle w:val="SingleTxtG"/>
      </w:pPr>
      <w:r w:rsidRPr="00F128EA">
        <w:t>4</w:t>
      </w:r>
      <w:r w:rsidR="00074B4B" w:rsidRPr="00F128EA">
        <w:t>.</w:t>
      </w:r>
      <w:r w:rsidR="00074B4B" w:rsidRPr="00F128EA">
        <w:tab/>
      </w:r>
      <w:r w:rsidR="00F3767A" w:rsidRPr="00F128EA">
        <w:t xml:space="preserve">Lithium batteries used to power portable and implantable medical devices are designed, manufactured, and tested to </w:t>
      </w:r>
      <w:r w:rsidR="00B01324" w:rsidRPr="00F128EA">
        <w:t xml:space="preserve">certain </w:t>
      </w:r>
      <w:r w:rsidR="00F3767A" w:rsidRPr="00F128EA">
        <w:t xml:space="preserve">standards </w:t>
      </w:r>
      <w:r w:rsidR="00B01324" w:rsidRPr="00F128EA">
        <w:t>that e</w:t>
      </w:r>
      <w:r w:rsidR="00886BD4" w:rsidRPr="00F128EA">
        <w:t>xce</w:t>
      </w:r>
      <w:r w:rsidR="00B01324" w:rsidRPr="00F128EA">
        <w:t>ed the</w:t>
      </w:r>
      <w:r w:rsidR="00F3767A" w:rsidRPr="00F128EA">
        <w:t xml:space="preserve"> current dangerous </w:t>
      </w:r>
      <w:r w:rsidR="006609D0">
        <w:t xml:space="preserve">goods regulatory requirements. </w:t>
      </w:r>
      <w:r w:rsidR="000C328A" w:rsidRPr="00F128EA">
        <w:t xml:space="preserve">To account for these additional </w:t>
      </w:r>
      <w:r w:rsidR="00683721" w:rsidRPr="00F128EA">
        <w:t xml:space="preserve">safety measures and </w:t>
      </w:r>
      <w:r w:rsidR="000C328A" w:rsidRPr="00F128EA">
        <w:t>standards, o</w:t>
      </w:r>
      <w:r w:rsidR="007B5ACA" w:rsidRPr="00F128EA">
        <w:t xml:space="preserve">ur proposal requires that medical device </w:t>
      </w:r>
      <w:r w:rsidR="00D2004E" w:rsidRPr="00F128EA">
        <w:t xml:space="preserve">lithium batteries </w:t>
      </w:r>
      <w:r w:rsidR="007B5ACA" w:rsidRPr="00F128EA">
        <w:t xml:space="preserve">be subject </w:t>
      </w:r>
      <w:r w:rsidR="0039755A" w:rsidRPr="00F128EA">
        <w:t xml:space="preserve">to the requirements of </w:t>
      </w:r>
      <w:r w:rsidR="009C4ADA" w:rsidRPr="00F128EA">
        <w:t>ISO 13485; 2015, EN ISO 14971:2012 and 11607- 1:2006/A1:2014.</w:t>
      </w:r>
      <w:r w:rsidR="00E31D49" w:rsidRPr="00F128EA">
        <w:t xml:space="preserve"> These standards are described in the appendix of the paper.</w:t>
      </w:r>
    </w:p>
    <w:p w:rsidR="00886BD4" w:rsidRPr="00F128EA" w:rsidRDefault="006609D0" w:rsidP="00886BD4">
      <w:pPr>
        <w:pStyle w:val="SingleTxtG"/>
      </w:pPr>
      <w:r>
        <w:t>5.</w:t>
      </w:r>
      <w:r>
        <w:tab/>
      </w:r>
      <w:r w:rsidR="001D0A8C" w:rsidRPr="00F128EA">
        <w:t xml:space="preserve">Additionally, these </w:t>
      </w:r>
      <w:r w:rsidR="004F0D52" w:rsidRPr="00F128EA">
        <w:t xml:space="preserve">lithium </w:t>
      </w:r>
      <w:r w:rsidR="001D0A8C" w:rsidRPr="00F128EA">
        <w:t>batteries are shipped according to specific packaging, testing and quality assurance provisions that are not generally applicable for batteries used for other purposes.</w:t>
      </w:r>
    </w:p>
    <w:p w:rsidR="00074B4B" w:rsidRPr="00F128EA" w:rsidRDefault="006609D0" w:rsidP="00886BD4">
      <w:pPr>
        <w:pStyle w:val="SingleTxtG"/>
      </w:pPr>
      <w:r>
        <w:t>6</w:t>
      </w:r>
      <w:r w:rsidR="00074B4B" w:rsidRPr="00F128EA">
        <w:t>.</w:t>
      </w:r>
      <w:r w:rsidR="00074B4B" w:rsidRPr="00F128EA">
        <w:tab/>
      </w:r>
      <w:r w:rsidR="0039755A" w:rsidRPr="00F128EA">
        <w:t>In this proposal, it is requested that lithium batteries manufactured and tested in accordance with the</w:t>
      </w:r>
      <w:r w:rsidR="00792D83" w:rsidRPr="00F128EA">
        <w:t xml:space="preserve"> </w:t>
      </w:r>
      <w:r w:rsidR="0039755A" w:rsidRPr="00F128EA">
        <w:t xml:space="preserve">standards </w:t>
      </w:r>
      <w:r w:rsidR="004F0D52" w:rsidRPr="00F128EA">
        <w:t xml:space="preserve">listed above </w:t>
      </w:r>
      <w:r w:rsidR="0039755A" w:rsidRPr="00F128EA">
        <w:t>are provided</w:t>
      </w:r>
      <w:r w:rsidR="00E31D49" w:rsidRPr="00F128EA">
        <w:t xml:space="preserve"> four new </w:t>
      </w:r>
      <w:r w:rsidR="0039755A" w:rsidRPr="00F128EA">
        <w:t>UN Numbers and Proper Shipping Names</w:t>
      </w:r>
      <w:r w:rsidR="001D0A8C" w:rsidRPr="00F128EA">
        <w:t xml:space="preserve">, </w:t>
      </w:r>
      <w:r w:rsidR="00F41DA9" w:rsidRPr="00F128EA">
        <w:t>a Special Provision to be used as guidance for properly classifying lithium batteries for medical devices</w:t>
      </w:r>
      <w:r w:rsidR="001D0A8C" w:rsidRPr="00F128EA">
        <w:t xml:space="preserve"> and a </w:t>
      </w:r>
      <w:r w:rsidR="00E31D49" w:rsidRPr="00F128EA">
        <w:t xml:space="preserve">new </w:t>
      </w:r>
      <w:r w:rsidR="001D0A8C" w:rsidRPr="00F128EA">
        <w:t>packing instruction</w:t>
      </w:r>
      <w:r w:rsidR="00F41DA9" w:rsidRPr="00F128EA">
        <w:t>.</w:t>
      </w:r>
      <w:r>
        <w:t xml:space="preserve"> </w:t>
      </w:r>
      <w:r w:rsidR="0058018E" w:rsidRPr="00F128EA">
        <w:t>These batteries would be shipped as full</w:t>
      </w:r>
      <w:r>
        <w:t xml:space="preserve">y regulated Class 9 shipments. </w:t>
      </w:r>
      <w:r w:rsidR="0058018E" w:rsidRPr="00F128EA">
        <w:t>Exceptions under SP 188 would not be authorized</w:t>
      </w:r>
      <w:r w:rsidR="00DB4536" w:rsidRPr="00F128EA">
        <w:t xml:space="preserve"> </w:t>
      </w:r>
      <w:r w:rsidR="00C31736" w:rsidRPr="00F128EA">
        <w:t xml:space="preserve">for air transport </w:t>
      </w:r>
      <w:r w:rsidR="00DB4536" w:rsidRPr="00F128EA">
        <w:t>except when the batteries are contained in or packed with equipment</w:t>
      </w:r>
      <w:r w:rsidR="0058018E" w:rsidRPr="00F128EA">
        <w:t>.</w:t>
      </w:r>
    </w:p>
    <w:p w:rsidR="009952FE" w:rsidRPr="00F128EA" w:rsidRDefault="009952FE" w:rsidP="009C4ADA">
      <w:pPr>
        <w:pStyle w:val="HChG"/>
      </w:pPr>
      <w:r w:rsidRPr="00F128EA">
        <w:tab/>
      </w:r>
      <w:r w:rsidRPr="00F128EA">
        <w:tab/>
        <w:t xml:space="preserve">Proposal 1 </w:t>
      </w:r>
    </w:p>
    <w:p w:rsidR="00D2004E" w:rsidRPr="00F128EA" w:rsidRDefault="006609D0" w:rsidP="009C4ADA">
      <w:pPr>
        <w:pStyle w:val="SingleTxtG"/>
      </w:pPr>
      <w:r>
        <w:t>7</w:t>
      </w:r>
      <w:r w:rsidR="009952FE" w:rsidRPr="00F128EA">
        <w:t>.</w:t>
      </w:r>
      <w:r w:rsidR="009952FE" w:rsidRPr="00F128EA">
        <w:tab/>
        <w:t xml:space="preserve">In the Dangerous Goods List in Chapter 3.2, add </w:t>
      </w:r>
      <w:r w:rsidR="00D2004E" w:rsidRPr="00F128EA">
        <w:t>the following entries:</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417"/>
        <w:gridCol w:w="709"/>
        <w:gridCol w:w="567"/>
        <w:gridCol w:w="709"/>
        <w:gridCol w:w="850"/>
        <w:gridCol w:w="426"/>
        <w:gridCol w:w="425"/>
        <w:gridCol w:w="850"/>
        <w:gridCol w:w="993"/>
        <w:gridCol w:w="992"/>
        <w:gridCol w:w="850"/>
      </w:tblGrid>
      <w:tr w:rsidR="006609D0" w:rsidRPr="006609D0" w:rsidTr="006609D0">
        <w:trPr>
          <w:tblHeader/>
        </w:trPr>
        <w:tc>
          <w:tcPr>
            <w:tcW w:w="851" w:type="dxa"/>
            <w:vMerge w:val="restart"/>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r w:rsidRPr="006609D0">
              <w:rPr>
                <w:i/>
                <w:sz w:val="16"/>
              </w:rPr>
              <w:t>UN No.</w:t>
            </w:r>
          </w:p>
        </w:tc>
        <w:tc>
          <w:tcPr>
            <w:tcW w:w="1417" w:type="dxa"/>
            <w:vMerge w:val="restart"/>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r w:rsidRPr="006609D0">
              <w:rPr>
                <w:i/>
                <w:sz w:val="16"/>
              </w:rPr>
              <w:t>Name and Description</w:t>
            </w:r>
          </w:p>
        </w:tc>
        <w:tc>
          <w:tcPr>
            <w:tcW w:w="709" w:type="dxa"/>
            <w:vMerge w:val="restart"/>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r w:rsidRPr="006609D0">
              <w:rPr>
                <w:i/>
                <w:sz w:val="16"/>
              </w:rPr>
              <w:t>Class or division</w:t>
            </w:r>
          </w:p>
        </w:tc>
        <w:tc>
          <w:tcPr>
            <w:tcW w:w="567" w:type="dxa"/>
            <w:vMerge w:val="restart"/>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proofErr w:type="spellStart"/>
            <w:r w:rsidRPr="006609D0">
              <w:rPr>
                <w:i/>
                <w:sz w:val="16"/>
              </w:rPr>
              <w:t>Subsi</w:t>
            </w:r>
            <w:proofErr w:type="spellEnd"/>
            <w:r w:rsidR="00D10747" w:rsidRPr="006609D0">
              <w:rPr>
                <w:i/>
                <w:sz w:val="16"/>
              </w:rPr>
              <w:t>-</w:t>
            </w:r>
            <w:r w:rsidRPr="006609D0">
              <w:rPr>
                <w:i/>
                <w:sz w:val="16"/>
              </w:rPr>
              <w:t>diary risk</w:t>
            </w:r>
          </w:p>
        </w:tc>
        <w:tc>
          <w:tcPr>
            <w:tcW w:w="709" w:type="dxa"/>
            <w:vMerge w:val="restart"/>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r w:rsidRPr="006609D0">
              <w:rPr>
                <w:i/>
                <w:sz w:val="16"/>
              </w:rPr>
              <w:t>UN packing group</w:t>
            </w:r>
          </w:p>
        </w:tc>
        <w:tc>
          <w:tcPr>
            <w:tcW w:w="850" w:type="dxa"/>
            <w:vMerge w:val="restart"/>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r w:rsidRPr="006609D0">
              <w:rPr>
                <w:i/>
                <w:sz w:val="16"/>
              </w:rPr>
              <w:t>Special provisions</w:t>
            </w:r>
          </w:p>
        </w:tc>
        <w:tc>
          <w:tcPr>
            <w:tcW w:w="851" w:type="dxa"/>
            <w:gridSpan w:val="2"/>
            <w:vMerge w:val="restart"/>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r w:rsidRPr="006609D0">
              <w:rPr>
                <w:i/>
                <w:sz w:val="16"/>
              </w:rPr>
              <w:t>Limited and excepted quantities</w:t>
            </w:r>
          </w:p>
        </w:tc>
        <w:tc>
          <w:tcPr>
            <w:tcW w:w="1843" w:type="dxa"/>
            <w:gridSpan w:val="2"/>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proofErr w:type="spellStart"/>
            <w:r w:rsidRPr="006609D0">
              <w:rPr>
                <w:i/>
                <w:sz w:val="16"/>
              </w:rPr>
              <w:t>Packagings</w:t>
            </w:r>
            <w:proofErr w:type="spellEnd"/>
            <w:r w:rsidRPr="006609D0">
              <w:rPr>
                <w:i/>
                <w:sz w:val="16"/>
              </w:rPr>
              <w:t xml:space="preserve"> and IBCs</w:t>
            </w:r>
          </w:p>
        </w:tc>
        <w:tc>
          <w:tcPr>
            <w:tcW w:w="1842" w:type="dxa"/>
            <w:gridSpan w:val="2"/>
            <w:tcBorders>
              <w:top w:val="single" w:sz="4" w:space="0" w:color="auto"/>
              <w:bottom w:val="single" w:sz="12" w:space="0" w:color="auto"/>
            </w:tcBorders>
            <w:shd w:val="clear" w:color="auto" w:fill="auto"/>
            <w:vAlign w:val="bottom"/>
          </w:tcPr>
          <w:p w:rsidR="00323B8B" w:rsidRPr="006609D0" w:rsidRDefault="00323B8B" w:rsidP="006609D0">
            <w:pPr>
              <w:suppressAutoHyphens w:val="0"/>
              <w:spacing w:before="80" w:after="80" w:line="200" w:lineRule="exact"/>
              <w:ind w:right="113"/>
              <w:rPr>
                <w:i/>
                <w:sz w:val="16"/>
              </w:rPr>
            </w:pPr>
            <w:r w:rsidRPr="006609D0">
              <w:rPr>
                <w:i/>
                <w:sz w:val="16"/>
              </w:rPr>
              <w:t>Portable tanks and bulk containers</w:t>
            </w:r>
          </w:p>
        </w:tc>
      </w:tr>
      <w:tr w:rsidR="006609D0" w:rsidRPr="006609D0" w:rsidTr="006609D0">
        <w:trPr>
          <w:trHeight w:val="1115"/>
          <w:tblHeader/>
        </w:trPr>
        <w:tc>
          <w:tcPr>
            <w:tcW w:w="851" w:type="dxa"/>
            <w:vMerge/>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b/>
              </w:rPr>
            </w:pPr>
          </w:p>
        </w:tc>
        <w:tc>
          <w:tcPr>
            <w:tcW w:w="1417" w:type="dxa"/>
            <w:vMerge/>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b/>
              </w:rPr>
            </w:pPr>
          </w:p>
        </w:tc>
        <w:tc>
          <w:tcPr>
            <w:tcW w:w="709" w:type="dxa"/>
            <w:vMerge/>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b/>
              </w:rPr>
            </w:pPr>
          </w:p>
        </w:tc>
        <w:tc>
          <w:tcPr>
            <w:tcW w:w="567" w:type="dxa"/>
            <w:vMerge/>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b/>
              </w:rPr>
            </w:pPr>
          </w:p>
        </w:tc>
        <w:tc>
          <w:tcPr>
            <w:tcW w:w="709" w:type="dxa"/>
            <w:vMerge/>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b/>
              </w:rPr>
            </w:pPr>
          </w:p>
        </w:tc>
        <w:tc>
          <w:tcPr>
            <w:tcW w:w="850" w:type="dxa"/>
            <w:vMerge/>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b/>
              </w:rPr>
            </w:pPr>
          </w:p>
        </w:tc>
        <w:tc>
          <w:tcPr>
            <w:tcW w:w="851" w:type="dxa"/>
            <w:gridSpan w:val="2"/>
            <w:vMerge/>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b/>
              </w:rPr>
            </w:pPr>
          </w:p>
        </w:tc>
        <w:tc>
          <w:tcPr>
            <w:tcW w:w="850" w:type="dxa"/>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i/>
                <w:sz w:val="16"/>
                <w:szCs w:val="16"/>
              </w:rPr>
            </w:pPr>
            <w:r w:rsidRPr="006609D0">
              <w:rPr>
                <w:i/>
                <w:sz w:val="16"/>
                <w:szCs w:val="16"/>
              </w:rPr>
              <w:t>Packing instruction</w:t>
            </w:r>
          </w:p>
        </w:tc>
        <w:tc>
          <w:tcPr>
            <w:tcW w:w="993" w:type="dxa"/>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i/>
                <w:sz w:val="16"/>
                <w:szCs w:val="16"/>
              </w:rPr>
            </w:pPr>
            <w:r w:rsidRPr="006609D0">
              <w:rPr>
                <w:i/>
                <w:sz w:val="16"/>
                <w:szCs w:val="16"/>
              </w:rPr>
              <w:t>Special packing instructions</w:t>
            </w:r>
          </w:p>
        </w:tc>
        <w:tc>
          <w:tcPr>
            <w:tcW w:w="992" w:type="dxa"/>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i/>
                <w:sz w:val="16"/>
                <w:szCs w:val="16"/>
              </w:rPr>
            </w:pPr>
            <w:r w:rsidRPr="006609D0">
              <w:rPr>
                <w:i/>
                <w:sz w:val="16"/>
                <w:szCs w:val="16"/>
              </w:rPr>
              <w:t>Instructions</w:t>
            </w:r>
          </w:p>
        </w:tc>
        <w:tc>
          <w:tcPr>
            <w:tcW w:w="850" w:type="dxa"/>
            <w:tcBorders>
              <w:top w:val="single" w:sz="12" w:space="0" w:color="auto"/>
            </w:tcBorders>
            <w:shd w:val="clear" w:color="auto" w:fill="auto"/>
          </w:tcPr>
          <w:p w:rsidR="00323B8B" w:rsidRPr="006609D0" w:rsidRDefault="00323B8B" w:rsidP="006609D0">
            <w:pPr>
              <w:suppressAutoHyphens w:val="0"/>
              <w:spacing w:before="40" w:after="120" w:line="220" w:lineRule="exact"/>
              <w:ind w:right="113"/>
              <w:rPr>
                <w:i/>
                <w:sz w:val="16"/>
                <w:szCs w:val="16"/>
              </w:rPr>
            </w:pPr>
            <w:r w:rsidRPr="006609D0">
              <w:rPr>
                <w:i/>
                <w:sz w:val="16"/>
                <w:szCs w:val="16"/>
              </w:rPr>
              <w:t>Special provisions</w:t>
            </w:r>
          </w:p>
        </w:tc>
      </w:tr>
      <w:tr w:rsidR="006609D0" w:rsidRPr="006609D0" w:rsidTr="006609D0">
        <w:tc>
          <w:tcPr>
            <w:tcW w:w="851"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(1)</w:t>
            </w:r>
          </w:p>
        </w:tc>
        <w:tc>
          <w:tcPr>
            <w:tcW w:w="1417"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(2)</w:t>
            </w:r>
          </w:p>
        </w:tc>
        <w:tc>
          <w:tcPr>
            <w:tcW w:w="709"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(3)</w:t>
            </w:r>
          </w:p>
        </w:tc>
        <w:tc>
          <w:tcPr>
            <w:tcW w:w="567"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(4)</w:t>
            </w:r>
          </w:p>
        </w:tc>
        <w:tc>
          <w:tcPr>
            <w:tcW w:w="709"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(5)</w:t>
            </w:r>
          </w:p>
        </w:tc>
        <w:tc>
          <w:tcPr>
            <w:tcW w:w="850"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(6)</w:t>
            </w:r>
          </w:p>
        </w:tc>
        <w:tc>
          <w:tcPr>
            <w:tcW w:w="426"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(7a)</w:t>
            </w:r>
          </w:p>
        </w:tc>
        <w:tc>
          <w:tcPr>
            <w:tcW w:w="425"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(7b)</w:t>
            </w:r>
          </w:p>
        </w:tc>
        <w:tc>
          <w:tcPr>
            <w:tcW w:w="850"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(8)</w:t>
            </w:r>
          </w:p>
        </w:tc>
        <w:tc>
          <w:tcPr>
            <w:tcW w:w="993"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(9)</w:t>
            </w:r>
          </w:p>
        </w:tc>
        <w:tc>
          <w:tcPr>
            <w:tcW w:w="992"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(10)</w:t>
            </w:r>
          </w:p>
        </w:tc>
        <w:tc>
          <w:tcPr>
            <w:tcW w:w="850" w:type="dxa"/>
            <w:shd w:val="clear" w:color="auto" w:fill="auto"/>
          </w:tcPr>
          <w:p w:rsidR="00D10747" w:rsidRPr="006609D0" w:rsidRDefault="00D10747" w:rsidP="006609D0">
            <w:pPr>
              <w:suppressAutoHyphens w:val="0"/>
              <w:spacing w:before="40" w:after="120" w:line="220" w:lineRule="exact"/>
              <w:ind w:right="113"/>
              <w:rPr>
                <w:b/>
                <w:sz w:val="16"/>
                <w:szCs w:val="16"/>
              </w:rPr>
            </w:pPr>
            <w:r w:rsidRPr="006609D0">
              <w:rPr>
                <w:b/>
                <w:sz w:val="16"/>
                <w:szCs w:val="16"/>
              </w:rPr>
              <w:t>(11)</w:t>
            </w:r>
          </w:p>
        </w:tc>
      </w:tr>
      <w:tr w:rsidR="006609D0" w:rsidRPr="006609D0" w:rsidTr="006609D0">
        <w:tc>
          <w:tcPr>
            <w:tcW w:w="851" w:type="dxa"/>
            <w:shd w:val="clear" w:color="auto" w:fill="auto"/>
          </w:tcPr>
          <w:p w:rsidR="00BE5864" w:rsidRPr="006609D0" w:rsidRDefault="00BE5864" w:rsidP="006609D0">
            <w:pPr>
              <w:suppressAutoHyphens w:val="0"/>
              <w:spacing w:before="40" w:after="120" w:line="220" w:lineRule="exact"/>
              <w:ind w:right="113"/>
            </w:pPr>
            <w:r w:rsidRPr="006609D0">
              <w:t>UN 35XX</w:t>
            </w:r>
          </w:p>
        </w:tc>
        <w:tc>
          <w:tcPr>
            <w:tcW w:w="1417" w:type="dxa"/>
            <w:shd w:val="clear" w:color="auto" w:fill="auto"/>
          </w:tcPr>
          <w:p w:rsidR="00BE5864" w:rsidRPr="006609D0" w:rsidRDefault="00BE5864" w:rsidP="006609D0">
            <w:pPr>
              <w:suppressAutoHyphens w:val="0"/>
              <w:spacing w:before="40" w:after="120" w:line="220" w:lineRule="exact"/>
              <w:ind w:right="113"/>
            </w:pPr>
            <w:r w:rsidRPr="006609D0">
              <w:t>LITHIUM ION BATTERIES FOR MEDICAL DEVICES</w:t>
            </w:r>
          </w:p>
        </w:tc>
        <w:tc>
          <w:tcPr>
            <w:tcW w:w="709" w:type="dxa"/>
            <w:shd w:val="clear" w:color="auto" w:fill="auto"/>
          </w:tcPr>
          <w:p w:rsidR="00BE5864" w:rsidRPr="006609D0" w:rsidRDefault="00BE5864" w:rsidP="006609D0">
            <w:pPr>
              <w:suppressAutoHyphens w:val="0"/>
              <w:spacing w:before="40" w:after="120" w:line="220" w:lineRule="exact"/>
              <w:ind w:right="113"/>
            </w:pPr>
            <w:r w:rsidRPr="006609D0">
              <w:t>9</w:t>
            </w:r>
          </w:p>
        </w:tc>
        <w:tc>
          <w:tcPr>
            <w:tcW w:w="567" w:type="dxa"/>
            <w:shd w:val="clear" w:color="auto" w:fill="auto"/>
          </w:tcPr>
          <w:p w:rsidR="00BE5864" w:rsidRPr="006609D0" w:rsidRDefault="00BE5864" w:rsidP="006609D0">
            <w:pPr>
              <w:suppressAutoHyphens w:val="0"/>
              <w:spacing w:before="40" w:after="120" w:line="220" w:lineRule="exact"/>
              <w:ind w:right="113"/>
              <w:rPr>
                <w:b/>
              </w:rPr>
            </w:pPr>
          </w:p>
        </w:tc>
        <w:tc>
          <w:tcPr>
            <w:tcW w:w="709" w:type="dxa"/>
            <w:shd w:val="clear" w:color="auto" w:fill="auto"/>
          </w:tcPr>
          <w:p w:rsidR="00BE5864" w:rsidRPr="006609D0" w:rsidRDefault="00BE5864" w:rsidP="006609D0">
            <w:pPr>
              <w:suppressAutoHyphens w:val="0"/>
              <w:spacing w:before="40" w:after="120" w:line="220" w:lineRule="exact"/>
              <w:ind w:right="113"/>
              <w:rPr>
                <w:b/>
              </w:rPr>
            </w:pPr>
          </w:p>
        </w:tc>
        <w:tc>
          <w:tcPr>
            <w:tcW w:w="850" w:type="dxa"/>
            <w:shd w:val="clear" w:color="auto" w:fill="auto"/>
          </w:tcPr>
          <w:p w:rsidR="008B0317" w:rsidRPr="006609D0" w:rsidRDefault="008B0317" w:rsidP="006609D0">
            <w:pPr>
              <w:suppressAutoHyphens w:val="0"/>
              <w:spacing w:before="40" w:after="120" w:line="220" w:lineRule="exact"/>
              <w:ind w:right="113"/>
            </w:pPr>
            <w:r w:rsidRPr="006609D0">
              <w:t>XXX</w:t>
            </w:r>
          </w:p>
          <w:p w:rsidR="008B0317" w:rsidRPr="006609D0" w:rsidRDefault="008B0317" w:rsidP="006609D0">
            <w:pPr>
              <w:suppressAutoHyphens w:val="0"/>
              <w:spacing w:before="40" w:after="120" w:line="220" w:lineRule="exact"/>
              <w:ind w:right="113"/>
            </w:pPr>
            <w:r w:rsidRPr="006609D0">
              <w:t>230</w:t>
            </w:r>
          </w:p>
          <w:p w:rsidR="008B0317" w:rsidRPr="006609D0" w:rsidRDefault="008B0317" w:rsidP="006609D0">
            <w:pPr>
              <w:suppressAutoHyphens w:val="0"/>
              <w:spacing w:before="40" w:after="120" w:line="220" w:lineRule="exact"/>
              <w:ind w:right="113"/>
            </w:pPr>
            <w:r w:rsidRPr="006609D0">
              <w:t>310</w:t>
            </w:r>
          </w:p>
          <w:p w:rsidR="008B0317" w:rsidRPr="006609D0" w:rsidRDefault="008B0317" w:rsidP="006609D0">
            <w:pPr>
              <w:suppressAutoHyphens w:val="0"/>
              <w:spacing w:before="40" w:after="120" w:line="220" w:lineRule="exact"/>
              <w:ind w:right="113"/>
            </w:pPr>
            <w:r w:rsidRPr="006609D0">
              <w:t>348</w:t>
            </w:r>
          </w:p>
          <w:p w:rsidR="008B0317" w:rsidRPr="006609D0" w:rsidRDefault="008B0317" w:rsidP="006609D0">
            <w:pPr>
              <w:suppressAutoHyphens w:val="0"/>
              <w:spacing w:before="40" w:after="120" w:line="220" w:lineRule="exact"/>
              <w:ind w:right="113"/>
            </w:pPr>
            <w:r w:rsidRPr="006609D0">
              <w:t>376</w:t>
            </w:r>
          </w:p>
          <w:p w:rsidR="00BE5864" w:rsidRPr="006609D0" w:rsidRDefault="008B0317" w:rsidP="006609D0">
            <w:pPr>
              <w:suppressAutoHyphens w:val="0"/>
              <w:spacing w:before="40" w:after="120" w:line="220" w:lineRule="exact"/>
              <w:ind w:right="113"/>
            </w:pPr>
            <w:r w:rsidRPr="006609D0">
              <w:t>377</w:t>
            </w:r>
          </w:p>
        </w:tc>
        <w:tc>
          <w:tcPr>
            <w:tcW w:w="426" w:type="dxa"/>
            <w:shd w:val="clear" w:color="auto" w:fill="auto"/>
          </w:tcPr>
          <w:p w:rsidR="00BE5864" w:rsidRPr="006609D0" w:rsidRDefault="00BE5864" w:rsidP="006609D0">
            <w:pPr>
              <w:suppressAutoHyphens w:val="0"/>
              <w:spacing w:before="40" w:after="120" w:line="220" w:lineRule="exact"/>
              <w:ind w:right="113"/>
            </w:pPr>
          </w:p>
        </w:tc>
        <w:tc>
          <w:tcPr>
            <w:tcW w:w="425" w:type="dxa"/>
            <w:shd w:val="clear" w:color="auto" w:fill="auto"/>
          </w:tcPr>
          <w:p w:rsidR="00BE5864" w:rsidRPr="006609D0" w:rsidRDefault="00BE5864" w:rsidP="006609D0">
            <w:pPr>
              <w:suppressAutoHyphens w:val="0"/>
              <w:spacing w:before="40" w:after="120" w:line="220" w:lineRule="exact"/>
              <w:ind w:right="113"/>
            </w:pPr>
          </w:p>
        </w:tc>
        <w:tc>
          <w:tcPr>
            <w:tcW w:w="850" w:type="dxa"/>
            <w:shd w:val="clear" w:color="auto" w:fill="auto"/>
          </w:tcPr>
          <w:p w:rsidR="00F936AF" w:rsidRPr="006609D0" w:rsidRDefault="00F936AF" w:rsidP="006609D0">
            <w:pPr>
              <w:suppressAutoHyphens w:val="0"/>
              <w:spacing w:before="40" w:after="120" w:line="220" w:lineRule="exact"/>
              <w:ind w:right="113"/>
            </w:pPr>
            <w:r w:rsidRPr="006609D0">
              <w:t>P9xx</w:t>
            </w:r>
          </w:p>
          <w:p w:rsidR="0099507C" w:rsidRPr="006609D0" w:rsidRDefault="0099507C" w:rsidP="006609D0">
            <w:pPr>
              <w:suppressAutoHyphens w:val="0"/>
              <w:spacing w:before="40" w:after="120" w:line="220" w:lineRule="exact"/>
              <w:ind w:right="113"/>
            </w:pPr>
            <w:r w:rsidRPr="006609D0">
              <w:t>P908</w:t>
            </w:r>
          </w:p>
          <w:p w:rsidR="0099507C" w:rsidRPr="006609D0" w:rsidRDefault="0099507C" w:rsidP="006609D0">
            <w:pPr>
              <w:suppressAutoHyphens w:val="0"/>
              <w:spacing w:before="40" w:after="120" w:line="220" w:lineRule="exact"/>
              <w:ind w:right="113"/>
            </w:pPr>
            <w:r w:rsidRPr="006609D0">
              <w:t>P909</w:t>
            </w:r>
          </w:p>
          <w:p w:rsidR="0099507C" w:rsidRPr="006609D0" w:rsidRDefault="0099507C" w:rsidP="006609D0">
            <w:pPr>
              <w:suppressAutoHyphens w:val="0"/>
              <w:spacing w:before="40" w:after="120" w:line="220" w:lineRule="exact"/>
              <w:ind w:right="113"/>
            </w:pPr>
            <w:r w:rsidRPr="006609D0">
              <w:t>P910</w:t>
            </w:r>
          </w:p>
          <w:p w:rsidR="00BE5864" w:rsidRPr="006609D0" w:rsidRDefault="00D37B69" w:rsidP="006609D0">
            <w:pPr>
              <w:suppressAutoHyphens w:val="0"/>
              <w:spacing w:before="40" w:after="120" w:line="220" w:lineRule="exact"/>
              <w:ind w:right="113"/>
            </w:pPr>
            <w:r w:rsidRPr="006609D0">
              <w:t>P911</w:t>
            </w:r>
          </w:p>
        </w:tc>
        <w:tc>
          <w:tcPr>
            <w:tcW w:w="993" w:type="dxa"/>
            <w:shd w:val="clear" w:color="auto" w:fill="auto"/>
          </w:tcPr>
          <w:p w:rsidR="00BE5864" w:rsidRPr="006609D0" w:rsidRDefault="00BE5864" w:rsidP="006609D0">
            <w:pPr>
              <w:suppressAutoHyphens w:val="0"/>
              <w:spacing w:before="40" w:after="120" w:line="220" w:lineRule="exact"/>
              <w:ind w:right="113"/>
              <w:rPr>
                <w:b/>
              </w:rPr>
            </w:pPr>
          </w:p>
        </w:tc>
        <w:tc>
          <w:tcPr>
            <w:tcW w:w="992" w:type="dxa"/>
            <w:shd w:val="clear" w:color="auto" w:fill="auto"/>
          </w:tcPr>
          <w:p w:rsidR="00BE5864" w:rsidRPr="006609D0" w:rsidRDefault="00BE5864" w:rsidP="006609D0">
            <w:pPr>
              <w:suppressAutoHyphens w:val="0"/>
              <w:spacing w:before="40" w:after="120" w:line="220" w:lineRule="exact"/>
              <w:ind w:right="113"/>
              <w:rPr>
                <w:b/>
              </w:rPr>
            </w:pPr>
          </w:p>
        </w:tc>
        <w:tc>
          <w:tcPr>
            <w:tcW w:w="850" w:type="dxa"/>
            <w:shd w:val="clear" w:color="auto" w:fill="auto"/>
          </w:tcPr>
          <w:p w:rsidR="00BE5864" w:rsidRPr="006609D0" w:rsidRDefault="00BE5864" w:rsidP="006609D0">
            <w:pPr>
              <w:suppressAutoHyphens w:val="0"/>
              <w:spacing w:before="40" w:after="120" w:line="220" w:lineRule="exact"/>
              <w:ind w:right="113"/>
              <w:rPr>
                <w:b/>
              </w:rPr>
            </w:pPr>
          </w:p>
        </w:tc>
      </w:tr>
      <w:tr w:rsidR="006609D0" w:rsidRPr="006609D0" w:rsidTr="006609D0">
        <w:tc>
          <w:tcPr>
            <w:tcW w:w="851" w:type="dxa"/>
            <w:shd w:val="clear" w:color="auto" w:fill="auto"/>
          </w:tcPr>
          <w:p w:rsidR="00D10747" w:rsidRPr="006609D0" w:rsidRDefault="00D10747" w:rsidP="006609D0">
            <w:pPr>
              <w:suppressAutoHyphens w:val="0"/>
              <w:spacing w:before="40" w:after="120" w:line="220" w:lineRule="exact"/>
              <w:ind w:right="113"/>
            </w:pPr>
            <w:r w:rsidRPr="006609D0">
              <w:t>35</w:t>
            </w:r>
            <w:r w:rsidR="00BE5864" w:rsidRPr="006609D0">
              <w:t>XY</w:t>
            </w:r>
          </w:p>
        </w:tc>
        <w:tc>
          <w:tcPr>
            <w:tcW w:w="1417" w:type="dxa"/>
            <w:shd w:val="clear" w:color="auto" w:fill="auto"/>
          </w:tcPr>
          <w:p w:rsidR="00D10747" w:rsidRPr="006609D0" w:rsidRDefault="00765B81" w:rsidP="006609D0">
            <w:pPr>
              <w:suppressAutoHyphens w:val="0"/>
              <w:spacing w:before="40" w:after="120" w:line="220" w:lineRule="exact"/>
              <w:ind w:right="113"/>
            </w:pPr>
            <w:r w:rsidRPr="006609D0">
              <w:t>LITHIUM ION BATTERIES FOR MEDICAL DEVICES</w:t>
            </w:r>
            <w:r w:rsidR="00BE5864" w:rsidRPr="006609D0">
              <w:t xml:space="preserve"> contained </w:t>
            </w:r>
            <w:r w:rsidR="008B0317" w:rsidRPr="006609D0">
              <w:t>in or</w:t>
            </w:r>
            <w:r w:rsidR="00BE5864" w:rsidRPr="006609D0">
              <w:t xml:space="preserve"> packed with equipment</w:t>
            </w:r>
          </w:p>
        </w:tc>
        <w:tc>
          <w:tcPr>
            <w:tcW w:w="709" w:type="dxa"/>
            <w:shd w:val="clear" w:color="auto" w:fill="auto"/>
          </w:tcPr>
          <w:p w:rsidR="00D10747" w:rsidRPr="006609D0" w:rsidRDefault="00D10747" w:rsidP="006609D0">
            <w:pPr>
              <w:suppressAutoHyphens w:val="0"/>
              <w:spacing w:before="40" w:after="120" w:line="220" w:lineRule="exact"/>
              <w:ind w:right="113"/>
            </w:pPr>
            <w:r w:rsidRPr="006609D0">
              <w:t>9</w:t>
            </w:r>
          </w:p>
        </w:tc>
        <w:tc>
          <w:tcPr>
            <w:tcW w:w="567" w:type="dxa"/>
            <w:shd w:val="clear" w:color="auto" w:fill="auto"/>
          </w:tcPr>
          <w:p w:rsidR="00D10747" w:rsidRPr="006609D0" w:rsidRDefault="00D10747" w:rsidP="006609D0">
            <w:pPr>
              <w:suppressAutoHyphens w:val="0"/>
              <w:spacing w:before="40" w:after="120" w:line="220" w:lineRule="exact"/>
              <w:ind w:right="113"/>
              <w:rPr>
                <w:b/>
              </w:rPr>
            </w:pPr>
          </w:p>
        </w:tc>
        <w:tc>
          <w:tcPr>
            <w:tcW w:w="709" w:type="dxa"/>
            <w:shd w:val="clear" w:color="auto" w:fill="auto"/>
          </w:tcPr>
          <w:p w:rsidR="00D10747" w:rsidRPr="006609D0" w:rsidRDefault="00D10747" w:rsidP="006609D0">
            <w:pPr>
              <w:suppressAutoHyphens w:val="0"/>
              <w:spacing w:before="40" w:after="120" w:line="220" w:lineRule="exact"/>
              <w:ind w:right="113"/>
              <w:rPr>
                <w:b/>
              </w:rPr>
            </w:pPr>
          </w:p>
        </w:tc>
        <w:tc>
          <w:tcPr>
            <w:tcW w:w="850" w:type="dxa"/>
            <w:shd w:val="clear" w:color="auto" w:fill="auto"/>
          </w:tcPr>
          <w:p w:rsidR="008B0317" w:rsidRPr="006609D0" w:rsidRDefault="008B0317" w:rsidP="006609D0">
            <w:pPr>
              <w:suppressAutoHyphens w:val="0"/>
              <w:spacing w:before="40" w:after="120" w:line="220" w:lineRule="exact"/>
              <w:ind w:right="113"/>
            </w:pPr>
            <w:r w:rsidRPr="006609D0">
              <w:t>XXX</w:t>
            </w:r>
          </w:p>
          <w:p w:rsidR="00DB4536" w:rsidRPr="006609D0" w:rsidRDefault="00DB4536" w:rsidP="006609D0">
            <w:pPr>
              <w:suppressAutoHyphens w:val="0"/>
              <w:spacing w:before="40" w:after="120" w:line="220" w:lineRule="exact"/>
              <w:ind w:right="113"/>
            </w:pPr>
            <w:r w:rsidRPr="006609D0">
              <w:t>YYY</w:t>
            </w:r>
          </w:p>
          <w:p w:rsidR="00D10747" w:rsidRPr="006609D0" w:rsidRDefault="00D10747" w:rsidP="006609D0">
            <w:pPr>
              <w:suppressAutoHyphens w:val="0"/>
              <w:spacing w:before="40" w:after="120" w:line="220" w:lineRule="exact"/>
              <w:ind w:right="113"/>
            </w:pPr>
            <w:r w:rsidRPr="006609D0">
              <w:t>230</w:t>
            </w:r>
          </w:p>
          <w:p w:rsidR="00D10747" w:rsidRPr="006609D0" w:rsidRDefault="00D10747" w:rsidP="006609D0">
            <w:pPr>
              <w:suppressAutoHyphens w:val="0"/>
              <w:spacing w:before="40" w:after="120" w:line="220" w:lineRule="exact"/>
              <w:ind w:right="113"/>
            </w:pPr>
            <w:r w:rsidRPr="006609D0">
              <w:t>310</w:t>
            </w:r>
          </w:p>
          <w:p w:rsidR="00D10747" w:rsidRPr="006609D0" w:rsidRDefault="00D10747" w:rsidP="006609D0">
            <w:pPr>
              <w:suppressAutoHyphens w:val="0"/>
              <w:spacing w:before="40" w:after="120" w:line="220" w:lineRule="exact"/>
              <w:ind w:right="113"/>
            </w:pPr>
            <w:r w:rsidRPr="006609D0">
              <w:t>348</w:t>
            </w:r>
          </w:p>
          <w:p w:rsidR="00D10747" w:rsidRPr="006609D0" w:rsidRDefault="00D10747" w:rsidP="006609D0">
            <w:pPr>
              <w:suppressAutoHyphens w:val="0"/>
              <w:spacing w:before="40" w:after="120" w:line="220" w:lineRule="exact"/>
              <w:ind w:right="113"/>
            </w:pPr>
            <w:r w:rsidRPr="006609D0">
              <w:lastRenderedPageBreak/>
              <w:t>376</w:t>
            </w:r>
          </w:p>
          <w:p w:rsidR="00D10747" w:rsidRPr="006609D0" w:rsidRDefault="00D10747" w:rsidP="006609D0">
            <w:pPr>
              <w:suppressAutoHyphens w:val="0"/>
              <w:spacing w:before="40" w:after="120" w:line="220" w:lineRule="exact"/>
              <w:ind w:right="113"/>
            </w:pPr>
            <w:r w:rsidRPr="006609D0">
              <w:t>377</w:t>
            </w:r>
          </w:p>
          <w:p w:rsidR="00D10747" w:rsidRPr="006609D0" w:rsidRDefault="00D10747" w:rsidP="006609D0">
            <w:pPr>
              <w:suppressAutoHyphens w:val="0"/>
              <w:spacing w:before="40" w:after="120" w:line="220" w:lineRule="exact"/>
              <w:ind w:right="113"/>
              <w:rPr>
                <w:b/>
              </w:rPr>
            </w:pPr>
          </w:p>
        </w:tc>
        <w:tc>
          <w:tcPr>
            <w:tcW w:w="426" w:type="dxa"/>
            <w:shd w:val="clear" w:color="auto" w:fill="auto"/>
          </w:tcPr>
          <w:p w:rsidR="00D10747" w:rsidRPr="006609D0" w:rsidRDefault="00765B81" w:rsidP="006609D0">
            <w:pPr>
              <w:suppressAutoHyphens w:val="0"/>
              <w:spacing w:before="40" w:after="120" w:line="220" w:lineRule="exact"/>
              <w:ind w:right="113"/>
            </w:pPr>
            <w:r w:rsidRPr="006609D0">
              <w:lastRenderedPageBreak/>
              <w:t>0</w:t>
            </w:r>
          </w:p>
        </w:tc>
        <w:tc>
          <w:tcPr>
            <w:tcW w:w="425" w:type="dxa"/>
            <w:shd w:val="clear" w:color="auto" w:fill="auto"/>
          </w:tcPr>
          <w:p w:rsidR="00D10747" w:rsidRPr="006609D0" w:rsidRDefault="00765B81" w:rsidP="006609D0">
            <w:pPr>
              <w:suppressAutoHyphens w:val="0"/>
              <w:spacing w:before="40" w:after="120" w:line="220" w:lineRule="exact"/>
              <w:ind w:right="113"/>
            </w:pPr>
            <w:r w:rsidRPr="006609D0">
              <w:t>E0</w:t>
            </w:r>
          </w:p>
        </w:tc>
        <w:tc>
          <w:tcPr>
            <w:tcW w:w="850" w:type="dxa"/>
            <w:shd w:val="clear" w:color="auto" w:fill="auto"/>
          </w:tcPr>
          <w:p w:rsidR="00F936AF" w:rsidRPr="006609D0" w:rsidRDefault="00F936AF" w:rsidP="006609D0">
            <w:pPr>
              <w:suppressAutoHyphens w:val="0"/>
              <w:spacing w:before="40" w:after="120" w:line="220" w:lineRule="exact"/>
              <w:ind w:right="113"/>
            </w:pPr>
            <w:r w:rsidRPr="006609D0">
              <w:t>P9xx</w:t>
            </w:r>
          </w:p>
          <w:p w:rsidR="0099507C" w:rsidRPr="006609D0" w:rsidRDefault="0099507C" w:rsidP="006609D0">
            <w:pPr>
              <w:suppressAutoHyphens w:val="0"/>
              <w:spacing w:before="40" w:after="120" w:line="220" w:lineRule="exact"/>
              <w:ind w:right="113"/>
            </w:pPr>
            <w:r w:rsidRPr="006609D0">
              <w:t>P908</w:t>
            </w:r>
          </w:p>
          <w:p w:rsidR="0099507C" w:rsidRPr="006609D0" w:rsidRDefault="0099507C" w:rsidP="006609D0">
            <w:pPr>
              <w:suppressAutoHyphens w:val="0"/>
              <w:spacing w:before="40" w:after="120" w:line="220" w:lineRule="exact"/>
              <w:ind w:right="113"/>
            </w:pPr>
            <w:r w:rsidRPr="006609D0">
              <w:t>P909</w:t>
            </w:r>
          </w:p>
          <w:p w:rsidR="0099507C" w:rsidRPr="006609D0" w:rsidRDefault="0099507C" w:rsidP="006609D0">
            <w:pPr>
              <w:suppressAutoHyphens w:val="0"/>
              <w:spacing w:before="40" w:after="120" w:line="220" w:lineRule="exact"/>
              <w:ind w:right="113"/>
            </w:pPr>
            <w:r w:rsidRPr="006609D0">
              <w:t>P910</w:t>
            </w:r>
          </w:p>
          <w:p w:rsidR="00D10747" w:rsidRPr="006609D0" w:rsidRDefault="0099507C" w:rsidP="006609D0">
            <w:pPr>
              <w:suppressAutoHyphens w:val="0"/>
              <w:spacing w:before="40" w:after="120" w:line="220" w:lineRule="exact"/>
              <w:ind w:right="113"/>
            </w:pPr>
            <w:r w:rsidRPr="006609D0">
              <w:t>P911</w:t>
            </w:r>
          </w:p>
          <w:p w:rsidR="000B2710" w:rsidRPr="006609D0" w:rsidRDefault="000B2710" w:rsidP="006609D0">
            <w:pPr>
              <w:suppressAutoHyphens w:val="0"/>
              <w:spacing w:before="40" w:after="120" w:line="220" w:lineRule="exact"/>
              <w:ind w:right="113"/>
              <w:rPr>
                <w:b/>
              </w:rPr>
            </w:pPr>
          </w:p>
        </w:tc>
        <w:tc>
          <w:tcPr>
            <w:tcW w:w="993" w:type="dxa"/>
            <w:shd w:val="clear" w:color="auto" w:fill="auto"/>
          </w:tcPr>
          <w:p w:rsidR="00D10747" w:rsidRPr="006609D0" w:rsidRDefault="00D10747" w:rsidP="006609D0">
            <w:pPr>
              <w:suppressAutoHyphens w:val="0"/>
              <w:spacing w:before="40" w:after="120" w:line="220" w:lineRule="exact"/>
              <w:ind w:right="113"/>
              <w:rPr>
                <w:b/>
              </w:rPr>
            </w:pPr>
          </w:p>
        </w:tc>
        <w:tc>
          <w:tcPr>
            <w:tcW w:w="992" w:type="dxa"/>
            <w:shd w:val="clear" w:color="auto" w:fill="auto"/>
          </w:tcPr>
          <w:p w:rsidR="00D10747" w:rsidRPr="006609D0" w:rsidRDefault="00D10747" w:rsidP="006609D0">
            <w:pPr>
              <w:suppressAutoHyphens w:val="0"/>
              <w:spacing w:before="40" w:after="120" w:line="220" w:lineRule="exact"/>
              <w:ind w:right="113"/>
              <w:rPr>
                <w:b/>
              </w:rPr>
            </w:pPr>
          </w:p>
        </w:tc>
        <w:tc>
          <w:tcPr>
            <w:tcW w:w="850" w:type="dxa"/>
            <w:shd w:val="clear" w:color="auto" w:fill="auto"/>
          </w:tcPr>
          <w:p w:rsidR="00D10747" w:rsidRPr="006609D0" w:rsidRDefault="00D10747" w:rsidP="006609D0">
            <w:pPr>
              <w:suppressAutoHyphens w:val="0"/>
              <w:spacing w:before="40" w:after="120" w:line="220" w:lineRule="exact"/>
              <w:ind w:right="113"/>
              <w:rPr>
                <w:b/>
              </w:rPr>
            </w:pPr>
          </w:p>
        </w:tc>
      </w:tr>
      <w:tr w:rsidR="006609D0" w:rsidRPr="006609D0" w:rsidTr="006609D0">
        <w:tc>
          <w:tcPr>
            <w:tcW w:w="851" w:type="dxa"/>
            <w:shd w:val="clear" w:color="auto" w:fill="auto"/>
          </w:tcPr>
          <w:p w:rsidR="00D10747" w:rsidRPr="006609D0" w:rsidRDefault="00D10747" w:rsidP="006609D0">
            <w:pPr>
              <w:suppressAutoHyphens w:val="0"/>
              <w:spacing w:before="40" w:after="120" w:line="220" w:lineRule="exact"/>
              <w:ind w:right="113"/>
            </w:pPr>
            <w:r w:rsidRPr="006609D0">
              <w:lastRenderedPageBreak/>
              <w:t>35</w:t>
            </w:r>
            <w:r w:rsidR="00BE5864" w:rsidRPr="006609D0">
              <w:t>YY</w:t>
            </w:r>
          </w:p>
        </w:tc>
        <w:tc>
          <w:tcPr>
            <w:tcW w:w="1417" w:type="dxa"/>
            <w:shd w:val="clear" w:color="auto" w:fill="auto"/>
          </w:tcPr>
          <w:p w:rsidR="00D10747" w:rsidRPr="006609D0" w:rsidRDefault="00765B81" w:rsidP="006609D0">
            <w:pPr>
              <w:suppressAutoHyphens w:val="0"/>
              <w:spacing w:before="40" w:after="120" w:line="220" w:lineRule="exact"/>
              <w:ind w:right="113"/>
              <w:rPr>
                <w:b/>
              </w:rPr>
            </w:pPr>
            <w:r w:rsidRPr="006609D0">
              <w:t>LITHIUM METAL BATTERIES FOR MEDICAL DEVICES</w:t>
            </w:r>
          </w:p>
        </w:tc>
        <w:tc>
          <w:tcPr>
            <w:tcW w:w="709" w:type="dxa"/>
            <w:shd w:val="clear" w:color="auto" w:fill="auto"/>
          </w:tcPr>
          <w:p w:rsidR="00D10747" w:rsidRPr="006609D0" w:rsidRDefault="00D10747" w:rsidP="006609D0">
            <w:pPr>
              <w:suppressAutoHyphens w:val="0"/>
              <w:spacing w:before="40" w:after="120" w:line="220" w:lineRule="exact"/>
              <w:ind w:right="113"/>
            </w:pPr>
            <w:r w:rsidRPr="006609D0">
              <w:t>9</w:t>
            </w:r>
          </w:p>
        </w:tc>
        <w:tc>
          <w:tcPr>
            <w:tcW w:w="567" w:type="dxa"/>
            <w:shd w:val="clear" w:color="auto" w:fill="auto"/>
          </w:tcPr>
          <w:p w:rsidR="00D10747" w:rsidRPr="006609D0" w:rsidRDefault="00D10747" w:rsidP="006609D0">
            <w:pPr>
              <w:suppressAutoHyphens w:val="0"/>
              <w:spacing w:before="40" w:after="120" w:line="220" w:lineRule="exact"/>
              <w:ind w:right="113"/>
              <w:rPr>
                <w:b/>
              </w:rPr>
            </w:pPr>
          </w:p>
        </w:tc>
        <w:tc>
          <w:tcPr>
            <w:tcW w:w="709" w:type="dxa"/>
            <w:shd w:val="clear" w:color="auto" w:fill="auto"/>
          </w:tcPr>
          <w:p w:rsidR="00D10747" w:rsidRPr="006609D0" w:rsidRDefault="00D10747" w:rsidP="006609D0">
            <w:pPr>
              <w:suppressAutoHyphens w:val="0"/>
              <w:spacing w:before="40" w:after="120" w:line="220" w:lineRule="exact"/>
              <w:ind w:right="113"/>
              <w:rPr>
                <w:b/>
              </w:rPr>
            </w:pPr>
          </w:p>
        </w:tc>
        <w:tc>
          <w:tcPr>
            <w:tcW w:w="850" w:type="dxa"/>
            <w:shd w:val="clear" w:color="auto" w:fill="auto"/>
          </w:tcPr>
          <w:p w:rsidR="008B0317" w:rsidRPr="006609D0" w:rsidRDefault="008B0317" w:rsidP="006609D0">
            <w:pPr>
              <w:suppressAutoHyphens w:val="0"/>
              <w:spacing w:before="40" w:after="120" w:line="220" w:lineRule="exact"/>
              <w:ind w:right="113"/>
            </w:pPr>
            <w:r w:rsidRPr="006609D0">
              <w:t>XXX</w:t>
            </w:r>
          </w:p>
          <w:p w:rsidR="008B0317" w:rsidRPr="006609D0" w:rsidRDefault="008B0317" w:rsidP="006609D0">
            <w:pPr>
              <w:suppressAutoHyphens w:val="0"/>
              <w:spacing w:before="40" w:after="120" w:line="220" w:lineRule="exact"/>
              <w:ind w:right="113"/>
            </w:pPr>
            <w:r w:rsidRPr="006609D0">
              <w:t>230</w:t>
            </w:r>
          </w:p>
          <w:p w:rsidR="008B0317" w:rsidRPr="006609D0" w:rsidRDefault="008B0317" w:rsidP="006609D0">
            <w:pPr>
              <w:suppressAutoHyphens w:val="0"/>
              <w:spacing w:before="40" w:after="120" w:line="220" w:lineRule="exact"/>
              <w:ind w:right="113"/>
            </w:pPr>
            <w:r w:rsidRPr="006609D0">
              <w:t>310</w:t>
            </w:r>
          </w:p>
          <w:p w:rsidR="008B0317" w:rsidRPr="006609D0" w:rsidRDefault="008B0317" w:rsidP="006609D0">
            <w:pPr>
              <w:suppressAutoHyphens w:val="0"/>
              <w:spacing w:before="40" w:after="120" w:line="220" w:lineRule="exact"/>
              <w:ind w:right="113"/>
            </w:pPr>
            <w:r w:rsidRPr="006609D0">
              <w:t>348</w:t>
            </w:r>
          </w:p>
          <w:p w:rsidR="008B0317" w:rsidRPr="006609D0" w:rsidRDefault="008B0317" w:rsidP="006609D0">
            <w:pPr>
              <w:suppressAutoHyphens w:val="0"/>
              <w:spacing w:before="40" w:after="120" w:line="220" w:lineRule="exact"/>
              <w:ind w:right="113"/>
            </w:pPr>
            <w:r w:rsidRPr="006609D0">
              <w:t>376</w:t>
            </w:r>
          </w:p>
          <w:p w:rsidR="000B2710" w:rsidRPr="006609D0" w:rsidRDefault="008B0317" w:rsidP="006609D0">
            <w:pPr>
              <w:suppressAutoHyphens w:val="0"/>
              <w:spacing w:before="40" w:after="120" w:line="220" w:lineRule="exact"/>
              <w:ind w:right="113"/>
              <w:rPr>
                <w:b/>
              </w:rPr>
            </w:pPr>
            <w:r w:rsidRPr="006609D0">
              <w:t>377</w:t>
            </w:r>
          </w:p>
        </w:tc>
        <w:tc>
          <w:tcPr>
            <w:tcW w:w="426" w:type="dxa"/>
            <w:shd w:val="clear" w:color="auto" w:fill="auto"/>
          </w:tcPr>
          <w:p w:rsidR="00D10747" w:rsidRPr="006609D0" w:rsidRDefault="00765B81" w:rsidP="006609D0">
            <w:pPr>
              <w:suppressAutoHyphens w:val="0"/>
              <w:spacing w:before="40" w:after="120" w:line="220" w:lineRule="exact"/>
              <w:ind w:right="113"/>
            </w:pPr>
            <w:r w:rsidRPr="006609D0">
              <w:t>0</w:t>
            </w:r>
          </w:p>
        </w:tc>
        <w:tc>
          <w:tcPr>
            <w:tcW w:w="425" w:type="dxa"/>
            <w:shd w:val="clear" w:color="auto" w:fill="auto"/>
          </w:tcPr>
          <w:p w:rsidR="00D10747" w:rsidRPr="006609D0" w:rsidRDefault="00765B81" w:rsidP="006609D0">
            <w:pPr>
              <w:suppressAutoHyphens w:val="0"/>
              <w:spacing w:before="40" w:after="120" w:line="220" w:lineRule="exact"/>
              <w:ind w:right="113"/>
            </w:pPr>
            <w:r w:rsidRPr="006609D0">
              <w:t>E0</w:t>
            </w:r>
          </w:p>
        </w:tc>
        <w:tc>
          <w:tcPr>
            <w:tcW w:w="850" w:type="dxa"/>
            <w:shd w:val="clear" w:color="auto" w:fill="auto"/>
          </w:tcPr>
          <w:p w:rsidR="00F936AF" w:rsidRPr="006609D0" w:rsidRDefault="00F936AF" w:rsidP="006609D0">
            <w:pPr>
              <w:suppressAutoHyphens w:val="0"/>
              <w:spacing w:before="40" w:after="120" w:line="220" w:lineRule="exact"/>
              <w:ind w:right="113"/>
            </w:pPr>
            <w:r w:rsidRPr="006609D0">
              <w:t>P9xx</w:t>
            </w:r>
          </w:p>
          <w:p w:rsidR="0099507C" w:rsidRPr="006609D0" w:rsidRDefault="0099507C" w:rsidP="006609D0">
            <w:pPr>
              <w:suppressAutoHyphens w:val="0"/>
              <w:spacing w:before="40" w:after="120" w:line="220" w:lineRule="exact"/>
              <w:ind w:right="113"/>
            </w:pPr>
            <w:r w:rsidRPr="006609D0">
              <w:t>P908</w:t>
            </w:r>
          </w:p>
          <w:p w:rsidR="0099507C" w:rsidRPr="006609D0" w:rsidRDefault="0099507C" w:rsidP="006609D0">
            <w:pPr>
              <w:suppressAutoHyphens w:val="0"/>
              <w:spacing w:before="40" w:after="120" w:line="220" w:lineRule="exact"/>
              <w:ind w:right="113"/>
            </w:pPr>
            <w:r w:rsidRPr="006609D0">
              <w:t>P909</w:t>
            </w:r>
          </w:p>
          <w:p w:rsidR="0099507C" w:rsidRPr="006609D0" w:rsidRDefault="0099507C" w:rsidP="006609D0">
            <w:pPr>
              <w:suppressAutoHyphens w:val="0"/>
              <w:spacing w:before="40" w:after="120" w:line="220" w:lineRule="exact"/>
              <w:ind w:right="113"/>
            </w:pPr>
            <w:r w:rsidRPr="006609D0">
              <w:t>P910</w:t>
            </w:r>
          </w:p>
          <w:p w:rsidR="00D10747" w:rsidRPr="006609D0" w:rsidRDefault="0099507C" w:rsidP="006609D0">
            <w:pPr>
              <w:suppressAutoHyphens w:val="0"/>
              <w:spacing w:before="40" w:after="120" w:line="220" w:lineRule="exact"/>
              <w:ind w:right="113"/>
              <w:rPr>
                <w:b/>
              </w:rPr>
            </w:pPr>
            <w:r w:rsidRPr="006609D0">
              <w:t>P911</w:t>
            </w:r>
          </w:p>
        </w:tc>
        <w:tc>
          <w:tcPr>
            <w:tcW w:w="993" w:type="dxa"/>
            <w:shd w:val="clear" w:color="auto" w:fill="auto"/>
          </w:tcPr>
          <w:p w:rsidR="00D10747" w:rsidRPr="006609D0" w:rsidRDefault="00D10747" w:rsidP="006609D0">
            <w:pPr>
              <w:suppressAutoHyphens w:val="0"/>
              <w:spacing w:before="40" w:after="120" w:line="220" w:lineRule="exact"/>
              <w:ind w:right="113"/>
              <w:rPr>
                <w:b/>
              </w:rPr>
            </w:pPr>
          </w:p>
        </w:tc>
        <w:tc>
          <w:tcPr>
            <w:tcW w:w="992" w:type="dxa"/>
            <w:shd w:val="clear" w:color="auto" w:fill="auto"/>
          </w:tcPr>
          <w:p w:rsidR="00D10747" w:rsidRPr="006609D0" w:rsidRDefault="00D10747" w:rsidP="006609D0">
            <w:pPr>
              <w:suppressAutoHyphens w:val="0"/>
              <w:spacing w:before="40" w:after="120" w:line="220" w:lineRule="exact"/>
              <w:ind w:right="113"/>
              <w:rPr>
                <w:b/>
              </w:rPr>
            </w:pPr>
          </w:p>
        </w:tc>
        <w:tc>
          <w:tcPr>
            <w:tcW w:w="850" w:type="dxa"/>
            <w:shd w:val="clear" w:color="auto" w:fill="auto"/>
          </w:tcPr>
          <w:p w:rsidR="00D10747" w:rsidRPr="006609D0" w:rsidRDefault="00D10747" w:rsidP="006609D0">
            <w:pPr>
              <w:suppressAutoHyphens w:val="0"/>
              <w:spacing w:before="40" w:after="120" w:line="220" w:lineRule="exact"/>
              <w:ind w:right="113"/>
              <w:rPr>
                <w:b/>
              </w:rPr>
            </w:pPr>
          </w:p>
        </w:tc>
      </w:tr>
      <w:tr w:rsidR="006609D0" w:rsidRPr="006609D0" w:rsidTr="006609D0">
        <w:tc>
          <w:tcPr>
            <w:tcW w:w="851" w:type="dxa"/>
            <w:shd w:val="clear" w:color="auto" w:fill="auto"/>
          </w:tcPr>
          <w:p w:rsidR="00BE5864" w:rsidRPr="006609D0" w:rsidRDefault="00BE5864" w:rsidP="006609D0">
            <w:pPr>
              <w:suppressAutoHyphens w:val="0"/>
              <w:spacing w:before="40" w:after="120" w:line="220" w:lineRule="exact"/>
              <w:ind w:right="113"/>
            </w:pPr>
            <w:r w:rsidRPr="006609D0">
              <w:t>35YZ</w:t>
            </w:r>
          </w:p>
        </w:tc>
        <w:tc>
          <w:tcPr>
            <w:tcW w:w="1417" w:type="dxa"/>
            <w:shd w:val="clear" w:color="auto" w:fill="auto"/>
          </w:tcPr>
          <w:p w:rsidR="00BE5864" w:rsidRPr="006609D0" w:rsidRDefault="00BE5864" w:rsidP="006609D0">
            <w:pPr>
              <w:suppressAutoHyphens w:val="0"/>
              <w:spacing w:before="40" w:after="120" w:line="220" w:lineRule="exact"/>
              <w:ind w:right="113"/>
            </w:pPr>
            <w:r w:rsidRPr="006609D0">
              <w:t>LITHIUM METAL BATTERIES FOR MEDICAL DEVICES</w:t>
            </w:r>
            <w:r w:rsidR="008B0317" w:rsidRPr="006609D0">
              <w:t xml:space="preserve"> contained in or packed with equipment</w:t>
            </w:r>
          </w:p>
        </w:tc>
        <w:tc>
          <w:tcPr>
            <w:tcW w:w="709" w:type="dxa"/>
            <w:shd w:val="clear" w:color="auto" w:fill="auto"/>
          </w:tcPr>
          <w:p w:rsidR="00BE5864" w:rsidRPr="006609D0" w:rsidRDefault="00BE5864" w:rsidP="006609D0">
            <w:pPr>
              <w:suppressAutoHyphens w:val="0"/>
              <w:spacing w:before="40" w:after="120" w:line="220" w:lineRule="exact"/>
              <w:ind w:right="113"/>
            </w:pPr>
            <w:r w:rsidRPr="006609D0">
              <w:t>9</w:t>
            </w:r>
          </w:p>
        </w:tc>
        <w:tc>
          <w:tcPr>
            <w:tcW w:w="567" w:type="dxa"/>
            <w:shd w:val="clear" w:color="auto" w:fill="auto"/>
          </w:tcPr>
          <w:p w:rsidR="00BE5864" w:rsidRPr="006609D0" w:rsidRDefault="00BE5864" w:rsidP="006609D0">
            <w:pPr>
              <w:suppressAutoHyphens w:val="0"/>
              <w:spacing w:before="40" w:after="120" w:line="220" w:lineRule="exact"/>
              <w:ind w:right="113"/>
              <w:rPr>
                <w:b/>
              </w:rPr>
            </w:pPr>
          </w:p>
        </w:tc>
        <w:tc>
          <w:tcPr>
            <w:tcW w:w="709" w:type="dxa"/>
            <w:shd w:val="clear" w:color="auto" w:fill="auto"/>
          </w:tcPr>
          <w:p w:rsidR="00BE5864" w:rsidRPr="006609D0" w:rsidRDefault="00BE5864" w:rsidP="006609D0">
            <w:pPr>
              <w:suppressAutoHyphens w:val="0"/>
              <w:spacing w:before="40" w:after="120" w:line="220" w:lineRule="exact"/>
              <w:ind w:right="113"/>
              <w:rPr>
                <w:b/>
              </w:rPr>
            </w:pPr>
          </w:p>
        </w:tc>
        <w:tc>
          <w:tcPr>
            <w:tcW w:w="850" w:type="dxa"/>
            <w:shd w:val="clear" w:color="auto" w:fill="auto"/>
          </w:tcPr>
          <w:p w:rsidR="008B0317" w:rsidRPr="006609D0" w:rsidRDefault="008B0317" w:rsidP="006609D0">
            <w:pPr>
              <w:suppressAutoHyphens w:val="0"/>
              <w:spacing w:before="40" w:after="120" w:line="220" w:lineRule="exact"/>
              <w:ind w:right="113"/>
            </w:pPr>
            <w:r w:rsidRPr="006609D0">
              <w:t>XXX</w:t>
            </w:r>
          </w:p>
          <w:p w:rsidR="00DB4536" w:rsidRPr="006609D0" w:rsidRDefault="00DB4536" w:rsidP="006609D0">
            <w:pPr>
              <w:suppressAutoHyphens w:val="0"/>
              <w:spacing w:before="40" w:after="120" w:line="220" w:lineRule="exact"/>
              <w:ind w:right="113"/>
            </w:pPr>
            <w:r w:rsidRPr="006609D0">
              <w:t>YYY</w:t>
            </w:r>
          </w:p>
          <w:p w:rsidR="008B0317" w:rsidRPr="006609D0" w:rsidRDefault="008B0317" w:rsidP="006609D0">
            <w:pPr>
              <w:suppressAutoHyphens w:val="0"/>
              <w:spacing w:before="40" w:after="120" w:line="220" w:lineRule="exact"/>
              <w:ind w:right="113"/>
            </w:pPr>
            <w:r w:rsidRPr="006609D0">
              <w:t>230</w:t>
            </w:r>
          </w:p>
          <w:p w:rsidR="008B0317" w:rsidRPr="006609D0" w:rsidRDefault="008B0317" w:rsidP="006609D0">
            <w:pPr>
              <w:suppressAutoHyphens w:val="0"/>
              <w:spacing w:before="40" w:after="120" w:line="220" w:lineRule="exact"/>
              <w:ind w:right="113"/>
            </w:pPr>
            <w:r w:rsidRPr="006609D0">
              <w:t>310</w:t>
            </w:r>
          </w:p>
          <w:p w:rsidR="008B0317" w:rsidRPr="006609D0" w:rsidRDefault="008B0317" w:rsidP="006609D0">
            <w:pPr>
              <w:suppressAutoHyphens w:val="0"/>
              <w:spacing w:before="40" w:after="120" w:line="220" w:lineRule="exact"/>
              <w:ind w:right="113"/>
            </w:pPr>
            <w:r w:rsidRPr="006609D0">
              <w:t>348</w:t>
            </w:r>
          </w:p>
          <w:p w:rsidR="008B0317" w:rsidRPr="006609D0" w:rsidRDefault="008B0317" w:rsidP="006609D0">
            <w:pPr>
              <w:suppressAutoHyphens w:val="0"/>
              <w:spacing w:before="40" w:after="120" w:line="220" w:lineRule="exact"/>
              <w:ind w:right="113"/>
            </w:pPr>
            <w:r w:rsidRPr="006609D0">
              <w:t>376</w:t>
            </w:r>
          </w:p>
          <w:p w:rsidR="00BE5864" w:rsidRPr="006609D0" w:rsidRDefault="008B0317" w:rsidP="006609D0">
            <w:pPr>
              <w:suppressAutoHyphens w:val="0"/>
              <w:spacing w:before="40" w:after="120" w:line="220" w:lineRule="exact"/>
              <w:ind w:right="113"/>
            </w:pPr>
            <w:r w:rsidRPr="006609D0">
              <w:t>377</w:t>
            </w:r>
          </w:p>
        </w:tc>
        <w:tc>
          <w:tcPr>
            <w:tcW w:w="426" w:type="dxa"/>
            <w:shd w:val="clear" w:color="auto" w:fill="auto"/>
          </w:tcPr>
          <w:p w:rsidR="00BE5864" w:rsidRPr="006609D0" w:rsidRDefault="00BE5864" w:rsidP="006609D0">
            <w:pPr>
              <w:suppressAutoHyphens w:val="0"/>
              <w:spacing w:before="40" w:after="120" w:line="220" w:lineRule="exact"/>
              <w:ind w:right="113"/>
            </w:pPr>
          </w:p>
        </w:tc>
        <w:tc>
          <w:tcPr>
            <w:tcW w:w="425" w:type="dxa"/>
            <w:shd w:val="clear" w:color="auto" w:fill="auto"/>
          </w:tcPr>
          <w:p w:rsidR="00BE5864" w:rsidRPr="006609D0" w:rsidRDefault="00BE5864" w:rsidP="006609D0">
            <w:pPr>
              <w:suppressAutoHyphens w:val="0"/>
              <w:spacing w:before="40" w:after="120" w:line="220" w:lineRule="exact"/>
              <w:ind w:right="113"/>
            </w:pPr>
          </w:p>
        </w:tc>
        <w:tc>
          <w:tcPr>
            <w:tcW w:w="850" w:type="dxa"/>
            <w:shd w:val="clear" w:color="auto" w:fill="auto"/>
          </w:tcPr>
          <w:p w:rsidR="00F936AF" w:rsidRPr="006609D0" w:rsidRDefault="00F936AF" w:rsidP="006609D0">
            <w:pPr>
              <w:suppressAutoHyphens w:val="0"/>
              <w:spacing w:before="40" w:after="120" w:line="220" w:lineRule="exact"/>
              <w:ind w:right="113"/>
            </w:pPr>
            <w:r w:rsidRPr="006609D0">
              <w:t>P9xxx</w:t>
            </w:r>
          </w:p>
          <w:p w:rsidR="0099507C" w:rsidRPr="006609D0" w:rsidRDefault="0099507C" w:rsidP="006609D0">
            <w:pPr>
              <w:suppressAutoHyphens w:val="0"/>
              <w:spacing w:before="40" w:after="120" w:line="220" w:lineRule="exact"/>
              <w:ind w:right="113"/>
            </w:pPr>
            <w:r w:rsidRPr="006609D0">
              <w:t>P908</w:t>
            </w:r>
          </w:p>
          <w:p w:rsidR="0099507C" w:rsidRPr="006609D0" w:rsidRDefault="0099507C" w:rsidP="006609D0">
            <w:pPr>
              <w:suppressAutoHyphens w:val="0"/>
              <w:spacing w:before="40" w:after="120" w:line="220" w:lineRule="exact"/>
              <w:ind w:right="113"/>
            </w:pPr>
            <w:r w:rsidRPr="006609D0">
              <w:t>P909</w:t>
            </w:r>
          </w:p>
          <w:p w:rsidR="0099507C" w:rsidRPr="006609D0" w:rsidRDefault="0099507C" w:rsidP="006609D0">
            <w:pPr>
              <w:suppressAutoHyphens w:val="0"/>
              <w:spacing w:before="40" w:after="120" w:line="220" w:lineRule="exact"/>
              <w:ind w:right="113"/>
            </w:pPr>
            <w:r w:rsidRPr="006609D0">
              <w:t>P910</w:t>
            </w:r>
          </w:p>
          <w:p w:rsidR="00BE5864" w:rsidRPr="006609D0" w:rsidRDefault="0099507C" w:rsidP="006609D0">
            <w:pPr>
              <w:suppressAutoHyphens w:val="0"/>
              <w:spacing w:before="40" w:after="120" w:line="220" w:lineRule="exact"/>
              <w:ind w:right="113"/>
            </w:pPr>
            <w:r w:rsidRPr="006609D0">
              <w:t>P911</w:t>
            </w:r>
          </w:p>
        </w:tc>
        <w:tc>
          <w:tcPr>
            <w:tcW w:w="993" w:type="dxa"/>
            <w:shd w:val="clear" w:color="auto" w:fill="auto"/>
          </w:tcPr>
          <w:p w:rsidR="00BE5864" w:rsidRPr="006609D0" w:rsidRDefault="00BE5864" w:rsidP="006609D0">
            <w:pPr>
              <w:suppressAutoHyphens w:val="0"/>
              <w:spacing w:before="40" w:after="120" w:line="220" w:lineRule="exact"/>
              <w:ind w:right="113"/>
              <w:rPr>
                <w:b/>
              </w:rPr>
            </w:pPr>
          </w:p>
        </w:tc>
        <w:tc>
          <w:tcPr>
            <w:tcW w:w="992" w:type="dxa"/>
            <w:shd w:val="clear" w:color="auto" w:fill="auto"/>
          </w:tcPr>
          <w:p w:rsidR="00BE5864" w:rsidRPr="006609D0" w:rsidRDefault="00BE5864" w:rsidP="006609D0">
            <w:pPr>
              <w:suppressAutoHyphens w:val="0"/>
              <w:spacing w:before="40" w:after="120" w:line="220" w:lineRule="exact"/>
              <w:ind w:right="113"/>
              <w:rPr>
                <w:b/>
              </w:rPr>
            </w:pPr>
          </w:p>
        </w:tc>
        <w:tc>
          <w:tcPr>
            <w:tcW w:w="850" w:type="dxa"/>
            <w:shd w:val="clear" w:color="auto" w:fill="auto"/>
          </w:tcPr>
          <w:p w:rsidR="00BE5864" w:rsidRPr="006609D0" w:rsidRDefault="00BE5864" w:rsidP="006609D0">
            <w:pPr>
              <w:suppressAutoHyphens w:val="0"/>
              <w:spacing w:before="40" w:after="120" w:line="220" w:lineRule="exact"/>
              <w:ind w:right="113"/>
              <w:rPr>
                <w:b/>
              </w:rPr>
            </w:pPr>
          </w:p>
        </w:tc>
      </w:tr>
    </w:tbl>
    <w:p w:rsidR="00AC03C3" w:rsidRPr="00F128EA" w:rsidRDefault="00AC03C3" w:rsidP="009952FE">
      <w:pPr>
        <w:pStyle w:val="SingleTxtG"/>
      </w:pPr>
    </w:p>
    <w:p w:rsidR="009952FE" w:rsidRPr="00815C5A" w:rsidRDefault="003639EB" w:rsidP="00815C5A">
      <w:pPr>
        <w:pStyle w:val="SingleTxtG"/>
      </w:pPr>
      <w:r>
        <w:t>8</w:t>
      </w:r>
      <w:r w:rsidR="009952FE" w:rsidRPr="00815C5A">
        <w:t>.</w:t>
      </w:r>
      <w:r w:rsidR="009952FE" w:rsidRPr="00815C5A">
        <w:tab/>
      </w:r>
      <w:r w:rsidR="00F41DA9" w:rsidRPr="00815C5A">
        <w:t>In Chapter 3.3, i</w:t>
      </w:r>
      <w:r w:rsidR="00FB723A" w:rsidRPr="00815C5A">
        <w:t xml:space="preserve">nsert the </w:t>
      </w:r>
      <w:r w:rsidR="00F41DA9" w:rsidRPr="00815C5A">
        <w:t xml:space="preserve">following as Special Provision </w:t>
      </w:r>
      <w:r w:rsidR="00C04C5C" w:rsidRPr="00815C5A">
        <w:t>XXX</w:t>
      </w:r>
      <w:r w:rsidR="00EF7190" w:rsidRPr="00815C5A">
        <w:t xml:space="preserve"> as follows</w:t>
      </w:r>
      <w:r w:rsidR="00F41DA9" w:rsidRPr="00815C5A">
        <w:t xml:space="preserve">: </w:t>
      </w:r>
    </w:p>
    <w:p w:rsidR="00B92CB5" w:rsidRPr="00F128EA" w:rsidRDefault="00C04C5C" w:rsidP="00815C5A">
      <w:pPr>
        <w:pStyle w:val="SingleTxtG"/>
        <w:ind w:left="1701"/>
      </w:pPr>
      <w:r w:rsidRPr="00F128EA">
        <w:rPr>
          <w:i/>
        </w:rPr>
        <w:t xml:space="preserve">XXX </w:t>
      </w:r>
      <w:r w:rsidR="00B92CB5" w:rsidRPr="00F128EA">
        <w:t xml:space="preserve">This entry may only be used for lithium batteries used in medical devices </w:t>
      </w:r>
      <w:r w:rsidR="00EF7190" w:rsidRPr="00815C5A">
        <w:t>and</w:t>
      </w:r>
      <w:r w:rsidR="00EF7190" w:rsidRPr="00F128EA">
        <w:t xml:space="preserve"> medical devices </w:t>
      </w:r>
      <w:r w:rsidR="00B92CB5" w:rsidRPr="00F128EA">
        <w:t>that have met the following criteria:</w:t>
      </w:r>
    </w:p>
    <w:p w:rsidR="00B92CB5" w:rsidRPr="00815C5A" w:rsidRDefault="00815C5A" w:rsidP="00815C5A">
      <w:pPr>
        <w:pStyle w:val="SingleTxtG"/>
        <w:ind w:left="1701"/>
      </w:pPr>
      <w:r>
        <w:t>(a)</w:t>
      </w:r>
      <w:r>
        <w:tab/>
      </w:r>
      <w:r w:rsidR="00EF7190" w:rsidRPr="00815C5A">
        <w:t xml:space="preserve">The lithium batteries are manufactured to be used in a medical device. </w:t>
      </w:r>
      <w:r w:rsidR="00B92CB5" w:rsidRPr="00815C5A">
        <w:t xml:space="preserve">The manufacturer </w:t>
      </w:r>
      <w:r w:rsidR="00EF7190" w:rsidRPr="00815C5A">
        <w:t xml:space="preserve">of the batteries and devices </w:t>
      </w:r>
      <w:r w:rsidR="00B92CB5" w:rsidRPr="00815C5A">
        <w:t>adheres to the requirements of ISO 13485</w:t>
      </w:r>
      <w:r w:rsidR="00F936AF" w:rsidRPr="00815C5A">
        <w:t>:</w:t>
      </w:r>
      <w:r w:rsidR="0099507C" w:rsidRPr="00815C5A">
        <w:t xml:space="preserve"> 2015</w:t>
      </w:r>
      <w:r w:rsidR="00A0011E" w:rsidRPr="00815C5A">
        <w:t xml:space="preserve">, </w:t>
      </w:r>
      <w:r w:rsidR="0099507C" w:rsidRPr="00815C5A">
        <w:t xml:space="preserve">EN ISO 14971:2012 </w:t>
      </w:r>
      <w:r w:rsidR="00A0011E" w:rsidRPr="00815C5A">
        <w:t>and 11607</w:t>
      </w:r>
      <w:r w:rsidR="0099507C" w:rsidRPr="00815C5A">
        <w:t>- 1:2006/A1:2014</w:t>
      </w:r>
      <w:r w:rsidR="00DB4536" w:rsidRPr="00815C5A">
        <w:t>;</w:t>
      </w:r>
    </w:p>
    <w:p w:rsidR="00DB4536" w:rsidRPr="00815C5A" w:rsidRDefault="00815C5A" w:rsidP="00815C5A">
      <w:pPr>
        <w:pStyle w:val="SingleTxtG"/>
        <w:ind w:left="1701"/>
      </w:pPr>
      <w:r>
        <w:t>(b)</w:t>
      </w:r>
      <w:r>
        <w:tab/>
      </w:r>
      <w:r w:rsidR="00DB4536" w:rsidRPr="00815C5A">
        <w:t>The manufacturing process is reviewed and audited by an agency designated by the competent authority to monitor, assess and oversee the safe manufacture of the medical devices and batteries used to power them;</w:t>
      </w:r>
    </w:p>
    <w:p w:rsidR="00B92CB5" w:rsidRPr="00815C5A" w:rsidRDefault="00815C5A" w:rsidP="00815C5A">
      <w:pPr>
        <w:pStyle w:val="SingleTxtG"/>
        <w:ind w:left="1701"/>
      </w:pPr>
      <w:r>
        <w:t>(c)</w:t>
      </w:r>
      <w:r>
        <w:tab/>
      </w:r>
      <w:r w:rsidR="00B92CB5" w:rsidRPr="00815C5A">
        <w:t xml:space="preserve">For the purposes of these Regulations, the definition of medical device is as follows: </w:t>
      </w:r>
    </w:p>
    <w:p w:rsidR="00F01355" w:rsidRPr="00F128EA" w:rsidRDefault="00B92CB5" w:rsidP="00815C5A">
      <w:pPr>
        <w:pStyle w:val="SingleTxtG"/>
        <w:ind w:left="2268"/>
      </w:pPr>
      <w:r w:rsidRPr="00F128EA">
        <w:t>“</w:t>
      </w:r>
      <w:r w:rsidR="00FB723A" w:rsidRPr="00815C5A">
        <w:rPr>
          <w:i/>
        </w:rPr>
        <w:t>Medical</w:t>
      </w:r>
      <w:r w:rsidR="00FB723A" w:rsidRPr="00F128EA">
        <w:rPr>
          <w:i/>
        </w:rPr>
        <w:t xml:space="preserve"> device</w:t>
      </w:r>
      <w:r w:rsidR="00FB723A" w:rsidRPr="00F128EA">
        <w:t xml:space="preserve"> means </w:t>
      </w:r>
      <w:r w:rsidR="00F01355" w:rsidRPr="00F128EA">
        <w:t>any instrument, apparatus, implement, machine, appliance, implant, material or related article, intended by the manufacturer to be used, alone or in combination, for human beings for one or more of the specific purpose(s) of:</w:t>
      </w:r>
    </w:p>
    <w:p w:rsidR="00F01355" w:rsidRPr="00F128EA" w:rsidRDefault="00815C5A" w:rsidP="00815C5A">
      <w:pPr>
        <w:pStyle w:val="Bullet1G"/>
        <w:ind w:firstLine="567"/>
      </w:pPr>
      <w:r>
        <w:t>D</w:t>
      </w:r>
      <w:r w:rsidR="00F01355" w:rsidRPr="00F128EA">
        <w:t>iagnosis, prevention, monitoring, treatment or alleviation of disease,</w:t>
      </w:r>
    </w:p>
    <w:p w:rsidR="00F01355" w:rsidRPr="00F128EA" w:rsidRDefault="00815C5A" w:rsidP="00815C5A">
      <w:pPr>
        <w:pStyle w:val="Bullet1G"/>
        <w:tabs>
          <w:tab w:val="clear" w:pos="1701"/>
        </w:tabs>
        <w:ind w:left="2835" w:hanging="567"/>
      </w:pPr>
      <w:r>
        <w:t>I</w:t>
      </w:r>
      <w:r w:rsidR="00F01355" w:rsidRPr="00F128EA">
        <w:t>nvestigation, replacement, modification, or support of the anatomy or of a physiological process,</w:t>
      </w:r>
    </w:p>
    <w:p w:rsidR="00F01355" w:rsidRPr="00F128EA" w:rsidRDefault="00815C5A" w:rsidP="00815C5A">
      <w:pPr>
        <w:pStyle w:val="Bullet1G"/>
        <w:tabs>
          <w:tab w:val="clear" w:pos="1701"/>
        </w:tabs>
        <w:ind w:left="2268" w:firstLine="0"/>
      </w:pPr>
      <w:r>
        <w:lastRenderedPageBreak/>
        <w:t>S</w:t>
      </w:r>
      <w:r w:rsidR="00F01355" w:rsidRPr="00F128EA">
        <w:t>upporting or sustaining life,</w:t>
      </w:r>
    </w:p>
    <w:p w:rsidR="00F01355" w:rsidRPr="00F128EA" w:rsidRDefault="00815C5A" w:rsidP="00815C5A">
      <w:pPr>
        <w:pStyle w:val="Bullet1G"/>
        <w:tabs>
          <w:tab w:val="clear" w:pos="1701"/>
        </w:tabs>
        <w:ind w:left="2835" w:hanging="567"/>
      </w:pPr>
      <w:proofErr w:type="spellStart"/>
      <w:r>
        <w:t>O</w:t>
      </w:r>
      <w:r w:rsidR="00F01355" w:rsidRPr="00F128EA">
        <w:t>rthopedic</w:t>
      </w:r>
      <w:proofErr w:type="spellEnd"/>
      <w:r w:rsidR="00F01355" w:rsidRPr="00F128EA">
        <w:t xml:space="preserve"> appliances; artificial parts of the body; hearing aids and other appliances which are worn or carried, or implanted in the body, to compensate for a defect or disability;</w:t>
      </w:r>
    </w:p>
    <w:p w:rsidR="00F01355" w:rsidRPr="00F128EA" w:rsidRDefault="00815C5A" w:rsidP="00815C5A">
      <w:pPr>
        <w:pStyle w:val="Bullet1G"/>
        <w:tabs>
          <w:tab w:val="clear" w:pos="1701"/>
        </w:tabs>
        <w:ind w:left="2268" w:firstLine="0"/>
      </w:pPr>
      <w:r>
        <w:t>A</w:t>
      </w:r>
      <w:r w:rsidR="00F01355" w:rsidRPr="00F128EA">
        <w:t>ids for disabled/handicapped people,</w:t>
      </w:r>
    </w:p>
    <w:p w:rsidR="00EF7190" w:rsidRPr="00815C5A" w:rsidRDefault="00815C5A" w:rsidP="00815C5A">
      <w:pPr>
        <w:pStyle w:val="Bullet1G"/>
        <w:tabs>
          <w:tab w:val="clear" w:pos="1701"/>
        </w:tabs>
        <w:ind w:left="2835" w:hanging="567"/>
      </w:pPr>
      <w:r>
        <w:t>A</w:t>
      </w:r>
      <w:r w:rsidR="00F01355" w:rsidRPr="00F128EA">
        <w:t>ccessories for medical devices (accessories intended specifically by manufacturers to be used together with a “parent” medical device to enable that medical device to achieve its intended purpose).</w:t>
      </w:r>
      <w:r w:rsidR="0050632E" w:rsidRPr="00F128EA">
        <w:t>”</w:t>
      </w:r>
    </w:p>
    <w:p w:rsidR="00EF7190" w:rsidRPr="00F128EA" w:rsidRDefault="003639EB" w:rsidP="00815C5A">
      <w:pPr>
        <w:pStyle w:val="SingleTxtG"/>
      </w:pPr>
      <w:r>
        <w:t>9</w:t>
      </w:r>
      <w:r w:rsidR="00815C5A">
        <w:t>.</w:t>
      </w:r>
      <w:r w:rsidR="00815C5A">
        <w:tab/>
      </w:r>
      <w:r w:rsidR="00EF7190" w:rsidRPr="00F128EA">
        <w:t>In Chapter 3.3, insert the following as Special Provision YYY as follows:</w:t>
      </w:r>
    </w:p>
    <w:p w:rsidR="00EF7190" w:rsidRPr="00F128EA" w:rsidRDefault="00F128EA" w:rsidP="00815C5A">
      <w:pPr>
        <w:pStyle w:val="SingleTxtG"/>
        <w:ind w:left="1701"/>
      </w:pPr>
      <w:r>
        <w:t>“</w:t>
      </w:r>
      <w:r w:rsidR="00EF7190" w:rsidRPr="00F128EA">
        <w:t xml:space="preserve">YYY </w:t>
      </w:r>
      <w:r>
        <w:t xml:space="preserve"> </w:t>
      </w:r>
      <w:r w:rsidR="00EF7190" w:rsidRPr="00F128EA">
        <w:t xml:space="preserve">Medical </w:t>
      </w:r>
      <w:r w:rsidR="00C31736" w:rsidRPr="00F128EA">
        <w:t>lithium c</w:t>
      </w:r>
      <w:r w:rsidR="00EF7190" w:rsidRPr="00F128EA">
        <w:t xml:space="preserve">ells and batteries </w:t>
      </w:r>
      <w:r w:rsidR="00C31736" w:rsidRPr="00F128EA">
        <w:t xml:space="preserve">shipped by road, rail or sea and those </w:t>
      </w:r>
      <w:r w:rsidR="00EF7190" w:rsidRPr="00F128EA">
        <w:t>contained in or packed with equipment are not subject to other provisions of these Regulations if they meet the following:</w:t>
      </w:r>
    </w:p>
    <w:p w:rsidR="00F128EA" w:rsidRDefault="00EF7190" w:rsidP="00815C5A">
      <w:pPr>
        <w:pStyle w:val="SingleTxtG"/>
        <w:ind w:left="1701"/>
      </w:pPr>
      <w:r w:rsidRPr="00F128EA">
        <w:t xml:space="preserve">(a) </w:t>
      </w:r>
      <w:r w:rsidR="00F128EA">
        <w:tab/>
      </w:r>
      <w:r w:rsidRPr="00F128EA">
        <w:t>For a lithium metal or lithium alloy cell, the lithium content is not more than 1 g,</w:t>
      </w:r>
      <w:r w:rsidR="00BA2904" w:rsidRPr="00F128EA">
        <w:t xml:space="preserve"> </w:t>
      </w:r>
      <w:r w:rsidRPr="00F128EA">
        <w:t>and for a lithium ion cell, the Watt-hour rating is not more than 20 Wh;</w:t>
      </w:r>
    </w:p>
    <w:p w:rsidR="00F128EA" w:rsidRDefault="00EF7190" w:rsidP="00815C5A">
      <w:pPr>
        <w:pStyle w:val="SingleTxtG"/>
        <w:ind w:left="1701"/>
      </w:pPr>
      <w:r w:rsidRPr="00F128EA">
        <w:t xml:space="preserve">(b) </w:t>
      </w:r>
      <w:r w:rsidR="00F128EA">
        <w:tab/>
      </w:r>
      <w:r w:rsidRPr="00F128EA">
        <w:t>For a lithium metal or lithium alloy battery the aggregate lithium content is not</w:t>
      </w:r>
      <w:r w:rsidR="00BA2904" w:rsidRPr="00F128EA">
        <w:t xml:space="preserve"> </w:t>
      </w:r>
      <w:r w:rsidRPr="00F128EA">
        <w:t>more than 2 g, and for a lithium ion battery, the Watt-hour rating is not more than</w:t>
      </w:r>
      <w:r w:rsidR="00BA2904" w:rsidRPr="00F128EA">
        <w:t xml:space="preserve"> </w:t>
      </w:r>
      <w:r w:rsidRPr="00F128EA">
        <w:t>100 Wh. Lithium ion batteries subject to this provision shall be marked with the</w:t>
      </w:r>
      <w:r w:rsidR="00BA2904" w:rsidRPr="00F128EA">
        <w:t xml:space="preserve"> </w:t>
      </w:r>
      <w:r w:rsidRPr="00F128EA">
        <w:t>Watt-hour rating on the outside case.</w:t>
      </w:r>
      <w:r w:rsidR="00434FAE" w:rsidRPr="00F128EA">
        <w:t xml:space="preserve"> </w:t>
      </w:r>
    </w:p>
    <w:p w:rsidR="00F128EA" w:rsidRDefault="00EF7190" w:rsidP="00815C5A">
      <w:pPr>
        <w:pStyle w:val="SingleTxtG"/>
        <w:ind w:left="1701"/>
      </w:pPr>
      <w:r w:rsidRPr="00F128EA">
        <w:t xml:space="preserve">(c) </w:t>
      </w:r>
      <w:r w:rsidR="00F128EA">
        <w:tab/>
      </w:r>
      <w:r w:rsidRPr="00F128EA">
        <w:t>Each cell or battery meets the provisions of 2.9.4 (a) and (e);</w:t>
      </w:r>
      <w:r w:rsidR="00434FAE" w:rsidRPr="00F128EA">
        <w:t xml:space="preserve"> </w:t>
      </w:r>
    </w:p>
    <w:p w:rsidR="00F128EA" w:rsidRDefault="00EF7190" w:rsidP="00815C5A">
      <w:pPr>
        <w:pStyle w:val="SingleTxtG"/>
        <w:ind w:left="1701"/>
      </w:pPr>
      <w:r w:rsidRPr="00F128EA">
        <w:t xml:space="preserve">(d) </w:t>
      </w:r>
      <w:r w:rsidR="00F128EA">
        <w:tab/>
      </w:r>
      <w:r w:rsidRPr="00F128EA">
        <w:t xml:space="preserve">Cells and batteries when installed in equipment </w:t>
      </w:r>
      <w:proofErr w:type="gramStart"/>
      <w:r w:rsidR="00623015">
        <w:t>is</w:t>
      </w:r>
      <w:proofErr w:type="gramEnd"/>
      <w:r w:rsidRPr="00F128EA">
        <w:t xml:space="preserve"> protected from damage</w:t>
      </w:r>
      <w:r w:rsidR="00BA2904" w:rsidRPr="00F128EA">
        <w:t xml:space="preserve"> </w:t>
      </w:r>
      <w:r w:rsidRPr="00F128EA">
        <w:t xml:space="preserve">and short circuit, and the equipment </w:t>
      </w:r>
      <w:r w:rsidR="00623015">
        <w:t>is</w:t>
      </w:r>
      <w:r w:rsidRPr="00F128EA">
        <w:t xml:space="preserve"> equipped with an effective means of</w:t>
      </w:r>
      <w:r w:rsidR="00BA2904" w:rsidRPr="00F128EA">
        <w:t xml:space="preserve"> </w:t>
      </w:r>
      <w:r w:rsidRPr="00F128EA">
        <w:t>preventing accidental activation. When batteries are installed in equipment, the</w:t>
      </w:r>
      <w:r w:rsidR="00BA2904" w:rsidRPr="00F128EA">
        <w:t xml:space="preserve"> </w:t>
      </w:r>
      <w:r w:rsidRPr="00F128EA">
        <w:t xml:space="preserve">equipment </w:t>
      </w:r>
      <w:r w:rsidR="00623015">
        <w:t>is</w:t>
      </w:r>
      <w:r w:rsidRPr="00F128EA">
        <w:t xml:space="preserve"> packed in strong outer packagings constructed of suitable</w:t>
      </w:r>
      <w:r w:rsidR="00BA2904" w:rsidRPr="00F128EA">
        <w:t xml:space="preserve"> m</w:t>
      </w:r>
      <w:r w:rsidRPr="00F128EA">
        <w:t>aterial of adequate strength and design in relation to the packaging’s capacity and</w:t>
      </w:r>
      <w:r w:rsidR="00434FAE" w:rsidRPr="00F128EA">
        <w:t xml:space="preserve"> </w:t>
      </w:r>
      <w:r w:rsidRPr="00F128EA">
        <w:t>its intended use unless the battery is afforded equivalent protection by the</w:t>
      </w:r>
      <w:r w:rsidR="00BA2904" w:rsidRPr="00F128EA">
        <w:t xml:space="preserve"> </w:t>
      </w:r>
      <w:r w:rsidRPr="00F128EA">
        <w:t>equipment in which it is contained;</w:t>
      </w:r>
      <w:r w:rsidR="00434FAE" w:rsidRPr="00F128EA">
        <w:t xml:space="preserve"> </w:t>
      </w:r>
    </w:p>
    <w:p w:rsidR="00F128EA" w:rsidRDefault="00EF7190" w:rsidP="00815C5A">
      <w:pPr>
        <w:pStyle w:val="SingleTxtG"/>
        <w:ind w:left="1701"/>
      </w:pPr>
      <w:r w:rsidRPr="00F128EA">
        <w:t>(</w:t>
      </w:r>
      <w:r w:rsidR="00127246" w:rsidRPr="00F128EA">
        <w:t>e</w:t>
      </w:r>
      <w:r w:rsidRPr="00F128EA">
        <w:t xml:space="preserve">) </w:t>
      </w:r>
      <w:r w:rsidR="00F128EA">
        <w:tab/>
      </w:r>
      <w:r w:rsidRPr="00F128EA">
        <w:t xml:space="preserve">Each package </w:t>
      </w:r>
      <w:r w:rsidR="00623015">
        <w:t>is</w:t>
      </w:r>
      <w:r w:rsidRPr="00F128EA">
        <w:t xml:space="preserve"> marked with the appropriate medical lithium battery mark, as</w:t>
      </w:r>
      <w:r w:rsidR="00BA2904" w:rsidRPr="00F128EA">
        <w:t xml:space="preserve"> </w:t>
      </w:r>
      <w:r w:rsidRPr="00F128EA">
        <w:t>illustrated at 5.X.X.X;</w:t>
      </w:r>
      <w:r w:rsidR="00127246" w:rsidRPr="00F128EA">
        <w:t xml:space="preserve"> and</w:t>
      </w:r>
    </w:p>
    <w:p w:rsidR="00EF7190" w:rsidRPr="00F128EA" w:rsidRDefault="00127246" w:rsidP="00815C5A">
      <w:pPr>
        <w:pStyle w:val="SingleTxtG"/>
        <w:ind w:left="1701"/>
      </w:pPr>
      <w:r w:rsidRPr="00F128EA">
        <w:t>(f</w:t>
      </w:r>
      <w:r w:rsidR="00EF7190" w:rsidRPr="00F128EA">
        <w:t xml:space="preserve">) </w:t>
      </w:r>
      <w:r w:rsidR="00F128EA">
        <w:tab/>
        <w:t>E</w:t>
      </w:r>
      <w:r w:rsidR="00EF7190" w:rsidRPr="00F128EA">
        <w:t xml:space="preserve">ach package </w:t>
      </w:r>
      <w:r w:rsidR="00623015">
        <w:t>is</w:t>
      </w:r>
      <w:r w:rsidR="00EF7190" w:rsidRPr="00F128EA">
        <w:t xml:space="preserve"> capable of</w:t>
      </w:r>
      <w:r w:rsidR="00AC03C3" w:rsidRPr="00F128EA">
        <w:t xml:space="preserve"> </w:t>
      </w:r>
      <w:r w:rsidR="00EF7190" w:rsidRPr="00F128EA">
        <w:t xml:space="preserve">withstanding a 1.2 m drop test in any orientation without damage to </w:t>
      </w:r>
      <w:r w:rsidRPr="00F128EA">
        <w:t xml:space="preserve">the medical </w:t>
      </w:r>
      <w:r w:rsidR="00EF7190" w:rsidRPr="00F128EA">
        <w:t>cells or</w:t>
      </w:r>
      <w:r w:rsidR="00AC03C3" w:rsidRPr="00F128EA">
        <w:t xml:space="preserve"> </w:t>
      </w:r>
      <w:r w:rsidR="00EF7190" w:rsidRPr="00F128EA">
        <w:t>batteries contained therein, without shifting of the contents so as to allow battery to</w:t>
      </w:r>
      <w:r w:rsidR="00BA2904" w:rsidRPr="00F128EA">
        <w:t xml:space="preserve"> </w:t>
      </w:r>
      <w:r w:rsidR="00EF7190" w:rsidRPr="00F128EA">
        <w:t xml:space="preserve">battery (or cell to cell) contact and </w:t>
      </w:r>
      <w:r w:rsidRPr="00F128EA">
        <w:t>without release of contents.</w:t>
      </w:r>
    </w:p>
    <w:p w:rsidR="00127246" w:rsidRPr="00F128EA" w:rsidRDefault="00EF7190" w:rsidP="00815C5A">
      <w:pPr>
        <w:pStyle w:val="SingleTxtG"/>
        <w:ind w:left="1701"/>
      </w:pPr>
      <w:r w:rsidRPr="00F128EA">
        <w:t>As used above and elsewhere in these Regulations, “lithium content” means the mass of</w:t>
      </w:r>
      <w:r w:rsidR="00BA2904" w:rsidRPr="00F128EA">
        <w:t xml:space="preserve"> </w:t>
      </w:r>
      <w:r w:rsidRPr="00F128EA">
        <w:t>lithium in the anode of a lithium metal or lithium alloy cell.</w:t>
      </w:r>
    </w:p>
    <w:p w:rsidR="00AC03C3" w:rsidRPr="00815C5A" w:rsidRDefault="00EF7190" w:rsidP="00815C5A">
      <w:pPr>
        <w:pStyle w:val="SingleTxtG"/>
        <w:ind w:left="1701"/>
      </w:pPr>
      <w:r w:rsidRPr="00F128EA">
        <w:t>A single cell battery as defined in Part III, sub-section 38.3.2.3 of the Manual of Tests and</w:t>
      </w:r>
      <w:r w:rsidR="00BA2904" w:rsidRPr="00F128EA">
        <w:t xml:space="preserve"> </w:t>
      </w:r>
      <w:r w:rsidRPr="00F128EA">
        <w:t>Criteria is considered a “cell” and shall be transported according to the requirements for</w:t>
      </w:r>
      <w:r w:rsidR="00BA2904" w:rsidRPr="00F128EA">
        <w:t xml:space="preserve"> </w:t>
      </w:r>
      <w:r w:rsidRPr="00F128EA">
        <w:t>“cells” for the pu</w:t>
      </w:r>
      <w:r w:rsidR="00815C5A">
        <w:t>rpose of this special provision.</w:t>
      </w:r>
    </w:p>
    <w:p w:rsidR="00815C5A" w:rsidRDefault="00815C5A">
      <w:pPr>
        <w:suppressAutoHyphens w:val="0"/>
        <w:spacing w:line="240" w:lineRule="auto"/>
      </w:pPr>
      <w:r>
        <w:br w:type="page"/>
      </w:r>
    </w:p>
    <w:p w:rsidR="006269B2" w:rsidRPr="00F128EA" w:rsidRDefault="003639EB" w:rsidP="00815C5A">
      <w:pPr>
        <w:pStyle w:val="SingleTxtG"/>
      </w:pPr>
      <w:r>
        <w:lastRenderedPageBreak/>
        <w:t>10</w:t>
      </w:r>
      <w:r w:rsidR="00815C5A">
        <w:t>.</w:t>
      </w:r>
      <w:r w:rsidR="00815C5A">
        <w:tab/>
      </w:r>
      <w:r w:rsidR="002112AD" w:rsidRPr="00F128EA">
        <w:t>In 4.1.4.1 add the following new packing instructions:</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6269B2" w:rsidRPr="00815C5A" w:rsidTr="006269B2">
        <w:tc>
          <w:tcPr>
            <w:tcW w:w="9100" w:type="dxa"/>
            <w:tcBorders>
              <w:top w:val="single" w:sz="4" w:space="0" w:color="auto"/>
              <w:left w:val="single" w:sz="4" w:space="0" w:color="auto"/>
              <w:bottom w:val="single" w:sz="4" w:space="0" w:color="auto"/>
              <w:right w:val="single" w:sz="4" w:space="0" w:color="auto"/>
            </w:tcBorders>
            <w:hideMark/>
          </w:tcPr>
          <w:p w:rsidR="006269B2" w:rsidRPr="00815C5A" w:rsidRDefault="006269B2">
            <w:pPr>
              <w:autoSpaceDE w:val="0"/>
              <w:autoSpaceDN w:val="0"/>
              <w:adjustRightInd w:val="0"/>
              <w:spacing w:before="40" w:after="40"/>
              <w:jc w:val="center"/>
              <w:rPr>
                <w:b/>
              </w:rPr>
            </w:pPr>
            <w:r w:rsidRPr="00815C5A">
              <w:rPr>
                <w:b/>
              </w:rPr>
              <w:t>P9XX                                                  PACKING INSTRUCTION                                          P9XX</w:t>
            </w:r>
          </w:p>
        </w:tc>
      </w:tr>
      <w:tr w:rsidR="006269B2" w:rsidRPr="00815C5A" w:rsidTr="006269B2">
        <w:tc>
          <w:tcPr>
            <w:tcW w:w="9100" w:type="dxa"/>
            <w:tcBorders>
              <w:top w:val="single" w:sz="4" w:space="0" w:color="auto"/>
              <w:left w:val="single" w:sz="4" w:space="0" w:color="auto"/>
              <w:bottom w:val="single" w:sz="4" w:space="0" w:color="auto"/>
              <w:right w:val="single" w:sz="4" w:space="0" w:color="auto"/>
            </w:tcBorders>
            <w:hideMark/>
          </w:tcPr>
          <w:p w:rsidR="006269B2" w:rsidRPr="00815C5A" w:rsidRDefault="006269B2" w:rsidP="006269B2">
            <w:pPr>
              <w:autoSpaceDE w:val="0"/>
              <w:autoSpaceDN w:val="0"/>
              <w:adjustRightInd w:val="0"/>
              <w:spacing w:before="40" w:after="40"/>
            </w:pPr>
            <w:r w:rsidRPr="00815C5A">
              <w:t>This instruction applies to UN Nos. 35AA, 35BB, 35CC and 35DD</w:t>
            </w:r>
          </w:p>
        </w:tc>
      </w:tr>
      <w:tr w:rsidR="006269B2" w:rsidRPr="00815C5A" w:rsidTr="006269B2">
        <w:tc>
          <w:tcPr>
            <w:tcW w:w="9100" w:type="dxa"/>
            <w:tcBorders>
              <w:top w:val="single" w:sz="4" w:space="0" w:color="auto"/>
              <w:left w:val="single" w:sz="4" w:space="0" w:color="auto"/>
              <w:bottom w:val="single" w:sz="4" w:space="0" w:color="auto"/>
              <w:right w:val="single" w:sz="4" w:space="0" w:color="auto"/>
            </w:tcBorders>
          </w:tcPr>
          <w:p w:rsidR="006269B2" w:rsidRPr="00815C5A" w:rsidRDefault="006269B2">
            <w:pPr>
              <w:autoSpaceDE w:val="0"/>
              <w:autoSpaceDN w:val="0"/>
              <w:adjustRightInd w:val="0"/>
              <w:spacing w:before="40" w:after="40"/>
            </w:pPr>
            <w:r w:rsidRPr="00815C5A">
              <w:t>The following packagings are authorized for lithium ion and metal cells and batteries used in medical devices including those contained in equipment, provided the general provisions of 4.1.1 and 4.1.3 are met:</w:t>
            </w:r>
          </w:p>
          <w:p w:rsidR="006269B2" w:rsidRPr="00815C5A" w:rsidRDefault="006269B2">
            <w:pPr>
              <w:autoSpaceDE w:val="0"/>
              <w:autoSpaceDN w:val="0"/>
              <w:adjustRightInd w:val="0"/>
              <w:spacing w:before="40" w:after="40"/>
            </w:pPr>
          </w:p>
          <w:p w:rsidR="006269B2" w:rsidRPr="00815C5A" w:rsidRDefault="006269B2">
            <w:pPr>
              <w:autoSpaceDE w:val="0"/>
              <w:autoSpaceDN w:val="0"/>
              <w:adjustRightInd w:val="0"/>
              <w:spacing w:before="40" w:after="40"/>
              <w:rPr>
                <w:bCs/>
              </w:rPr>
            </w:pPr>
            <w:r w:rsidRPr="00815C5A">
              <w:rPr>
                <w:bCs/>
              </w:rPr>
              <w:t xml:space="preserve">For cells and batteries and equipment containing cells and batteries: </w:t>
            </w:r>
          </w:p>
          <w:p w:rsidR="006269B2" w:rsidRPr="00815C5A" w:rsidRDefault="006269B2">
            <w:pPr>
              <w:keepNext/>
              <w:tabs>
                <w:tab w:val="left" w:pos="566"/>
              </w:tabs>
              <w:spacing w:before="40" w:after="40"/>
            </w:pPr>
            <w:r w:rsidRPr="00815C5A">
              <w:rPr>
                <w:b/>
                <w:bCs/>
              </w:rPr>
              <w:tab/>
            </w:r>
            <w:r w:rsidRPr="00815C5A">
              <w:rPr>
                <w:b/>
                <w:bCs/>
              </w:rPr>
              <w:tab/>
            </w:r>
            <w:r w:rsidRPr="00815C5A">
              <w:t xml:space="preserve">Drums (1A2, 1B2, 1N2, 1H2, 1D, 1G); </w:t>
            </w:r>
          </w:p>
          <w:p w:rsidR="006269B2" w:rsidRPr="00815C5A" w:rsidRDefault="006269B2">
            <w:pPr>
              <w:keepNext/>
              <w:tabs>
                <w:tab w:val="left" w:pos="566"/>
              </w:tabs>
              <w:spacing w:before="40" w:after="40"/>
            </w:pPr>
            <w:r w:rsidRPr="00815C5A">
              <w:tab/>
            </w:r>
            <w:r w:rsidRPr="00815C5A">
              <w:tab/>
            </w:r>
            <w:r w:rsidRPr="00815C5A">
              <w:rPr>
                <w:color w:val="000000"/>
              </w:rPr>
              <w:t>Boxes</w:t>
            </w:r>
            <w:r w:rsidRPr="00815C5A">
              <w:t xml:space="preserve"> (4A, 4B, 4N, 4C1, 4C2, 4D, 4F, 4G, 4H1, 4H2);</w:t>
            </w:r>
          </w:p>
          <w:p w:rsidR="006269B2" w:rsidRPr="00815C5A" w:rsidRDefault="006269B2">
            <w:pPr>
              <w:keepNext/>
              <w:tabs>
                <w:tab w:val="left" w:pos="566"/>
              </w:tabs>
              <w:spacing w:before="40" w:after="40"/>
            </w:pPr>
            <w:r w:rsidRPr="00815C5A">
              <w:tab/>
            </w:r>
            <w:r w:rsidRPr="00815C5A">
              <w:tab/>
            </w:r>
            <w:r w:rsidRPr="00815C5A">
              <w:rPr>
                <w:color w:val="000000"/>
              </w:rPr>
              <w:t>Jerricans</w:t>
            </w:r>
            <w:r w:rsidRPr="00815C5A">
              <w:t xml:space="preserve"> (3A2, 3B2, 3H2).</w:t>
            </w:r>
          </w:p>
          <w:p w:rsidR="006269B2" w:rsidRPr="00815C5A" w:rsidRDefault="006269B2">
            <w:pPr>
              <w:keepNext/>
              <w:tabs>
                <w:tab w:val="left" w:pos="566"/>
              </w:tabs>
              <w:spacing w:before="40" w:after="40"/>
              <w:ind w:hanging="35"/>
            </w:pPr>
          </w:p>
          <w:p w:rsidR="00EB2312" w:rsidRPr="00815C5A" w:rsidRDefault="006269B2" w:rsidP="00EB2312">
            <w:pPr>
              <w:autoSpaceDE w:val="0"/>
              <w:autoSpaceDN w:val="0"/>
              <w:adjustRightInd w:val="0"/>
            </w:pPr>
            <w:r w:rsidRPr="00815C5A">
              <w:t xml:space="preserve">Each cell, battery or equipment shall be individually packed in an inner packaging </w:t>
            </w:r>
            <w:r w:rsidR="00BE5864" w:rsidRPr="00815C5A">
              <w:t xml:space="preserve">or encapsulating tray </w:t>
            </w:r>
            <w:r w:rsidRPr="00815C5A">
              <w:t>inside an outer packaging.</w:t>
            </w:r>
            <w:r w:rsidR="00127246" w:rsidRPr="00815C5A">
              <w:t xml:space="preserve">  </w:t>
            </w:r>
          </w:p>
          <w:p w:rsidR="00EB2312" w:rsidRPr="00815C5A" w:rsidRDefault="00EB2312" w:rsidP="00EB2312">
            <w:pPr>
              <w:autoSpaceDE w:val="0"/>
              <w:autoSpaceDN w:val="0"/>
              <w:adjustRightInd w:val="0"/>
            </w:pPr>
          </w:p>
          <w:p w:rsidR="00EB2312" w:rsidRPr="00815C5A" w:rsidRDefault="006269B2" w:rsidP="00815C5A">
            <w:pPr>
              <w:autoSpaceDE w:val="0"/>
              <w:autoSpaceDN w:val="0"/>
              <w:adjustRightInd w:val="0"/>
              <w:spacing w:after="120"/>
              <w:rPr>
                <w:color w:val="1A1A1A"/>
              </w:rPr>
            </w:pPr>
            <w:r w:rsidRPr="00815C5A">
              <w:rPr>
                <w:color w:val="000000"/>
              </w:rPr>
              <w:t>Packagings shall conform to the packing group II performance level.</w:t>
            </w:r>
            <w:r w:rsidR="00EB2312" w:rsidRPr="00815C5A">
              <w:rPr>
                <w:color w:val="000000"/>
              </w:rPr>
              <w:t xml:space="preserve">  </w:t>
            </w:r>
            <w:r w:rsidR="00EB2312" w:rsidRPr="00815C5A">
              <w:rPr>
                <w:color w:val="1A1A1A"/>
              </w:rPr>
              <w:t xml:space="preserve">In addition the inner packaging </w:t>
            </w:r>
            <w:r w:rsidR="00FD105B" w:rsidRPr="00815C5A">
              <w:rPr>
                <w:color w:val="1A1A1A"/>
              </w:rPr>
              <w:t xml:space="preserve">shall be </w:t>
            </w:r>
            <w:r w:rsidR="00EB2312" w:rsidRPr="00815C5A">
              <w:rPr>
                <w:color w:val="1A1A1A"/>
              </w:rPr>
              <w:t xml:space="preserve">capable of withstanding a </w:t>
            </w:r>
            <w:r w:rsidR="00EB2312" w:rsidRPr="00815C5A">
              <w:t xml:space="preserve">1.2 </w:t>
            </w:r>
            <w:r w:rsidR="00EB2312" w:rsidRPr="00815C5A">
              <w:rPr>
                <w:color w:val="1A1A1A"/>
              </w:rPr>
              <w:t>m drop test in any orientation without:</w:t>
            </w:r>
          </w:p>
          <w:p w:rsidR="00EB2312" w:rsidRPr="00815C5A" w:rsidRDefault="00815C5A" w:rsidP="00815C5A">
            <w:pPr>
              <w:pStyle w:val="Bullet1G"/>
              <w:tabs>
                <w:tab w:val="clear" w:pos="1701"/>
              </w:tabs>
              <w:ind w:left="585" w:firstLine="0"/>
            </w:pPr>
            <w:r>
              <w:t>D</w:t>
            </w:r>
            <w:r w:rsidR="00EB2312" w:rsidRPr="00815C5A">
              <w:t>amage to cells or batteries contained therein;</w:t>
            </w:r>
          </w:p>
          <w:p w:rsidR="00EB2312" w:rsidRPr="00815C5A" w:rsidRDefault="00815C5A" w:rsidP="00815C5A">
            <w:pPr>
              <w:pStyle w:val="Bullet1G"/>
              <w:tabs>
                <w:tab w:val="clear" w:pos="1701"/>
              </w:tabs>
              <w:ind w:left="585" w:firstLine="0"/>
            </w:pPr>
            <w:r>
              <w:t>S</w:t>
            </w:r>
            <w:r w:rsidR="00EB2312" w:rsidRPr="00815C5A">
              <w:t>hifting of the contents so as to allow battery to battery</w:t>
            </w:r>
            <w:r w:rsidR="00690ECD" w:rsidRPr="00815C5A">
              <w:t xml:space="preserve"> </w:t>
            </w:r>
            <w:r w:rsidR="00EB2312" w:rsidRPr="00815C5A">
              <w:t>or cell to cell</w:t>
            </w:r>
            <w:r w:rsidR="0028579A" w:rsidRPr="00815C5A">
              <w:t xml:space="preserve"> contact; and</w:t>
            </w:r>
          </w:p>
          <w:p w:rsidR="0028579A" w:rsidRPr="00815C5A" w:rsidRDefault="00815C5A" w:rsidP="00815C5A">
            <w:pPr>
              <w:pStyle w:val="Bullet1G"/>
              <w:tabs>
                <w:tab w:val="clear" w:pos="1701"/>
              </w:tabs>
              <w:ind w:left="585" w:firstLine="0"/>
            </w:pPr>
            <w:r>
              <w:t>R</w:t>
            </w:r>
            <w:r w:rsidR="0028579A" w:rsidRPr="00815C5A">
              <w:t>elease of the cells or batteries from the inner packaging.</w:t>
            </w:r>
          </w:p>
          <w:p w:rsidR="0028579A" w:rsidRPr="00815C5A" w:rsidRDefault="00A0011E" w:rsidP="00AC0FDB">
            <w:pPr>
              <w:suppressAutoHyphens w:val="0"/>
              <w:spacing w:after="120" w:line="240" w:lineRule="auto"/>
            </w:pPr>
            <w:r w:rsidRPr="00815C5A">
              <w:t xml:space="preserve">Cells and batteries </w:t>
            </w:r>
            <w:r w:rsidR="00623015">
              <w:t>shall</w:t>
            </w:r>
            <w:r w:rsidRPr="00815C5A">
              <w:t xml:space="preserve"> be protected so as to prevent fire propagation</w:t>
            </w:r>
            <w:r w:rsidR="0028579A" w:rsidRPr="00815C5A">
              <w:t xml:space="preserve"> in the event that a single cell or battery would experience a thermal event</w:t>
            </w:r>
            <w:r w:rsidRPr="00815C5A">
              <w:t>.</w:t>
            </w:r>
            <w:r w:rsidR="00E31D49" w:rsidRPr="00815C5A">
              <w:t xml:space="preserve">  This shall be achieved using </w:t>
            </w:r>
            <w:r w:rsidR="00EB2312" w:rsidRPr="00815C5A">
              <w:t>trays</w:t>
            </w:r>
            <w:r w:rsidR="0028579A" w:rsidRPr="00815C5A">
              <w:t>,</w:t>
            </w:r>
            <w:r w:rsidR="00EB2312" w:rsidRPr="00815C5A">
              <w:t xml:space="preserve"> dividers</w:t>
            </w:r>
            <w:r w:rsidR="0028579A" w:rsidRPr="00815C5A">
              <w:t>, appropriate separation distances</w:t>
            </w:r>
            <w:r w:rsidR="00EB2312" w:rsidRPr="00815C5A">
              <w:t xml:space="preserve"> or by limiting the quantity of cells or batteries within a packaging.</w:t>
            </w:r>
            <w:r w:rsidR="00AC0FDB" w:rsidRPr="00815C5A">
              <w:t xml:space="preserve"> </w:t>
            </w:r>
          </w:p>
          <w:p w:rsidR="00BA5365" w:rsidRPr="00815C5A" w:rsidRDefault="006269B2" w:rsidP="00EB2312">
            <w:pPr>
              <w:autoSpaceDE w:val="0"/>
              <w:autoSpaceDN w:val="0"/>
              <w:adjustRightInd w:val="0"/>
              <w:spacing w:before="40" w:after="120"/>
            </w:pPr>
            <w:r w:rsidRPr="00815C5A">
              <w:t>Appropriate measures shall be taken to prevent excessive movement of the cells or batteries within the packaging that may lead to venting or rupture of the cells or batteries during transport.</w:t>
            </w:r>
            <w:r w:rsidR="00E72B20" w:rsidRPr="00815C5A">
              <w:t xml:space="preserve"> </w:t>
            </w:r>
          </w:p>
          <w:p w:rsidR="00EB2312" w:rsidRPr="00815C5A" w:rsidRDefault="00BE5864" w:rsidP="00EB2312">
            <w:pPr>
              <w:autoSpaceDE w:val="0"/>
              <w:autoSpaceDN w:val="0"/>
              <w:adjustRightInd w:val="0"/>
              <w:spacing w:before="40" w:after="120"/>
            </w:pPr>
            <w:r w:rsidRPr="00815C5A">
              <w:t>The packaging shall meet the requirements of ISO 11607</w:t>
            </w:r>
            <w:r w:rsidR="00F936AF" w:rsidRPr="00815C5A">
              <w:t xml:space="preserve"> Packaging for terminally sterilized medical devices — Part 1: Requirements for materials, sterile barrier systems and packaging systems</w:t>
            </w:r>
            <w:r w:rsidRPr="00815C5A">
              <w:t>.</w:t>
            </w:r>
          </w:p>
          <w:p w:rsidR="00A0011E" w:rsidRPr="00815C5A" w:rsidRDefault="00A0011E" w:rsidP="00623015">
            <w:pPr>
              <w:suppressAutoHyphens w:val="0"/>
              <w:spacing w:line="240" w:lineRule="auto"/>
              <w:rPr>
                <w:rFonts w:ascii="Arial" w:hAnsi="Arial" w:cs="Arial"/>
                <w:color w:val="1A1A1A"/>
              </w:rPr>
            </w:pPr>
            <w:r w:rsidRPr="00815C5A">
              <w:rPr>
                <w:color w:val="1A1A1A"/>
              </w:rPr>
              <w:t xml:space="preserve">Each </w:t>
            </w:r>
            <w:r w:rsidR="00623015">
              <w:rPr>
                <w:color w:val="1A1A1A"/>
              </w:rPr>
              <w:t xml:space="preserve">package shall </w:t>
            </w:r>
            <w:proofErr w:type="gramStart"/>
            <w:r w:rsidR="00623015">
              <w:rPr>
                <w:color w:val="1A1A1A"/>
              </w:rPr>
              <w:t>marked</w:t>
            </w:r>
            <w:proofErr w:type="gramEnd"/>
            <w:r w:rsidRPr="00815C5A">
              <w:rPr>
                <w:color w:val="1A1A1A"/>
              </w:rPr>
              <w:t xml:space="preserve"> with</w:t>
            </w:r>
            <w:r w:rsidR="00E31D49" w:rsidRPr="00815C5A">
              <w:rPr>
                <w:color w:val="1A1A1A"/>
              </w:rPr>
              <w:t xml:space="preserve"> </w:t>
            </w:r>
            <w:r w:rsidR="00AC03C3" w:rsidRPr="00815C5A">
              <w:t>the medical lithium battery mark, as</w:t>
            </w:r>
            <w:r w:rsidR="00B36775" w:rsidRPr="00815C5A">
              <w:t xml:space="preserve"> </w:t>
            </w:r>
            <w:r w:rsidR="00AC03C3" w:rsidRPr="00815C5A">
              <w:t>illustrated at 5.</w:t>
            </w:r>
            <w:r w:rsidR="00BA5365" w:rsidRPr="00815C5A">
              <w:t>2.6.</w:t>
            </w:r>
          </w:p>
        </w:tc>
      </w:tr>
    </w:tbl>
    <w:p w:rsidR="00AC03C3" w:rsidRPr="00F128EA" w:rsidRDefault="003639EB" w:rsidP="00815C5A">
      <w:pPr>
        <w:pStyle w:val="SingleTxtG"/>
        <w:spacing w:before="240"/>
      </w:pPr>
      <w:r>
        <w:t>11</w:t>
      </w:r>
      <w:r w:rsidR="00815C5A">
        <w:t>.</w:t>
      </w:r>
      <w:r w:rsidR="00815C5A">
        <w:tab/>
      </w:r>
      <w:r w:rsidR="00AC03C3" w:rsidRPr="00F128EA">
        <w:t>Insert a new paragraph 5.2.1.10:</w:t>
      </w:r>
    </w:p>
    <w:p w:rsidR="00AC03C3" w:rsidRPr="00F128EA" w:rsidRDefault="00815C5A" w:rsidP="00815C5A">
      <w:pPr>
        <w:pStyle w:val="H23G"/>
        <w:ind w:firstLine="0"/>
      </w:pPr>
      <w:r>
        <w:tab/>
      </w:r>
      <w:r w:rsidR="00AC03C3" w:rsidRPr="00F128EA">
        <w:t>5.2.1.10</w:t>
      </w:r>
      <w:r w:rsidR="00AC03C3" w:rsidRPr="00F128EA">
        <w:tab/>
        <w:t>Medical device lithium battery mark</w:t>
      </w:r>
    </w:p>
    <w:p w:rsidR="00B9644A" w:rsidRPr="00F128EA" w:rsidRDefault="00AC03C3" w:rsidP="00815C5A">
      <w:pPr>
        <w:pStyle w:val="SingleTxtG"/>
        <w:ind w:left="1701"/>
      </w:pPr>
      <w:r w:rsidRPr="00F128EA">
        <w:t>5.2.1.10.1 Packages containing medical device cells or batteries that meet special provision XXX</w:t>
      </w:r>
      <w:r w:rsidR="00BA5365" w:rsidRPr="00F128EA">
        <w:t xml:space="preserve"> </w:t>
      </w:r>
      <w:r w:rsidRPr="00F128EA">
        <w:t>shall be marked as shown in 5.2.6.</w:t>
      </w:r>
    </w:p>
    <w:p w:rsidR="00B9644A" w:rsidRPr="00F128EA" w:rsidRDefault="00AC03C3" w:rsidP="00815C5A">
      <w:pPr>
        <w:pStyle w:val="SingleTxtG"/>
        <w:ind w:left="1701"/>
      </w:pPr>
      <w:r w:rsidRPr="00F128EA">
        <w:t>5.2.1.10.2 The mark shall indicate the UN number, preceded by the letters “UN”, i.e. “UN 35XX” for lithium metal cells or batteries or “UN 35XX” for lithium ion cells or batteries.  Where the lithium cells or</w:t>
      </w:r>
      <w:r w:rsidR="00B9644A" w:rsidRPr="00F128EA">
        <w:t xml:space="preserve"> </w:t>
      </w:r>
      <w:r w:rsidRPr="00F128EA">
        <w:t>batteries are contained in, or packed with, equipment, the UN number, preceded by the letters “UN”, i.e.</w:t>
      </w:r>
      <w:r w:rsidR="00B9644A" w:rsidRPr="00F128EA">
        <w:t xml:space="preserve"> </w:t>
      </w:r>
      <w:r w:rsidRPr="00F128EA">
        <w:t>“UN 3091” or “UN 3481” as appropriate shall be indicated. Where a package contains lithium cells or</w:t>
      </w:r>
      <w:r w:rsidR="00B9644A" w:rsidRPr="00F128EA">
        <w:t xml:space="preserve"> </w:t>
      </w:r>
      <w:r w:rsidRPr="00F128EA">
        <w:t>batteries assigned to different UN numbers, all applicable UN numbers shall be indicated on one or more</w:t>
      </w:r>
      <w:r w:rsidR="00B9644A" w:rsidRPr="00F128EA">
        <w:t xml:space="preserve"> </w:t>
      </w:r>
      <w:r w:rsidRPr="00F128EA">
        <w:t>marks.</w:t>
      </w:r>
    </w:p>
    <w:p w:rsidR="00B9644A" w:rsidRPr="00F128EA" w:rsidRDefault="00B9644A" w:rsidP="00AC03C3">
      <w:pPr>
        <w:suppressAutoHyphens w:val="0"/>
        <w:spacing w:line="240" w:lineRule="auto"/>
      </w:pPr>
    </w:p>
    <w:p w:rsidR="00815C5A" w:rsidRDefault="00815C5A">
      <w:pPr>
        <w:suppressAutoHyphens w:val="0"/>
        <w:spacing w:line="240" w:lineRule="auto"/>
        <w:rPr>
          <w:b/>
        </w:rPr>
      </w:pPr>
      <w:r>
        <w:rPr>
          <w:b/>
        </w:rPr>
        <w:br w:type="page"/>
      </w:r>
    </w:p>
    <w:p w:rsidR="00B9644A" w:rsidRPr="00F128EA" w:rsidRDefault="00B9644A" w:rsidP="00815C5A">
      <w:pPr>
        <w:suppressAutoHyphens w:val="0"/>
        <w:spacing w:after="120" w:line="240" w:lineRule="auto"/>
        <w:jc w:val="center"/>
        <w:rPr>
          <w:b/>
        </w:rPr>
      </w:pPr>
      <w:r w:rsidRPr="00F128EA">
        <w:rPr>
          <w:b/>
        </w:rPr>
        <w:lastRenderedPageBreak/>
        <w:t>Figure 5.2.6</w:t>
      </w:r>
    </w:p>
    <w:p w:rsidR="00127246" w:rsidRPr="00F128EA" w:rsidRDefault="00127246" w:rsidP="00127246">
      <w:pPr>
        <w:suppressAutoHyphens w:val="0"/>
        <w:spacing w:line="240" w:lineRule="auto"/>
        <w:jc w:val="center"/>
        <w:rPr>
          <w:b/>
        </w:rPr>
      </w:pPr>
      <w:r w:rsidRPr="00F128EA">
        <w:rPr>
          <w:rFonts w:ascii="Arial" w:hAnsi="Arial" w:cs="Arial"/>
          <w:noProof/>
          <w:color w:val="1A1A1A"/>
          <w:sz w:val="22"/>
          <w:szCs w:val="22"/>
          <w:lang w:eastAsia="en-GB"/>
        </w:rPr>
        <w:drawing>
          <wp:inline distT="0" distB="0" distL="0" distR="0" wp14:anchorId="1A7C60A8" wp14:editId="3094D0B1">
            <wp:extent cx="1855966" cy="1798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955" cy="1800582"/>
                    </a:xfrm>
                    <a:prstGeom prst="rect">
                      <a:avLst/>
                    </a:prstGeom>
                    <a:noFill/>
                    <a:ln>
                      <a:noFill/>
                    </a:ln>
                  </pic:spPr>
                </pic:pic>
              </a:graphicData>
            </a:graphic>
          </wp:inline>
        </w:drawing>
      </w:r>
    </w:p>
    <w:p w:rsidR="00127246" w:rsidRPr="00F128EA" w:rsidRDefault="00127246" w:rsidP="00127246">
      <w:pPr>
        <w:suppressAutoHyphens w:val="0"/>
        <w:spacing w:line="240" w:lineRule="auto"/>
        <w:jc w:val="center"/>
      </w:pPr>
      <w:r w:rsidRPr="00F128EA">
        <w:t>Lithium battery mark</w:t>
      </w:r>
    </w:p>
    <w:p w:rsidR="00127246" w:rsidRPr="00F128EA" w:rsidRDefault="00127246" w:rsidP="00815C5A">
      <w:pPr>
        <w:pStyle w:val="SingleTxtG"/>
        <w:spacing w:before="240"/>
      </w:pPr>
      <w:r w:rsidRPr="00F128EA">
        <w:t xml:space="preserve">* </w:t>
      </w:r>
      <w:r w:rsidR="00815C5A">
        <w:tab/>
      </w:r>
      <w:r w:rsidRPr="00F128EA">
        <w:t xml:space="preserve">Place for UN number(s) </w:t>
      </w:r>
    </w:p>
    <w:p w:rsidR="00127246" w:rsidRPr="00F128EA" w:rsidRDefault="00127246" w:rsidP="00815C5A">
      <w:pPr>
        <w:pStyle w:val="SingleTxtG"/>
      </w:pPr>
      <w:r w:rsidRPr="00F128EA">
        <w:t xml:space="preserve">** </w:t>
      </w:r>
      <w:r w:rsidR="00815C5A">
        <w:tab/>
      </w:r>
      <w:r w:rsidRPr="00F128EA">
        <w:t xml:space="preserve">Place for telephone number for additional information </w:t>
      </w:r>
    </w:p>
    <w:p w:rsidR="00815C5A" w:rsidRDefault="00127246" w:rsidP="00815C5A">
      <w:pPr>
        <w:pStyle w:val="SingleTxtG"/>
      </w:pPr>
      <w:r w:rsidRPr="00F128EA">
        <w:t>The mark shall be in the form of a rectangle with a red or black line at the edges that is at least 2mm. The dimensions shall be a minimum of 120 mm wide x 110 mm high. The symbol shall be black on a contrasting background. If the size of the package so requires, the dimensions/line thickness may be reduced to not less than 105 mm wide x 74 mm high. Where dimensions are not specified, all features shall be in approximate proportion to those shown.”</w:t>
      </w:r>
    </w:p>
    <w:p w:rsidR="00815C5A" w:rsidRDefault="00815C5A" w:rsidP="00815C5A">
      <w:pPr>
        <w:pStyle w:val="SingleTxtG"/>
      </w:pPr>
    </w:p>
    <w:p w:rsidR="00815C5A" w:rsidRDefault="00815C5A" w:rsidP="00815C5A">
      <w:pPr>
        <w:pStyle w:val="SingleTxtG"/>
      </w:pPr>
    </w:p>
    <w:p w:rsidR="00F4055B" w:rsidRPr="00F128EA" w:rsidRDefault="00F4055B" w:rsidP="00815C5A">
      <w:pPr>
        <w:pStyle w:val="SingleTxtG"/>
        <w:rPr>
          <w:b/>
        </w:rPr>
      </w:pPr>
      <w:r w:rsidRPr="00F128EA">
        <w:rPr>
          <w:b/>
        </w:rPr>
        <w:br w:type="page"/>
      </w:r>
    </w:p>
    <w:p w:rsidR="00FD105B" w:rsidRPr="00F128EA" w:rsidRDefault="00FD105B" w:rsidP="00815C5A">
      <w:pPr>
        <w:pStyle w:val="H1G"/>
        <w:rPr>
          <w:rFonts w:asciiTheme="minorHAnsi" w:hAnsiTheme="minorHAnsi"/>
          <w:sz w:val="22"/>
          <w:szCs w:val="22"/>
          <w:lang w:val="en"/>
        </w:rPr>
      </w:pPr>
      <w:r w:rsidRPr="00F128EA">
        <w:rPr>
          <w:lang w:val="en"/>
        </w:rPr>
        <w:lastRenderedPageBreak/>
        <w:t>Summary of ISO Standards referenced in this paper:</w:t>
      </w:r>
    </w:p>
    <w:p w:rsidR="00FD105B" w:rsidRPr="00F128EA" w:rsidRDefault="00FD43DE" w:rsidP="00815C5A">
      <w:pPr>
        <w:pStyle w:val="SingleTxtG"/>
        <w:rPr>
          <w:lang w:val="en"/>
        </w:rPr>
      </w:pPr>
      <w:proofErr w:type="gramStart"/>
      <w:r w:rsidRPr="00F128EA">
        <w:rPr>
          <w:b/>
          <w:lang w:val="en"/>
        </w:rPr>
        <w:t>ISO 13485:2012 Medical devices - Quality management systems - Requirements for regulatory purposes</w:t>
      </w:r>
      <w:r w:rsidR="00FD105B" w:rsidRPr="00F128EA">
        <w:rPr>
          <w:lang w:val="en"/>
        </w:rPr>
        <w:t>.</w:t>
      </w:r>
      <w:proofErr w:type="gramEnd"/>
      <w:r w:rsidR="00FD105B" w:rsidRPr="00F128EA">
        <w:rPr>
          <w:lang w:val="en"/>
        </w:rPr>
        <w:t xml:space="preserve">  This standard is harmonized with the European Medical Devices Directive 93/42/EEC. The standard is a stand-alone document that establishes a certification system for medical device manufacturers to follow.  ISO 13485 requires that the certified organization demonstrate that their quality system is effectively implemented and maintained. </w:t>
      </w:r>
    </w:p>
    <w:p w:rsidR="00FD105B" w:rsidRPr="00F128EA" w:rsidRDefault="00FD105B" w:rsidP="00815C5A">
      <w:pPr>
        <w:pStyle w:val="SingleTxtG"/>
        <w:rPr>
          <w:lang w:val="en"/>
        </w:rPr>
      </w:pPr>
      <w:r w:rsidRPr="00F128EA">
        <w:rPr>
          <w:lang w:val="en"/>
        </w:rPr>
        <w:t xml:space="preserve">Other requirements include: </w:t>
      </w:r>
    </w:p>
    <w:p w:rsidR="00FD105B" w:rsidRPr="00815C5A" w:rsidRDefault="00815C5A" w:rsidP="00815C5A">
      <w:pPr>
        <w:pStyle w:val="SingleTxtG"/>
        <w:numPr>
          <w:ilvl w:val="0"/>
          <w:numId w:val="26"/>
        </w:numPr>
        <w:rPr>
          <w:lang w:val="en"/>
        </w:rPr>
      </w:pPr>
      <w:r w:rsidRPr="00815C5A">
        <w:rPr>
          <w:lang w:val="en"/>
        </w:rPr>
        <w:t>T</w:t>
      </w:r>
      <w:r w:rsidR="00FD105B" w:rsidRPr="00815C5A">
        <w:rPr>
          <w:lang w:val="en"/>
        </w:rPr>
        <w:t xml:space="preserve">he promotion and awareness of regulatory requirements as a management responsibility. Examples of market-specific regulatory requirements include 21 CFR 820, the Quality System Regulation for medical devices sold in the United States, enforced by the U.S. </w:t>
      </w:r>
      <w:hyperlink r:id="rId11" w:tooltip="Food and Drug Administration" w:history="1">
        <w:r w:rsidR="00FD105B" w:rsidRPr="00815C5A">
          <w:rPr>
            <w:rStyle w:val="Hyperlink"/>
            <w:sz w:val="22"/>
            <w:szCs w:val="22"/>
            <w:lang w:val="en"/>
          </w:rPr>
          <w:t>Food and Drug Administration</w:t>
        </w:r>
      </w:hyperlink>
      <w:r w:rsidR="00FD105B" w:rsidRPr="00815C5A">
        <w:rPr>
          <w:lang w:val="en"/>
        </w:rPr>
        <w:t xml:space="preserve"> (FDA), or the </w:t>
      </w:r>
      <w:hyperlink r:id="rId12" w:tooltip="Medical Devices Directive" w:history="1">
        <w:r w:rsidR="00FD105B" w:rsidRPr="00815C5A">
          <w:rPr>
            <w:rStyle w:val="Hyperlink"/>
            <w:sz w:val="22"/>
            <w:szCs w:val="22"/>
            <w:lang w:val="en"/>
          </w:rPr>
          <w:t>Medical Devices Directive</w:t>
        </w:r>
      </w:hyperlink>
      <w:r w:rsidR="00FD105B" w:rsidRPr="00815C5A">
        <w:rPr>
          <w:lang w:val="en"/>
        </w:rPr>
        <w:t xml:space="preserve"> 93/42/EEC, required for doing business in the European Union. The standard promotes safe battery design on the basis of:</w:t>
      </w:r>
    </w:p>
    <w:p w:rsidR="00FD105B" w:rsidRPr="00815C5A" w:rsidRDefault="00815C5A" w:rsidP="00815C5A">
      <w:pPr>
        <w:pStyle w:val="Bullet1G"/>
        <w:rPr>
          <w:lang w:val="en"/>
        </w:rPr>
      </w:pPr>
      <w:r>
        <w:rPr>
          <w:lang w:val="en"/>
        </w:rPr>
        <w:t>C</w:t>
      </w:r>
      <w:r w:rsidR="00FD105B" w:rsidRPr="00815C5A">
        <w:rPr>
          <w:lang w:val="en"/>
        </w:rPr>
        <w:t>ontrols in the work environment to ensure product safety</w:t>
      </w:r>
    </w:p>
    <w:p w:rsidR="00FD105B" w:rsidRPr="00815C5A" w:rsidRDefault="00815C5A" w:rsidP="00815C5A">
      <w:pPr>
        <w:pStyle w:val="Bullet1G"/>
        <w:rPr>
          <w:lang w:val="en"/>
        </w:rPr>
      </w:pPr>
      <w:r>
        <w:rPr>
          <w:lang w:val="en"/>
        </w:rPr>
        <w:t>F</w:t>
      </w:r>
      <w:r w:rsidR="00FD105B" w:rsidRPr="00815C5A">
        <w:rPr>
          <w:lang w:val="en"/>
        </w:rPr>
        <w:t xml:space="preserve">ocus on </w:t>
      </w:r>
      <w:hyperlink r:id="rId13" w:tooltip="Risk management" w:history="1">
        <w:r w:rsidR="00FD105B" w:rsidRPr="00815C5A">
          <w:rPr>
            <w:rStyle w:val="Hyperlink"/>
            <w:lang w:val="en"/>
          </w:rPr>
          <w:t>risk management</w:t>
        </w:r>
      </w:hyperlink>
      <w:r w:rsidR="00FD105B" w:rsidRPr="00815C5A">
        <w:rPr>
          <w:lang w:val="en"/>
        </w:rPr>
        <w:t xml:space="preserve"> activities and </w:t>
      </w:r>
      <w:hyperlink r:id="rId14" w:tooltip="Design controls" w:history="1">
        <w:r w:rsidR="00FD105B" w:rsidRPr="00815C5A">
          <w:rPr>
            <w:rStyle w:val="Hyperlink"/>
            <w:lang w:val="en"/>
          </w:rPr>
          <w:t>design control</w:t>
        </w:r>
      </w:hyperlink>
      <w:r w:rsidR="00FD105B" w:rsidRPr="00815C5A">
        <w:rPr>
          <w:lang w:val="en"/>
        </w:rPr>
        <w:t xml:space="preserve"> activities during product development</w:t>
      </w:r>
    </w:p>
    <w:p w:rsidR="00FD105B" w:rsidRPr="00815C5A" w:rsidRDefault="00815C5A" w:rsidP="00815C5A">
      <w:pPr>
        <w:pStyle w:val="Bullet1G"/>
        <w:rPr>
          <w:lang w:val="en"/>
        </w:rPr>
      </w:pPr>
      <w:r>
        <w:rPr>
          <w:lang w:val="en"/>
        </w:rPr>
        <w:t>S</w:t>
      </w:r>
      <w:r w:rsidR="00FD105B" w:rsidRPr="00815C5A">
        <w:rPr>
          <w:lang w:val="en"/>
        </w:rPr>
        <w:t>pecific requirements for inspection and traceability for implantable devices</w:t>
      </w:r>
    </w:p>
    <w:p w:rsidR="00FD105B" w:rsidRPr="00815C5A" w:rsidRDefault="00815C5A" w:rsidP="00815C5A">
      <w:pPr>
        <w:pStyle w:val="Bullet1G"/>
        <w:rPr>
          <w:lang w:val="en"/>
        </w:rPr>
      </w:pPr>
      <w:r>
        <w:rPr>
          <w:lang w:val="en"/>
        </w:rPr>
        <w:t>S</w:t>
      </w:r>
      <w:r w:rsidR="00FD105B" w:rsidRPr="00815C5A">
        <w:rPr>
          <w:lang w:val="en"/>
        </w:rPr>
        <w:t>pecific requirements for documentation and validation of processes for sterile medical devices</w:t>
      </w:r>
    </w:p>
    <w:p w:rsidR="00FD105B" w:rsidRPr="00815C5A" w:rsidRDefault="00815C5A" w:rsidP="00FD105B">
      <w:pPr>
        <w:pStyle w:val="Bullet1G"/>
        <w:rPr>
          <w:lang w:val="en"/>
        </w:rPr>
      </w:pPr>
      <w:r>
        <w:rPr>
          <w:lang w:val="en"/>
        </w:rPr>
        <w:t>S</w:t>
      </w:r>
      <w:r w:rsidR="00FD105B" w:rsidRPr="00815C5A">
        <w:rPr>
          <w:lang w:val="en"/>
        </w:rPr>
        <w:t xml:space="preserve">pecific requirements for verification of the effectiveness of </w:t>
      </w:r>
      <w:hyperlink r:id="rId15" w:tooltip="Corrective and preventive action" w:history="1">
        <w:r w:rsidR="00FD105B" w:rsidRPr="00815C5A">
          <w:rPr>
            <w:rStyle w:val="Hyperlink"/>
            <w:lang w:val="en"/>
          </w:rPr>
          <w:t>corrective and preventive actions</w:t>
        </w:r>
      </w:hyperlink>
    </w:p>
    <w:p w:rsidR="00F4055B" w:rsidRPr="00815C5A" w:rsidRDefault="00FD105B" w:rsidP="00815C5A">
      <w:pPr>
        <w:pStyle w:val="SingleTxtG"/>
        <w:numPr>
          <w:ilvl w:val="0"/>
          <w:numId w:val="26"/>
        </w:numPr>
        <w:rPr>
          <w:lang w:val="en"/>
        </w:rPr>
      </w:pPr>
      <w:r w:rsidRPr="00815C5A">
        <w:rPr>
          <w:lang w:val="en"/>
        </w:rPr>
        <w:t xml:space="preserve">The conformity of Medical Devices and In-vitro Diagnostic Medical Device according to </w:t>
      </w:r>
      <w:hyperlink r:id="rId16" w:tooltip="Directive (European Union)" w:history="1">
        <w:r w:rsidRPr="00815C5A">
          <w:rPr>
            <w:rStyle w:val="Hyperlink"/>
            <w:lang w:val="en"/>
          </w:rPr>
          <w:t>European Union Directives</w:t>
        </w:r>
      </w:hyperlink>
      <w:r w:rsidRPr="00815C5A">
        <w:rPr>
          <w:lang w:val="en"/>
        </w:rPr>
        <w:t xml:space="preserve"> 93/42/EEC, 90/385/EEC and 98/79/EEC must be assessed before sale is permitted. The preferred method to prove conformity is the certification of the Quality Management System according ISO 9001 and/or ISO 13485 and </w:t>
      </w:r>
      <w:hyperlink r:id="rId17" w:tooltip="ISO 14971" w:history="1">
        <w:r w:rsidRPr="00815C5A">
          <w:rPr>
            <w:rStyle w:val="Hyperlink"/>
            <w:lang w:val="en"/>
          </w:rPr>
          <w:t>ISO 14971</w:t>
        </w:r>
      </w:hyperlink>
      <w:r w:rsidRPr="00815C5A">
        <w:rPr>
          <w:lang w:val="en"/>
        </w:rPr>
        <w:t xml:space="preserve"> by a </w:t>
      </w:r>
      <w:hyperlink r:id="rId18" w:tooltip="Notified Body" w:history="1">
        <w:r w:rsidRPr="00815C5A">
          <w:rPr>
            <w:rStyle w:val="Hyperlink"/>
            <w:lang w:val="en"/>
          </w:rPr>
          <w:t>Notified Body</w:t>
        </w:r>
      </w:hyperlink>
      <w:r w:rsidRPr="00815C5A">
        <w:rPr>
          <w:lang w:val="en"/>
        </w:rPr>
        <w:t xml:space="preserve">. The result of a positive assessment is the certificate of conformity allowing the </w:t>
      </w:r>
      <w:hyperlink r:id="rId19" w:tooltip="CE mark" w:history="1">
        <w:r w:rsidRPr="00815C5A">
          <w:rPr>
            <w:rStyle w:val="Hyperlink"/>
            <w:lang w:val="en"/>
          </w:rPr>
          <w:t>CE mark</w:t>
        </w:r>
      </w:hyperlink>
      <w:r w:rsidRPr="00815C5A">
        <w:rPr>
          <w:lang w:val="en"/>
        </w:rPr>
        <w:t xml:space="preserve"> and the permission to sell the medical device in the European Union.</w:t>
      </w:r>
    </w:p>
    <w:p w:rsidR="00DD1029" w:rsidRPr="00F128EA" w:rsidRDefault="009C4ADA" w:rsidP="00815C5A">
      <w:pPr>
        <w:pStyle w:val="SingleTxtG"/>
        <w:rPr>
          <w:lang w:val="en"/>
        </w:rPr>
      </w:pPr>
      <w:r w:rsidRPr="00F128EA">
        <w:rPr>
          <w:b/>
          <w:lang w:val="en"/>
        </w:rPr>
        <w:t>EN ISO 14971:2012</w:t>
      </w:r>
      <w:r w:rsidR="00FD43DE" w:rsidRPr="00F128EA">
        <w:rPr>
          <w:b/>
          <w:lang w:val="en"/>
        </w:rPr>
        <w:t xml:space="preserve"> Medical devices — Application of risk management to medical devices</w:t>
      </w:r>
      <w:r w:rsidRPr="00F128EA">
        <w:rPr>
          <w:b/>
          <w:lang w:val="en"/>
        </w:rPr>
        <w:t xml:space="preserve"> </w:t>
      </w:r>
      <w:r w:rsidR="00FD105B" w:rsidRPr="00F128EA">
        <w:rPr>
          <w:lang w:val="en"/>
        </w:rPr>
        <w:t xml:space="preserve">is a </w:t>
      </w:r>
      <w:r w:rsidR="009F21B4" w:rsidRPr="00F128EA">
        <w:rPr>
          <w:lang w:val="en"/>
        </w:rPr>
        <w:t>risk management standard for</w:t>
      </w:r>
      <w:r w:rsidR="00FD105B" w:rsidRPr="00F128EA">
        <w:rPr>
          <w:lang w:val="en"/>
        </w:rPr>
        <w:t xml:space="preserve"> medical devices. </w:t>
      </w:r>
      <w:r w:rsidRPr="00F128EA">
        <w:rPr>
          <w:lang w:val="en"/>
        </w:rPr>
        <w:t xml:space="preserve">This version is harmonized with respect to the three European Directives associated with medical devices Medical Devices Directive 93/42/EEC.  </w:t>
      </w:r>
      <w:r w:rsidR="00FD105B" w:rsidRPr="00F128EA">
        <w:rPr>
          <w:lang w:val="en"/>
        </w:rPr>
        <w:t xml:space="preserve">Its purpose is to </w:t>
      </w:r>
      <w:r w:rsidR="009F21B4" w:rsidRPr="00F128EA">
        <w:rPr>
          <w:lang w:val="en"/>
        </w:rPr>
        <w:t>specify how</w:t>
      </w:r>
      <w:r w:rsidR="00FD105B" w:rsidRPr="00F128EA">
        <w:rPr>
          <w:lang w:val="en"/>
        </w:rPr>
        <w:t xml:space="preserve"> manufacturers establish a medical device risk management process that they can use to identify hazards, to estimate and evaluate risks, and to develop, implement, and monitor the effectiveness of risk control measures.</w:t>
      </w:r>
      <w:r w:rsidR="00DD1029" w:rsidRPr="00F128EA">
        <w:t xml:space="preserve"> The standard established requirements for how to: </w:t>
      </w:r>
    </w:p>
    <w:p w:rsidR="00DD1029" w:rsidRPr="00F128EA" w:rsidRDefault="00815C5A" w:rsidP="00815C5A">
      <w:pPr>
        <w:pStyle w:val="Bullet1G"/>
        <w:rPr>
          <w:lang w:val="en"/>
        </w:rPr>
      </w:pPr>
      <w:r>
        <w:rPr>
          <w:lang w:val="en"/>
        </w:rPr>
        <w:t>D</w:t>
      </w:r>
      <w:r w:rsidR="009F21B4" w:rsidRPr="00F128EA">
        <w:rPr>
          <w:lang w:val="en"/>
        </w:rPr>
        <w:t xml:space="preserve">ocument </w:t>
      </w:r>
      <w:r w:rsidR="00DD1029" w:rsidRPr="00F128EA">
        <w:rPr>
          <w:lang w:val="en"/>
        </w:rPr>
        <w:t>an</w:t>
      </w:r>
      <w:r w:rsidR="009F21B4" w:rsidRPr="00F128EA">
        <w:rPr>
          <w:lang w:val="en"/>
        </w:rPr>
        <w:t xml:space="preserve"> organization's medical</w:t>
      </w:r>
      <w:r w:rsidR="00DD1029" w:rsidRPr="00F128EA">
        <w:rPr>
          <w:lang w:val="en"/>
        </w:rPr>
        <w:t xml:space="preserve"> device risk management process;</w:t>
      </w:r>
    </w:p>
    <w:p w:rsidR="00DD1029" w:rsidRPr="00F128EA" w:rsidRDefault="00815C5A" w:rsidP="00815C5A">
      <w:pPr>
        <w:pStyle w:val="Bullet1G"/>
        <w:rPr>
          <w:lang w:val="en"/>
        </w:rPr>
      </w:pPr>
      <w:r>
        <w:rPr>
          <w:lang w:val="en"/>
        </w:rPr>
        <w:t>A</w:t>
      </w:r>
      <w:r w:rsidR="00DD1029" w:rsidRPr="00F128EA">
        <w:rPr>
          <w:lang w:val="en"/>
        </w:rPr>
        <w:t>pply risk management processes to an organization's medical devices;</w:t>
      </w:r>
    </w:p>
    <w:p w:rsidR="00DD1029" w:rsidRPr="00F128EA" w:rsidRDefault="00815C5A" w:rsidP="00815C5A">
      <w:pPr>
        <w:pStyle w:val="Bullet1G"/>
        <w:rPr>
          <w:lang w:val="en"/>
        </w:rPr>
      </w:pPr>
      <w:r>
        <w:rPr>
          <w:lang w:val="en"/>
        </w:rPr>
        <w:t>M</w:t>
      </w:r>
      <w:r w:rsidR="00DD1029" w:rsidRPr="00F128EA">
        <w:rPr>
          <w:lang w:val="en"/>
        </w:rPr>
        <w:t xml:space="preserve">aintain risk management processes for every medical device throughout its entire life-cycle; and </w:t>
      </w:r>
    </w:p>
    <w:p w:rsidR="009F21B4" w:rsidRPr="00F128EA" w:rsidRDefault="00815C5A" w:rsidP="00815C5A">
      <w:pPr>
        <w:pStyle w:val="Bullet1G"/>
        <w:rPr>
          <w:lang w:val="en"/>
        </w:rPr>
      </w:pPr>
      <w:r>
        <w:rPr>
          <w:lang w:val="en"/>
        </w:rPr>
        <w:t>V</w:t>
      </w:r>
      <w:r w:rsidR="00DD1029" w:rsidRPr="00F128EA">
        <w:rPr>
          <w:lang w:val="en"/>
        </w:rPr>
        <w:t xml:space="preserve">alidate whether the risk management process complies with the standard by inspecting the appropriate documents.      </w:t>
      </w:r>
    </w:p>
    <w:p w:rsidR="00DD1029" w:rsidRPr="00815C5A" w:rsidRDefault="00DD1029" w:rsidP="00815C5A">
      <w:pPr>
        <w:pStyle w:val="SingleTxtG"/>
        <w:rPr>
          <w:sz w:val="22"/>
          <w:szCs w:val="22"/>
          <w:lang w:val="en"/>
        </w:rPr>
      </w:pPr>
      <w:r w:rsidRPr="00815C5A">
        <w:rPr>
          <w:sz w:val="22"/>
          <w:szCs w:val="22"/>
          <w:lang w:val="en"/>
        </w:rPr>
        <w:t xml:space="preserve">See also: </w:t>
      </w:r>
      <w:hyperlink r:id="rId20" w:anchor="iso:std:iso:14971:ed-2:v2:en" w:history="1">
        <w:r w:rsidRPr="00815C5A">
          <w:rPr>
            <w:rStyle w:val="Hyperlink"/>
            <w:sz w:val="22"/>
            <w:szCs w:val="22"/>
            <w:lang w:val="en"/>
          </w:rPr>
          <w:t>https://www.iso.org/obp/ui/#iso:std:iso:14971:ed-2:v2:en</w:t>
        </w:r>
      </w:hyperlink>
      <w:r w:rsidRPr="00815C5A">
        <w:rPr>
          <w:sz w:val="22"/>
          <w:szCs w:val="22"/>
          <w:lang w:val="en"/>
        </w:rPr>
        <w:t xml:space="preserve"> </w:t>
      </w:r>
    </w:p>
    <w:p w:rsidR="00DD1029" w:rsidRPr="00F128EA" w:rsidRDefault="00DD1029" w:rsidP="00DD1029">
      <w:pPr>
        <w:rPr>
          <w:rFonts w:asciiTheme="minorHAnsi" w:hAnsiTheme="minorHAnsi"/>
          <w:sz w:val="22"/>
          <w:szCs w:val="22"/>
          <w:lang w:val="en"/>
        </w:rPr>
      </w:pPr>
    </w:p>
    <w:p w:rsidR="00BE5864" w:rsidRPr="00F128EA" w:rsidRDefault="00BE5864" w:rsidP="00815C5A">
      <w:pPr>
        <w:pStyle w:val="SingleTxtG"/>
        <w:rPr>
          <w:lang w:val="en"/>
        </w:rPr>
      </w:pPr>
      <w:r w:rsidRPr="00815C5A">
        <w:rPr>
          <w:b/>
          <w:lang w:val="en"/>
        </w:rPr>
        <w:lastRenderedPageBreak/>
        <w:t>ISO 11607</w:t>
      </w:r>
      <w:r w:rsidR="009C4ADA" w:rsidRPr="00815C5A">
        <w:rPr>
          <w:b/>
          <w:lang w:val="en"/>
        </w:rPr>
        <w:t>-1:2006/A1:2014</w:t>
      </w:r>
      <w:r w:rsidRPr="00815C5A">
        <w:rPr>
          <w:b/>
          <w:lang w:val="en"/>
        </w:rPr>
        <w:t xml:space="preserve"> </w:t>
      </w:r>
      <w:r w:rsidR="00B720B6" w:rsidRPr="00815C5A">
        <w:rPr>
          <w:b/>
          <w:lang w:val="en"/>
        </w:rPr>
        <w:t>Packaging for terminally sterilized medical devices</w:t>
      </w:r>
      <w:r w:rsidR="00815C5A">
        <w:rPr>
          <w:lang w:val="en"/>
        </w:rPr>
        <w:t xml:space="preserve"> — Part </w:t>
      </w:r>
      <w:r w:rsidR="00B720B6" w:rsidRPr="00F128EA">
        <w:rPr>
          <w:lang w:val="en"/>
        </w:rPr>
        <w:t xml:space="preserve">1: Requirements for materials, sterile barrier systems and packaging systems </w:t>
      </w:r>
      <w:r w:rsidRPr="00F128EA">
        <w:rPr>
          <w:lang w:val="en"/>
        </w:rPr>
        <w:t>is the principal guidance document for validating sterilized medical device packaging systems. Packaging must comply with ISO 11607 in order to satisfy European regulations and obtain a CE Mark.  ISO 11607 is also an FDA Recognized Consensus Standard.  Fulfilling the requirements within ISO 11607 ensures that a medical device packaging system provides physical protection of the product contained.</w:t>
      </w:r>
    </w:p>
    <w:p w:rsidR="00BE5864" w:rsidRPr="00F128EA" w:rsidRDefault="00BE5864" w:rsidP="00815C5A">
      <w:pPr>
        <w:pStyle w:val="SingleTxtG"/>
        <w:rPr>
          <w:lang w:val="en"/>
        </w:rPr>
      </w:pPr>
      <w:r w:rsidRPr="00F128EA">
        <w:rPr>
          <w:lang w:val="en"/>
        </w:rPr>
        <w:t>ISO 11607 consists of four key areas:</w:t>
      </w:r>
    </w:p>
    <w:p w:rsidR="00BE5864" w:rsidRPr="00F128EA" w:rsidRDefault="00BE5864" w:rsidP="00815C5A">
      <w:pPr>
        <w:pStyle w:val="Bullet1G"/>
        <w:rPr>
          <w:lang w:val="en"/>
        </w:rPr>
      </w:pPr>
      <w:r w:rsidRPr="00F128EA">
        <w:rPr>
          <w:lang w:val="en"/>
        </w:rPr>
        <w:t>Stability Testing (accelerated aging and real time aging)</w:t>
      </w:r>
    </w:p>
    <w:p w:rsidR="00BE5864" w:rsidRPr="00F128EA" w:rsidRDefault="00BE5864" w:rsidP="00815C5A">
      <w:pPr>
        <w:pStyle w:val="Bullet1G"/>
        <w:rPr>
          <w:lang w:val="en"/>
        </w:rPr>
      </w:pPr>
      <w:r w:rsidRPr="00F128EA">
        <w:rPr>
          <w:lang w:val="en"/>
        </w:rPr>
        <w:t>Performance/Dynamics Testing</w:t>
      </w:r>
    </w:p>
    <w:p w:rsidR="00BE5864" w:rsidRPr="00F128EA" w:rsidRDefault="00BE5864" w:rsidP="00815C5A">
      <w:pPr>
        <w:pStyle w:val="Bullet1G"/>
        <w:rPr>
          <w:lang w:val="en"/>
        </w:rPr>
      </w:pPr>
      <w:r w:rsidRPr="00F128EA">
        <w:rPr>
          <w:lang w:val="en"/>
        </w:rPr>
        <w:t>Package Strength Testing</w:t>
      </w:r>
    </w:p>
    <w:p w:rsidR="00BE5864" w:rsidRPr="00F128EA" w:rsidRDefault="00BE5864" w:rsidP="00815C5A">
      <w:pPr>
        <w:pStyle w:val="Bullet1G"/>
        <w:rPr>
          <w:lang w:val="en"/>
        </w:rPr>
      </w:pPr>
      <w:r w:rsidRPr="00F128EA">
        <w:rPr>
          <w:lang w:val="en"/>
        </w:rPr>
        <w:t>Package Integrity Testing</w:t>
      </w:r>
    </w:p>
    <w:p w:rsidR="00FD105B" w:rsidRDefault="00BE5864" w:rsidP="00815C5A">
      <w:pPr>
        <w:pStyle w:val="SingleTxtG"/>
        <w:rPr>
          <w:lang w:val="en"/>
        </w:rPr>
      </w:pPr>
      <w:r w:rsidRPr="00F128EA">
        <w:rPr>
          <w:lang w:val="en"/>
        </w:rPr>
        <w:t>This ISO standard also addresses packaging materials by presenting requirements for their physical properties and material performance.</w:t>
      </w:r>
    </w:p>
    <w:p w:rsidR="00815C5A" w:rsidRPr="00815C5A" w:rsidRDefault="00815C5A" w:rsidP="00815C5A">
      <w:pPr>
        <w:pStyle w:val="SingleTxtG"/>
        <w:spacing w:before="240" w:after="0"/>
        <w:jc w:val="center"/>
        <w:rPr>
          <w:u w:val="single"/>
          <w:lang w:val="en"/>
        </w:rPr>
      </w:pPr>
      <w:r>
        <w:rPr>
          <w:u w:val="single"/>
          <w:lang w:val="en"/>
        </w:rPr>
        <w:tab/>
      </w:r>
      <w:r>
        <w:rPr>
          <w:u w:val="single"/>
          <w:lang w:val="en"/>
        </w:rPr>
        <w:tab/>
      </w:r>
      <w:r>
        <w:rPr>
          <w:u w:val="single"/>
          <w:lang w:val="en"/>
        </w:rPr>
        <w:tab/>
      </w:r>
    </w:p>
    <w:p w:rsidR="00815C5A" w:rsidRDefault="00815C5A" w:rsidP="00815C5A">
      <w:pPr>
        <w:pStyle w:val="SingleTxtG"/>
        <w:rPr>
          <w:lang w:val="en"/>
        </w:rPr>
      </w:pPr>
    </w:p>
    <w:p w:rsidR="00815C5A" w:rsidRDefault="00815C5A" w:rsidP="00815C5A">
      <w:pPr>
        <w:pStyle w:val="SingleTxtG"/>
        <w:rPr>
          <w:lang w:val="en"/>
        </w:rPr>
      </w:pPr>
    </w:p>
    <w:p w:rsidR="00815C5A" w:rsidRDefault="00815C5A" w:rsidP="00815C5A">
      <w:pPr>
        <w:pStyle w:val="SingleTxtG"/>
        <w:rPr>
          <w:lang w:val="en"/>
        </w:rPr>
      </w:pPr>
    </w:p>
    <w:p w:rsidR="00815C5A" w:rsidRPr="00F128EA" w:rsidRDefault="00815C5A" w:rsidP="00815C5A">
      <w:pPr>
        <w:pStyle w:val="SingleTxtG"/>
        <w:rPr>
          <w:lang w:val="en"/>
        </w:rPr>
      </w:pPr>
    </w:p>
    <w:sectPr w:rsidR="00815C5A" w:rsidRPr="00F128EA" w:rsidSect="00B36775">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76" w:rsidRDefault="00056776"/>
  </w:endnote>
  <w:endnote w:type="continuationSeparator" w:id="0">
    <w:p w:rsidR="00056776" w:rsidRDefault="00056776"/>
  </w:endnote>
  <w:endnote w:type="continuationNotice" w:id="1">
    <w:p w:rsidR="00056776" w:rsidRDefault="0005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88" w:rsidRPr="009B2FB7" w:rsidRDefault="00B61288">
    <w:pPr>
      <w:pStyle w:val="Footer"/>
      <w:rPr>
        <w:b/>
      </w:rPr>
    </w:pPr>
    <w:r w:rsidRPr="009B2FB7">
      <w:rPr>
        <w:b/>
      </w:rPr>
      <w:fldChar w:fldCharType="begin"/>
    </w:r>
    <w:r w:rsidRPr="009B2FB7">
      <w:rPr>
        <w:b/>
      </w:rPr>
      <w:instrText xml:space="preserve"> PAGE   \* MERGEFORMAT </w:instrText>
    </w:r>
    <w:r w:rsidRPr="009B2FB7">
      <w:rPr>
        <w:b/>
      </w:rPr>
      <w:fldChar w:fldCharType="separate"/>
    </w:r>
    <w:r w:rsidR="00AA2453">
      <w:rPr>
        <w:b/>
        <w:noProof/>
      </w:rPr>
      <w:t>8</w:t>
    </w:r>
    <w:r w:rsidRPr="009B2FB7">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88" w:rsidRPr="0005570C" w:rsidRDefault="00B61288"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AA2453">
      <w:rPr>
        <w:b/>
        <w:noProof/>
        <w:sz w:val="18"/>
      </w:rPr>
      <w:t>5</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76" w:rsidRPr="000B175B" w:rsidRDefault="00056776" w:rsidP="000B175B">
      <w:pPr>
        <w:tabs>
          <w:tab w:val="right" w:pos="2155"/>
        </w:tabs>
        <w:spacing w:after="80"/>
        <w:ind w:left="680"/>
        <w:rPr>
          <w:u w:val="single"/>
        </w:rPr>
      </w:pPr>
      <w:r>
        <w:rPr>
          <w:u w:val="single"/>
        </w:rPr>
        <w:tab/>
      </w:r>
    </w:p>
  </w:footnote>
  <w:footnote w:type="continuationSeparator" w:id="0">
    <w:p w:rsidR="00056776" w:rsidRPr="00FC68B7" w:rsidRDefault="00056776" w:rsidP="00FC68B7">
      <w:pPr>
        <w:tabs>
          <w:tab w:val="left" w:pos="2155"/>
        </w:tabs>
        <w:spacing w:after="80"/>
        <w:ind w:left="680"/>
        <w:rPr>
          <w:u w:val="single"/>
        </w:rPr>
      </w:pPr>
      <w:r>
        <w:rPr>
          <w:u w:val="single"/>
        </w:rPr>
        <w:tab/>
      </w:r>
    </w:p>
  </w:footnote>
  <w:footnote w:type="continuationNotice" w:id="1">
    <w:p w:rsidR="00056776" w:rsidRDefault="00056776"/>
  </w:footnote>
  <w:footnote w:id="2">
    <w:p w:rsidR="00035E81" w:rsidRPr="00035E81" w:rsidRDefault="00035E81" w:rsidP="00035E81">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88" w:rsidRPr="006609D0" w:rsidRDefault="00690ECD" w:rsidP="0005570C">
    <w:pPr>
      <w:pStyle w:val="Header"/>
      <w:rPr>
        <w:szCs w:val="18"/>
      </w:rPr>
    </w:pPr>
    <w:r w:rsidRPr="006609D0">
      <w:rPr>
        <w:szCs w:val="18"/>
      </w:rPr>
      <w:t>ST/SG/AC.10/C.3/2016/</w:t>
    </w:r>
    <w:r w:rsidR="002714D1">
      <w:rPr>
        <w:szCs w:val="18"/>
      </w:rPr>
      <w:t>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88" w:rsidRPr="0005570C" w:rsidRDefault="00B61288" w:rsidP="0005570C">
    <w:pPr>
      <w:pStyle w:val="Header"/>
      <w:jc w:val="right"/>
    </w:pPr>
    <w:r w:rsidRPr="0005570C">
      <w:t>ST/SG/AC.10/C.3/20</w:t>
    </w:r>
    <w:r w:rsidR="002714D1">
      <w:t>16/42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994374"/>
    <w:multiLevelType w:val="multilevel"/>
    <w:tmpl w:val="DA56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1378C6"/>
    <w:multiLevelType w:val="hybridMultilevel"/>
    <w:tmpl w:val="8C8C6558"/>
    <w:lvl w:ilvl="0" w:tplc="263E67EE">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ED7D05"/>
    <w:multiLevelType w:val="hybridMultilevel"/>
    <w:tmpl w:val="E88A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F312B6"/>
    <w:multiLevelType w:val="hybridMultilevel"/>
    <w:tmpl w:val="7C625D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7A52CA"/>
    <w:multiLevelType w:val="hybridMultilevel"/>
    <w:tmpl w:val="E60E2958"/>
    <w:lvl w:ilvl="0" w:tplc="648EFE6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4FDD18B9"/>
    <w:multiLevelType w:val="hybridMultilevel"/>
    <w:tmpl w:val="7130C472"/>
    <w:lvl w:ilvl="0" w:tplc="0409000F">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312F0"/>
    <w:multiLevelType w:val="hybridMultilevel"/>
    <w:tmpl w:val="8F9A9D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7643940"/>
    <w:multiLevelType w:val="hybridMultilevel"/>
    <w:tmpl w:val="0BA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61799"/>
    <w:multiLevelType w:val="hybridMultilevel"/>
    <w:tmpl w:val="EDF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609C5"/>
    <w:multiLevelType w:val="hybridMultilevel"/>
    <w:tmpl w:val="9C0CDE30"/>
    <w:lvl w:ilvl="0" w:tplc="9ABEFDA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2"/>
  </w:num>
  <w:num w:numId="15">
    <w:abstractNumId w:val="14"/>
  </w:num>
  <w:num w:numId="16">
    <w:abstractNumId w:val="11"/>
  </w:num>
  <w:num w:numId="17">
    <w:abstractNumId w:val="19"/>
  </w:num>
  <w:num w:numId="18">
    <w:abstractNumId w:val="17"/>
  </w:num>
  <w:num w:numId="19">
    <w:abstractNumId w:val="25"/>
  </w:num>
  <w:num w:numId="20">
    <w:abstractNumId w:val="15"/>
  </w:num>
  <w:num w:numId="21">
    <w:abstractNumId w:val="24"/>
  </w:num>
  <w:num w:numId="22">
    <w:abstractNumId w:val="21"/>
  </w:num>
  <w:num w:numId="23">
    <w:abstractNumId w:val="20"/>
  </w:num>
  <w:num w:numId="24">
    <w:abstractNumId w:val="12"/>
  </w:num>
  <w:num w:numId="25">
    <w:abstractNumId w:val="23"/>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738"/>
    <w:rsid w:val="00006600"/>
    <w:rsid w:val="0000675D"/>
    <w:rsid w:val="00006E0B"/>
    <w:rsid w:val="00006F9C"/>
    <w:rsid w:val="00012ABA"/>
    <w:rsid w:val="0003260B"/>
    <w:rsid w:val="00035E81"/>
    <w:rsid w:val="00044167"/>
    <w:rsid w:val="00050F6B"/>
    <w:rsid w:val="0005570C"/>
    <w:rsid w:val="00056776"/>
    <w:rsid w:val="00057551"/>
    <w:rsid w:val="00064F24"/>
    <w:rsid w:val="00066D95"/>
    <w:rsid w:val="00066F8F"/>
    <w:rsid w:val="000702C5"/>
    <w:rsid w:val="00070D5C"/>
    <w:rsid w:val="00072C8C"/>
    <w:rsid w:val="00072FF8"/>
    <w:rsid w:val="000732CC"/>
    <w:rsid w:val="00073AC3"/>
    <w:rsid w:val="00073E97"/>
    <w:rsid w:val="00074B4B"/>
    <w:rsid w:val="0007718E"/>
    <w:rsid w:val="000802E0"/>
    <w:rsid w:val="00085C27"/>
    <w:rsid w:val="000869B4"/>
    <w:rsid w:val="00086E74"/>
    <w:rsid w:val="00091419"/>
    <w:rsid w:val="000915F0"/>
    <w:rsid w:val="00091D68"/>
    <w:rsid w:val="00092DE4"/>
    <w:rsid w:val="000931C0"/>
    <w:rsid w:val="00094D6E"/>
    <w:rsid w:val="00095672"/>
    <w:rsid w:val="00097A34"/>
    <w:rsid w:val="000A0405"/>
    <w:rsid w:val="000A2E89"/>
    <w:rsid w:val="000A3ADF"/>
    <w:rsid w:val="000A5C27"/>
    <w:rsid w:val="000A607C"/>
    <w:rsid w:val="000A7D3E"/>
    <w:rsid w:val="000B175B"/>
    <w:rsid w:val="000B2276"/>
    <w:rsid w:val="000B2710"/>
    <w:rsid w:val="000B3A0F"/>
    <w:rsid w:val="000B4BFA"/>
    <w:rsid w:val="000B4E5A"/>
    <w:rsid w:val="000C328A"/>
    <w:rsid w:val="000C3598"/>
    <w:rsid w:val="000D56A3"/>
    <w:rsid w:val="000D6FA7"/>
    <w:rsid w:val="000E0415"/>
    <w:rsid w:val="000E3D93"/>
    <w:rsid w:val="000E572A"/>
    <w:rsid w:val="000E7E4F"/>
    <w:rsid w:val="000F202E"/>
    <w:rsid w:val="000F5FF7"/>
    <w:rsid w:val="001003CF"/>
    <w:rsid w:val="001007BD"/>
    <w:rsid w:val="001066C3"/>
    <w:rsid w:val="00110FE9"/>
    <w:rsid w:val="00117787"/>
    <w:rsid w:val="00121945"/>
    <w:rsid w:val="00122165"/>
    <w:rsid w:val="00123123"/>
    <w:rsid w:val="00125775"/>
    <w:rsid w:val="00127246"/>
    <w:rsid w:val="00127E64"/>
    <w:rsid w:val="00130F43"/>
    <w:rsid w:val="00131C3E"/>
    <w:rsid w:val="00131CC8"/>
    <w:rsid w:val="00131D42"/>
    <w:rsid w:val="001412BD"/>
    <w:rsid w:val="001423A6"/>
    <w:rsid w:val="0015475A"/>
    <w:rsid w:val="00157A8C"/>
    <w:rsid w:val="0016063F"/>
    <w:rsid w:val="00161974"/>
    <w:rsid w:val="00162640"/>
    <w:rsid w:val="001633FB"/>
    <w:rsid w:val="00164F9A"/>
    <w:rsid w:val="00166B07"/>
    <w:rsid w:val="00167647"/>
    <w:rsid w:val="00172B11"/>
    <w:rsid w:val="00177434"/>
    <w:rsid w:val="00183D0E"/>
    <w:rsid w:val="00186BFF"/>
    <w:rsid w:val="00194C0B"/>
    <w:rsid w:val="001953CC"/>
    <w:rsid w:val="001A2995"/>
    <w:rsid w:val="001A6691"/>
    <w:rsid w:val="001B4B04"/>
    <w:rsid w:val="001B574E"/>
    <w:rsid w:val="001B57C4"/>
    <w:rsid w:val="001B584E"/>
    <w:rsid w:val="001C6663"/>
    <w:rsid w:val="001C678A"/>
    <w:rsid w:val="001C7895"/>
    <w:rsid w:val="001C7F9B"/>
    <w:rsid w:val="001D0A8C"/>
    <w:rsid w:val="001D0C12"/>
    <w:rsid w:val="001D1B84"/>
    <w:rsid w:val="001D26DF"/>
    <w:rsid w:val="001D2F03"/>
    <w:rsid w:val="001D2FDC"/>
    <w:rsid w:val="001F1227"/>
    <w:rsid w:val="001F2DE4"/>
    <w:rsid w:val="001F66AF"/>
    <w:rsid w:val="002112AD"/>
    <w:rsid w:val="00211BD2"/>
    <w:rsid w:val="00211E0B"/>
    <w:rsid w:val="002200E2"/>
    <w:rsid w:val="0022057A"/>
    <w:rsid w:val="00224A3C"/>
    <w:rsid w:val="00227F2E"/>
    <w:rsid w:val="00227FA8"/>
    <w:rsid w:val="002309A7"/>
    <w:rsid w:val="002336FB"/>
    <w:rsid w:val="002338F0"/>
    <w:rsid w:val="00233CFA"/>
    <w:rsid w:val="00235E51"/>
    <w:rsid w:val="00237785"/>
    <w:rsid w:val="00237DBD"/>
    <w:rsid w:val="00241466"/>
    <w:rsid w:val="00246855"/>
    <w:rsid w:val="00247A0C"/>
    <w:rsid w:val="00255FC6"/>
    <w:rsid w:val="002572FF"/>
    <w:rsid w:val="00266C11"/>
    <w:rsid w:val="002714D1"/>
    <w:rsid w:val="002722E5"/>
    <w:rsid w:val="002725CA"/>
    <w:rsid w:val="00274700"/>
    <w:rsid w:val="0027481F"/>
    <w:rsid w:val="0027488F"/>
    <w:rsid w:val="00280EB7"/>
    <w:rsid w:val="00281BE2"/>
    <w:rsid w:val="0028579A"/>
    <w:rsid w:val="002928B7"/>
    <w:rsid w:val="002A06F8"/>
    <w:rsid w:val="002A2560"/>
    <w:rsid w:val="002A7A19"/>
    <w:rsid w:val="002B1CDA"/>
    <w:rsid w:val="002B2EA7"/>
    <w:rsid w:val="002B418A"/>
    <w:rsid w:val="002B521D"/>
    <w:rsid w:val="002B75D3"/>
    <w:rsid w:val="002B77A2"/>
    <w:rsid w:val="002B7D6F"/>
    <w:rsid w:val="002C3F48"/>
    <w:rsid w:val="002C56ED"/>
    <w:rsid w:val="002C6A7B"/>
    <w:rsid w:val="002D3576"/>
    <w:rsid w:val="002D5116"/>
    <w:rsid w:val="002D7530"/>
    <w:rsid w:val="002E1E41"/>
    <w:rsid w:val="002E5725"/>
    <w:rsid w:val="002F0918"/>
    <w:rsid w:val="002F19B8"/>
    <w:rsid w:val="003107FA"/>
    <w:rsid w:val="00310B20"/>
    <w:rsid w:val="003227AC"/>
    <w:rsid w:val="003229D8"/>
    <w:rsid w:val="00322F52"/>
    <w:rsid w:val="00323990"/>
    <w:rsid w:val="00323B8B"/>
    <w:rsid w:val="003311AD"/>
    <w:rsid w:val="003313B3"/>
    <w:rsid w:val="003324FC"/>
    <w:rsid w:val="00336213"/>
    <w:rsid w:val="0034522A"/>
    <w:rsid w:val="00347184"/>
    <w:rsid w:val="00357A9A"/>
    <w:rsid w:val="003639EB"/>
    <w:rsid w:val="003670F5"/>
    <w:rsid w:val="00372BDC"/>
    <w:rsid w:val="00375D55"/>
    <w:rsid w:val="00377D40"/>
    <w:rsid w:val="00381262"/>
    <w:rsid w:val="003870F2"/>
    <w:rsid w:val="0039277A"/>
    <w:rsid w:val="003958F7"/>
    <w:rsid w:val="00396589"/>
    <w:rsid w:val="003972E0"/>
    <w:rsid w:val="0039755A"/>
    <w:rsid w:val="003A375C"/>
    <w:rsid w:val="003A42B0"/>
    <w:rsid w:val="003C2CC4"/>
    <w:rsid w:val="003C4EA9"/>
    <w:rsid w:val="003D1CAC"/>
    <w:rsid w:val="003D4454"/>
    <w:rsid w:val="003D4B23"/>
    <w:rsid w:val="003E1C5A"/>
    <w:rsid w:val="003E2754"/>
    <w:rsid w:val="003F0697"/>
    <w:rsid w:val="003F14F5"/>
    <w:rsid w:val="003F37AF"/>
    <w:rsid w:val="003F3F40"/>
    <w:rsid w:val="00401F79"/>
    <w:rsid w:val="004108F4"/>
    <w:rsid w:val="0041096C"/>
    <w:rsid w:val="004109BB"/>
    <w:rsid w:val="004127BD"/>
    <w:rsid w:val="0042114A"/>
    <w:rsid w:val="00421A10"/>
    <w:rsid w:val="004224FD"/>
    <w:rsid w:val="00422E66"/>
    <w:rsid w:val="004325CB"/>
    <w:rsid w:val="00434F2A"/>
    <w:rsid w:val="00434FAE"/>
    <w:rsid w:val="00437CE2"/>
    <w:rsid w:val="00437EF2"/>
    <w:rsid w:val="00437F3F"/>
    <w:rsid w:val="0044171C"/>
    <w:rsid w:val="0044679E"/>
    <w:rsid w:val="00446DE4"/>
    <w:rsid w:val="004479B5"/>
    <w:rsid w:val="00447CF7"/>
    <w:rsid w:val="00451CCB"/>
    <w:rsid w:val="0045513D"/>
    <w:rsid w:val="00466E64"/>
    <w:rsid w:val="004713FB"/>
    <w:rsid w:val="0047426B"/>
    <w:rsid w:val="00474450"/>
    <w:rsid w:val="00475444"/>
    <w:rsid w:val="00481A8D"/>
    <w:rsid w:val="0049309D"/>
    <w:rsid w:val="0049361D"/>
    <w:rsid w:val="00494D24"/>
    <w:rsid w:val="004969ED"/>
    <w:rsid w:val="00497FF3"/>
    <w:rsid w:val="004A32F4"/>
    <w:rsid w:val="004A617E"/>
    <w:rsid w:val="004B2C9D"/>
    <w:rsid w:val="004B4B05"/>
    <w:rsid w:val="004D604D"/>
    <w:rsid w:val="004E141B"/>
    <w:rsid w:val="004F0D52"/>
    <w:rsid w:val="004F716F"/>
    <w:rsid w:val="004F7303"/>
    <w:rsid w:val="00500DCD"/>
    <w:rsid w:val="0050291F"/>
    <w:rsid w:val="00505EA7"/>
    <w:rsid w:val="0050632E"/>
    <w:rsid w:val="00507A84"/>
    <w:rsid w:val="00511227"/>
    <w:rsid w:val="00511321"/>
    <w:rsid w:val="00511FC1"/>
    <w:rsid w:val="0051450E"/>
    <w:rsid w:val="00515763"/>
    <w:rsid w:val="00515797"/>
    <w:rsid w:val="005206A2"/>
    <w:rsid w:val="00522886"/>
    <w:rsid w:val="00524BC7"/>
    <w:rsid w:val="00526686"/>
    <w:rsid w:val="00526C6F"/>
    <w:rsid w:val="00527910"/>
    <w:rsid w:val="005321DE"/>
    <w:rsid w:val="00532A45"/>
    <w:rsid w:val="00532A62"/>
    <w:rsid w:val="00532B07"/>
    <w:rsid w:val="00532E0E"/>
    <w:rsid w:val="00532FCE"/>
    <w:rsid w:val="005335B1"/>
    <w:rsid w:val="005343C0"/>
    <w:rsid w:val="005360BE"/>
    <w:rsid w:val="005420F2"/>
    <w:rsid w:val="00554422"/>
    <w:rsid w:val="005548AD"/>
    <w:rsid w:val="005553A2"/>
    <w:rsid w:val="0055795F"/>
    <w:rsid w:val="00564CB4"/>
    <w:rsid w:val="0056513D"/>
    <w:rsid w:val="0056572D"/>
    <w:rsid w:val="00566B77"/>
    <w:rsid w:val="005676D5"/>
    <w:rsid w:val="00573619"/>
    <w:rsid w:val="0057509F"/>
    <w:rsid w:val="0057610C"/>
    <w:rsid w:val="0058018E"/>
    <w:rsid w:val="00585B30"/>
    <w:rsid w:val="0058682B"/>
    <w:rsid w:val="00590144"/>
    <w:rsid w:val="005905E1"/>
    <w:rsid w:val="00597668"/>
    <w:rsid w:val="00597794"/>
    <w:rsid w:val="005A168A"/>
    <w:rsid w:val="005A2B37"/>
    <w:rsid w:val="005B100F"/>
    <w:rsid w:val="005B1E76"/>
    <w:rsid w:val="005B2C26"/>
    <w:rsid w:val="005B3DB3"/>
    <w:rsid w:val="005B558D"/>
    <w:rsid w:val="005B61CA"/>
    <w:rsid w:val="005B6EC0"/>
    <w:rsid w:val="005C031E"/>
    <w:rsid w:val="005E0867"/>
    <w:rsid w:val="005E24BC"/>
    <w:rsid w:val="005E6C20"/>
    <w:rsid w:val="005E6CA3"/>
    <w:rsid w:val="005F2ED2"/>
    <w:rsid w:val="00600701"/>
    <w:rsid w:val="00601393"/>
    <w:rsid w:val="00601F30"/>
    <w:rsid w:val="00602AF9"/>
    <w:rsid w:val="006047F1"/>
    <w:rsid w:val="006053B1"/>
    <w:rsid w:val="00611FC4"/>
    <w:rsid w:val="00613F18"/>
    <w:rsid w:val="00616CC8"/>
    <w:rsid w:val="006176FB"/>
    <w:rsid w:val="00617971"/>
    <w:rsid w:val="00620454"/>
    <w:rsid w:val="00623015"/>
    <w:rsid w:val="00626837"/>
    <w:rsid w:val="006269B2"/>
    <w:rsid w:val="00630F33"/>
    <w:rsid w:val="006323B8"/>
    <w:rsid w:val="0063419C"/>
    <w:rsid w:val="00636EF0"/>
    <w:rsid w:val="00640B26"/>
    <w:rsid w:val="00646116"/>
    <w:rsid w:val="00646690"/>
    <w:rsid w:val="00650233"/>
    <w:rsid w:val="00651238"/>
    <w:rsid w:val="00651AD5"/>
    <w:rsid w:val="006573CB"/>
    <w:rsid w:val="00660860"/>
    <w:rsid w:val="006609AB"/>
    <w:rsid w:val="006609D0"/>
    <w:rsid w:val="006639F9"/>
    <w:rsid w:val="00664F8E"/>
    <w:rsid w:val="006755A8"/>
    <w:rsid w:val="00681055"/>
    <w:rsid w:val="006828DD"/>
    <w:rsid w:val="00683721"/>
    <w:rsid w:val="006904A8"/>
    <w:rsid w:val="00690ECD"/>
    <w:rsid w:val="006A095B"/>
    <w:rsid w:val="006A331F"/>
    <w:rsid w:val="006A7392"/>
    <w:rsid w:val="006B0641"/>
    <w:rsid w:val="006B472E"/>
    <w:rsid w:val="006B6CE7"/>
    <w:rsid w:val="006B79A2"/>
    <w:rsid w:val="006C0527"/>
    <w:rsid w:val="006C0D34"/>
    <w:rsid w:val="006D6466"/>
    <w:rsid w:val="006E564B"/>
    <w:rsid w:val="006F0924"/>
    <w:rsid w:val="006F1A3B"/>
    <w:rsid w:val="006F3630"/>
    <w:rsid w:val="006F4406"/>
    <w:rsid w:val="006F70E7"/>
    <w:rsid w:val="00700F06"/>
    <w:rsid w:val="00700FC5"/>
    <w:rsid w:val="00707A67"/>
    <w:rsid w:val="0071233A"/>
    <w:rsid w:val="007126CB"/>
    <w:rsid w:val="00712D25"/>
    <w:rsid w:val="00716D0F"/>
    <w:rsid w:val="007255C3"/>
    <w:rsid w:val="00725764"/>
    <w:rsid w:val="0072632A"/>
    <w:rsid w:val="0073215B"/>
    <w:rsid w:val="00735854"/>
    <w:rsid w:val="007428A0"/>
    <w:rsid w:val="00745BD9"/>
    <w:rsid w:val="00746A8F"/>
    <w:rsid w:val="0075177E"/>
    <w:rsid w:val="00757A17"/>
    <w:rsid w:val="00765B81"/>
    <w:rsid w:val="007706B8"/>
    <w:rsid w:val="0077228C"/>
    <w:rsid w:val="00772D00"/>
    <w:rsid w:val="00773DD3"/>
    <w:rsid w:val="00790791"/>
    <w:rsid w:val="00790903"/>
    <w:rsid w:val="007909EA"/>
    <w:rsid w:val="00792D83"/>
    <w:rsid w:val="007A1C86"/>
    <w:rsid w:val="007A32EC"/>
    <w:rsid w:val="007A4426"/>
    <w:rsid w:val="007A6B46"/>
    <w:rsid w:val="007B01E9"/>
    <w:rsid w:val="007B3152"/>
    <w:rsid w:val="007B5ACA"/>
    <w:rsid w:val="007B6BA5"/>
    <w:rsid w:val="007B6BE5"/>
    <w:rsid w:val="007C05F4"/>
    <w:rsid w:val="007C3390"/>
    <w:rsid w:val="007C4F4B"/>
    <w:rsid w:val="007C63AC"/>
    <w:rsid w:val="007D7A99"/>
    <w:rsid w:val="007E1ECD"/>
    <w:rsid w:val="007E7CEE"/>
    <w:rsid w:val="007F1015"/>
    <w:rsid w:val="007F31C3"/>
    <w:rsid w:val="007F6611"/>
    <w:rsid w:val="00803245"/>
    <w:rsid w:val="00806257"/>
    <w:rsid w:val="008133A8"/>
    <w:rsid w:val="008142A9"/>
    <w:rsid w:val="00815C5A"/>
    <w:rsid w:val="008175E9"/>
    <w:rsid w:val="00820DBE"/>
    <w:rsid w:val="008242D7"/>
    <w:rsid w:val="00830336"/>
    <w:rsid w:val="00832B45"/>
    <w:rsid w:val="008348B1"/>
    <w:rsid w:val="00836E6A"/>
    <w:rsid w:val="00836F34"/>
    <w:rsid w:val="00837EA1"/>
    <w:rsid w:val="00842FAF"/>
    <w:rsid w:val="008553AE"/>
    <w:rsid w:val="00855FB4"/>
    <w:rsid w:val="00862492"/>
    <w:rsid w:val="00870FFF"/>
    <w:rsid w:val="00871FD5"/>
    <w:rsid w:val="00871FE7"/>
    <w:rsid w:val="0087417B"/>
    <w:rsid w:val="00881473"/>
    <w:rsid w:val="00884224"/>
    <w:rsid w:val="00885B7F"/>
    <w:rsid w:val="00886BD4"/>
    <w:rsid w:val="008900F3"/>
    <w:rsid w:val="00891250"/>
    <w:rsid w:val="008918B3"/>
    <w:rsid w:val="00891FA1"/>
    <w:rsid w:val="0089467C"/>
    <w:rsid w:val="008979B1"/>
    <w:rsid w:val="008A5752"/>
    <w:rsid w:val="008A6B25"/>
    <w:rsid w:val="008A6C4F"/>
    <w:rsid w:val="008A7362"/>
    <w:rsid w:val="008B0317"/>
    <w:rsid w:val="008B0C07"/>
    <w:rsid w:val="008B4E27"/>
    <w:rsid w:val="008B78AB"/>
    <w:rsid w:val="008C02A2"/>
    <w:rsid w:val="008C7236"/>
    <w:rsid w:val="008D7264"/>
    <w:rsid w:val="008E0E46"/>
    <w:rsid w:val="008E449E"/>
    <w:rsid w:val="008F2629"/>
    <w:rsid w:val="008F42F2"/>
    <w:rsid w:val="008F6031"/>
    <w:rsid w:val="009024BB"/>
    <w:rsid w:val="00905AEA"/>
    <w:rsid w:val="00906C81"/>
    <w:rsid w:val="00911113"/>
    <w:rsid w:val="009177DB"/>
    <w:rsid w:val="009178F6"/>
    <w:rsid w:val="009201C9"/>
    <w:rsid w:val="00921292"/>
    <w:rsid w:val="00924330"/>
    <w:rsid w:val="00924DF1"/>
    <w:rsid w:val="009252DD"/>
    <w:rsid w:val="00925503"/>
    <w:rsid w:val="00926B65"/>
    <w:rsid w:val="0093457E"/>
    <w:rsid w:val="00942C6C"/>
    <w:rsid w:val="00944221"/>
    <w:rsid w:val="0094493A"/>
    <w:rsid w:val="00945A5D"/>
    <w:rsid w:val="0094781F"/>
    <w:rsid w:val="0095061C"/>
    <w:rsid w:val="009516F2"/>
    <w:rsid w:val="0095630C"/>
    <w:rsid w:val="00961BE8"/>
    <w:rsid w:val="00963CBA"/>
    <w:rsid w:val="00965ACC"/>
    <w:rsid w:val="00967234"/>
    <w:rsid w:val="009707E5"/>
    <w:rsid w:val="00972131"/>
    <w:rsid w:val="00977813"/>
    <w:rsid w:val="00990B15"/>
    <w:rsid w:val="00991012"/>
    <w:rsid w:val="0099124E"/>
    <w:rsid w:val="00991261"/>
    <w:rsid w:val="00994010"/>
    <w:rsid w:val="00994014"/>
    <w:rsid w:val="0099507C"/>
    <w:rsid w:val="009952FE"/>
    <w:rsid w:val="00996F3F"/>
    <w:rsid w:val="00997A96"/>
    <w:rsid w:val="009A34A3"/>
    <w:rsid w:val="009A58ED"/>
    <w:rsid w:val="009B1E0E"/>
    <w:rsid w:val="009B2FB7"/>
    <w:rsid w:val="009B3CC1"/>
    <w:rsid w:val="009B6F46"/>
    <w:rsid w:val="009C4ADA"/>
    <w:rsid w:val="009D0E03"/>
    <w:rsid w:val="009D1F5E"/>
    <w:rsid w:val="009D53DF"/>
    <w:rsid w:val="009E2874"/>
    <w:rsid w:val="009E587B"/>
    <w:rsid w:val="009E707E"/>
    <w:rsid w:val="009F09CD"/>
    <w:rsid w:val="009F21B4"/>
    <w:rsid w:val="009F2F5A"/>
    <w:rsid w:val="009F7FDF"/>
    <w:rsid w:val="00A0011E"/>
    <w:rsid w:val="00A0558C"/>
    <w:rsid w:val="00A05854"/>
    <w:rsid w:val="00A12267"/>
    <w:rsid w:val="00A1427D"/>
    <w:rsid w:val="00A14939"/>
    <w:rsid w:val="00A20589"/>
    <w:rsid w:val="00A21E52"/>
    <w:rsid w:val="00A22441"/>
    <w:rsid w:val="00A251B3"/>
    <w:rsid w:val="00A252B2"/>
    <w:rsid w:val="00A27584"/>
    <w:rsid w:val="00A3024B"/>
    <w:rsid w:val="00A33587"/>
    <w:rsid w:val="00A36C4D"/>
    <w:rsid w:val="00A3734E"/>
    <w:rsid w:val="00A37F11"/>
    <w:rsid w:val="00A51190"/>
    <w:rsid w:val="00A54882"/>
    <w:rsid w:val="00A57336"/>
    <w:rsid w:val="00A6043B"/>
    <w:rsid w:val="00A61EEB"/>
    <w:rsid w:val="00A62B95"/>
    <w:rsid w:val="00A639E2"/>
    <w:rsid w:val="00A66610"/>
    <w:rsid w:val="00A72F22"/>
    <w:rsid w:val="00A73497"/>
    <w:rsid w:val="00A748A6"/>
    <w:rsid w:val="00A7523F"/>
    <w:rsid w:val="00A75EC9"/>
    <w:rsid w:val="00A80DDE"/>
    <w:rsid w:val="00A81CD3"/>
    <w:rsid w:val="00A82A4A"/>
    <w:rsid w:val="00A834C5"/>
    <w:rsid w:val="00A85AFF"/>
    <w:rsid w:val="00A879A4"/>
    <w:rsid w:val="00A96999"/>
    <w:rsid w:val="00A97CCE"/>
    <w:rsid w:val="00AA2453"/>
    <w:rsid w:val="00AA3E39"/>
    <w:rsid w:val="00AA6317"/>
    <w:rsid w:val="00AB5337"/>
    <w:rsid w:val="00AB5F73"/>
    <w:rsid w:val="00AB6EE8"/>
    <w:rsid w:val="00AC0339"/>
    <w:rsid w:val="00AC03C3"/>
    <w:rsid w:val="00AC0F28"/>
    <w:rsid w:val="00AC0FDB"/>
    <w:rsid w:val="00AC1030"/>
    <w:rsid w:val="00AC3364"/>
    <w:rsid w:val="00AC38F2"/>
    <w:rsid w:val="00AC7451"/>
    <w:rsid w:val="00AD624E"/>
    <w:rsid w:val="00AE038D"/>
    <w:rsid w:val="00AE142D"/>
    <w:rsid w:val="00AE313E"/>
    <w:rsid w:val="00AE503D"/>
    <w:rsid w:val="00AE573B"/>
    <w:rsid w:val="00AF0C68"/>
    <w:rsid w:val="00AF1489"/>
    <w:rsid w:val="00AF315B"/>
    <w:rsid w:val="00AF585E"/>
    <w:rsid w:val="00B01324"/>
    <w:rsid w:val="00B014B4"/>
    <w:rsid w:val="00B02E28"/>
    <w:rsid w:val="00B05614"/>
    <w:rsid w:val="00B07F2A"/>
    <w:rsid w:val="00B10D74"/>
    <w:rsid w:val="00B14842"/>
    <w:rsid w:val="00B17E6F"/>
    <w:rsid w:val="00B218F8"/>
    <w:rsid w:val="00B27428"/>
    <w:rsid w:val="00B30179"/>
    <w:rsid w:val="00B32399"/>
    <w:rsid w:val="00B3317B"/>
    <w:rsid w:val="00B355FE"/>
    <w:rsid w:val="00B35770"/>
    <w:rsid w:val="00B36775"/>
    <w:rsid w:val="00B371CC"/>
    <w:rsid w:val="00B41DCD"/>
    <w:rsid w:val="00B4220E"/>
    <w:rsid w:val="00B45379"/>
    <w:rsid w:val="00B61288"/>
    <w:rsid w:val="00B62799"/>
    <w:rsid w:val="00B65BD4"/>
    <w:rsid w:val="00B720B6"/>
    <w:rsid w:val="00B767FA"/>
    <w:rsid w:val="00B76D98"/>
    <w:rsid w:val="00B80173"/>
    <w:rsid w:val="00B81E12"/>
    <w:rsid w:val="00B82493"/>
    <w:rsid w:val="00B82772"/>
    <w:rsid w:val="00B82E3D"/>
    <w:rsid w:val="00B84410"/>
    <w:rsid w:val="00B861FC"/>
    <w:rsid w:val="00B92CB5"/>
    <w:rsid w:val="00B93068"/>
    <w:rsid w:val="00B9373B"/>
    <w:rsid w:val="00B96106"/>
    <w:rsid w:val="00B9644A"/>
    <w:rsid w:val="00BA2904"/>
    <w:rsid w:val="00BA388F"/>
    <w:rsid w:val="00BA4AAC"/>
    <w:rsid w:val="00BA5365"/>
    <w:rsid w:val="00BA5885"/>
    <w:rsid w:val="00BC2F4E"/>
    <w:rsid w:val="00BC4804"/>
    <w:rsid w:val="00BC5CF4"/>
    <w:rsid w:val="00BC74E9"/>
    <w:rsid w:val="00BD0CB9"/>
    <w:rsid w:val="00BD3356"/>
    <w:rsid w:val="00BD409A"/>
    <w:rsid w:val="00BD42B2"/>
    <w:rsid w:val="00BD54E7"/>
    <w:rsid w:val="00BE266B"/>
    <w:rsid w:val="00BE5864"/>
    <w:rsid w:val="00BE618E"/>
    <w:rsid w:val="00BF1D72"/>
    <w:rsid w:val="00BF517F"/>
    <w:rsid w:val="00C04C5C"/>
    <w:rsid w:val="00C063EB"/>
    <w:rsid w:val="00C12676"/>
    <w:rsid w:val="00C17582"/>
    <w:rsid w:val="00C22772"/>
    <w:rsid w:val="00C31736"/>
    <w:rsid w:val="00C3514F"/>
    <w:rsid w:val="00C40001"/>
    <w:rsid w:val="00C4186E"/>
    <w:rsid w:val="00C4208B"/>
    <w:rsid w:val="00C450A1"/>
    <w:rsid w:val="00C45606"/>
    <w:rsid w:val="00C463DD"/>
    <w:rsid w:val="00C4674C"/>
    <w:rsid w:val="00C55F42"/>
    <w:rsid w:val="00C5603F"/>
    <w:rsid w:val="00C56498"/>
    <w:rsid w:val="00C56783"/>
    <w:rsid w:val="00C60DCD"/>
    <w:rsid w:val="00C60F1E"/>
    <w:rsid w:val="00C62F76"/>
    <w:rsid w:val="00C63D2D"/>
    <w:rsid w:val="00C64384"/>
    <w:rsid w:val="00C64CF9"/>
    <w:rsid w:val="00C662B4"/>
    <w:rsid w:val="00C7064C"/>
    <w:rsid w:val="00C72C0A"/>
    <w:rsid w:val="00C738DE"/>
    <w:rsid w:val="00C745C3"/>
    <w:rsid w:val="00C77B50"/>
    <w:rsid w:val="00CA5C02"/>
    <w:rsid w:val="00CB2D56"/>
    <w:rsid w:val="00CB3A48"/>
    <w:rsid w:val="00CC1FBF"/>
    <w:rsid w:val="00CD42C3"/>
    <w:rsid w:val="00CE4A31"/>
    <w:rsid w:val="00CE4A8F"/>
    <w:rsid w:val="00CE58B6"/>
    <w:rsid w:val="00CE7621"/>
    <w:rsid w:val="00CF6553"/>
    <w:rsid w:val="00CF7C69"/>
    <w:rsid w:val="00D00E69"/>
    <w:rsid w:val="00D02365"/>
    <w:rsid w:val="00D0609D"/>
    <w:rsid w:val="00D10747"/>
    <w:rsid w:val="00D12FA4"/>
    <w:rsid w:val="00D16302"/>
    <w:rsid w:val="00D175A0"/>
    <w:rsid w:val="00D17D3E"/>
    <w:rsid w:val="00D2004E"/>
    <w:rsid w:val="00D2031B"/>
    <w:rsid w:val="00D22451"/>
    <w:rsid w:val="00D225D3"/>
    <w:rsid w:val="00D2387E"/>
    <w:rsid w:val="00D25FE2"/>
    <w:rsid w:val="00D26E85"/>
    <w:rsid w:val="00D26FBD"/>
    <w:rsid w:val="00D309FA"/>
    <w:rsid w:val="00D34350"/>
    <w:rsid w:val="00D37B69"/>
    <w:rsid w:val="00D43252"/>
    <w:rsid w:val="00D51AE0"/>
    <w:rsid w:val="00D54E16"/>
    <w:rsid w:val="00D56BC5"/>
    <w:rsid w:val="00D668CA"/>
    <w:rsid w:val="00D72092"/>
    <w:rsid w:val="00D7243E"/>
    <w:rsid w:val="00D747A9"/>
    <w:rsid w:val="00D753D8"/>
    <w:rsid w:val="00D76819"/>
    <w:rsid w:val="00D81B32"/>
    <w:rsid w:val="00D84DB1"/>
    <w:rsid w:val="00D933E1"/>
    <w:rsid w:val="00D93EF4"/>
    <w:rsid w:val="00D95849"/>
    <w:rsid w:val="00D96CC5"/>
    <w:rsid w:val="00D978C6"/>
    <w:rsid w:val="00DA4A76"/>
    <w:rsid w:val="00DA67AD"/>
    <w:rsid w:val="00DB0284"/>
    <w:rsid w:val="00DB4536"/>
    <w:rsid w:val="00DC16B9"/>
    <w:rsid w:val="00DC1797"/>
    <w:rsid w:val="00DC272A"/>
    <w:rsid w:val="00DC5A2C"/>
    <w:rsid w:val="00DD1029"/>
    <w:rsid w:val="00DD2DBA"/>
    <w:rsid w:val="00DD4F13"/>
    <w:rsid w:val="00DD6A81"/>
    <w:rsid w:val="00DD70B8"/>
    <w:rsid w:val="00DE14C0"/>
    <w:rsid w:val="00DE2327"/>
    <w:rsid w:val="00DE4184"/>
    <w:rsid w:val="00DE755A"/>
    <w:rsid w:val="00DF4CC5"/>
    <w:rsid w:val="00DF6719"/>
    <w:rsid w:val="00DF7129"/>
    <w:rsid w:val="00E044AD"/>
    <w:rsid w:val="00E130AB"/>
    <w:rsid w:val="00E145D7"/>
    <w:rsid w:val="00E22A3D"/>
    <w:rsid w:val="00E22FA2"/>
    <w:rsid w:val="00E2469A"/>
    <w:rsid w:val="00E24B85"/>
    <w:rsid w:val="00E25480"/>
    <w:rsid w:val="00E27184"/>
    <w:rsid w:val="00E305E0"/>
    <w:rsid w:val="00E31D49"/>
    <w:rsid w:val="00E40163"/>
    <w:rsid w:val="00E409F3"/>
    <w:rsid w:val="00E4194D"/>
    <w:rsid w:val="00E424C3"/>
    <w:rsid w:val="00E4418F"/>
    <w:rsid w:val="00E444CD"/>
    <w:rsid w:val="00E45DE2"/>
    <w:rsid w:val="00E5317F"/>
    <w:rsid w:val="00E5644E"/>
    <w:rsid w:val="00E57691"/>
    <w:rsid w:val="00E62EE3"/>
    <w:rsid w:val="00E6374A"/>
    <w:rsid w:val="00E65826"/>
    <w:rsid w:val="00E66AF1"/>
    <w:rsid w:val="00E7260F"/>
    <w:rsid w:val="00E72B20"/>
    <w:rsid w:val="00E762E3"/>
    <w:rsid w:val="00E8063C"/>
    <w:rsid w:val="00E82B8D"/>
    <w:rsid w:val="00E8535A"/>
    <w:rsid w:val="00E87017"/>
    <w:rsid w:val="00E936EC"/>
    <w:rsid w:val="00E94323"/>
    <w:rsid w:val="00E96630"/>
    <w:rsid w:val="00E971E9"/>
    <w:rsid w:val="00EA1347"/>
    <w:rsid w:val="00EA3CDE"/>
    <w:rsid w:val="00EA7548"/>
    <w:rsid w:val="00EB2312"/>
    <w:rsid w:val="00EB5597"/>
    <w:rsid w:val="00EB6260"/>
    <w:rsid w:val="00EB6832"/>
    <w:rsid w:val="00EC42EA"/>
    <w:rsid w:val="00ED0291"/>
    <w:rsid w:val="00ED0F5C"/>
    <w:rsid w:val="00ED2980"/>
    <w:rsid w:val="00ED343E"/>
    <w:rsid w:val="00ED389D"/>
    <w:rsid w:val="00ED4EB3"/>
    <w:rsid w:val="00ED687E"/>
    <w:rsid w:val="00ED7A2A"/>
    <w:rsid w:val="00EE32E6"/>
    <w:rsid w:val="00EE6D6E"/>
    <w:rsid w:val="00EF1D7F"/>
    <w:rsid w:val="00EF2080"/>
    <w:rsid w:val="00EF2882"/>
    <w:rsid w:val="00EF339F"/>
    <w:rsid w:val="00EF7190"/>
    <w:rsid w:val="00F01117"/>
    <w:rsid w:val="00F01355"/>
    <w:rsid w:val="00F054AD"/>
    <w:rsid w:val="00F128EA"/>
    <w:rsid w:val="00F14001"/>
    <w:rsid w:val="00F14936"/>
    <w:rsid w:val="00F20B4D"/>
    <w:rsid w:val="00F25697"/>
    <w:rsid w:val="00F30899"/>
    <w:rsid w:val="00F32FE9"/>
    <w:rsid w:val="00F35469"/>
    <w:rsid w:val="00F3767A"/>
    <w:rsid w:val="00F4007E"/>
    <w:rsid w:val="00F4055B"/>
    <w:rsid w:val="00F40E02"/>
    <w:rsid w:val="00F40E75"/>
    <w:rsid w:val="00F40F58"/>
    <w:rsid w:val="00F416AA"/>
    <w:rsid w:val="00F41DA9"/>
    <w:rsid w:val="00F423FC"/>
    <w:rsid w:val="00F475EB"/>
    <w:rsid w:val="00F47673"/>
    <w:rsid w:val="00F50683"/>
    <w:rsid w:val="00F516D5"/>
    <w:rsid w:val="00F530E9"/>
    <w:rsid w:val="00F54674"/>
    <w:rsid w:val="00F6002E"/>
    <w:rsid w:val="00F61AF2"/>
    <w:rsid w:val="00F6331D"/>
    <w:rsid w:val="00F660F2"/>
    <w:rsid w:val="00F7171A"/>
    <w:rsid w:val="00F757A2"/>
    <w:rsid w:val="00F90E77"/>
    <w:rsid w:val="00F91581"/>
    <w:rsid w:val="00F936AF"/>
    <w:rsid w:val="00FA1CE6"/>
    <w:rsid w:val="00FA3793"/>
    <w:rsid w:val="00FA4703"/>
    <w:rsid w:val="00FA54B1"/>
    <w:rsid w:val="00FA64BC"/>
    <w:rsid w:val="00FA7B28"/>
    <w:rsid w:val="00FB2369"/>
    <w:rsid w:val="00FB723A"/>
    <w:rsid w:val="00FB7905"/>
    <w:rsid w:val="00FB7A4C"/>
    <w:rsid w:val="00FC68B7"/>
    <w:rsid w:val="00FD105B"/>
    <w:rsid w:val="00FD1FD8"/>
    <w:rsid w:val="00FD43DE"/>
    <w:rsid w:val="00FD6556"/>
    <w:rsid w:val="00FD6B2B"/>
    <w:rsid w:val="00FE169C"/>
    <w:rsid w:val="00FE4A81"/>
    <w:rsid w:val="00FE5AF3"/>
    <w:rsid w:val="00FE752E"/>
    <w:rsid w:val="00FF03BB"/>
    <w:rsid w:val="00FF1390"/>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4">
    <w:name w:val="Manual Heading 4"/>
    <w:basedOn w:val="Normal"/>
    <w:next w:val="Normal"/>
    <w:rsid w:val="00F6002E"/>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5">
    <w:name w:val="Manual Heading 5"/>
    <w:basedOn w:val="Normal"/>
    <w:next w:val="Normal"/>
    <w:rsid w:val="00906C81"/>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ListParagraph">
    <w:name w:val="List Paragraph"/>
    <w:basedOn w:val="Normal"/>
    <w:uiPriority w:val="34"/>
    <w:qFormat/>
    <w:rsid w:val="00074B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4">
    <w:name w:val="Manual Heading 4"/>
    <w:basedOn w:val="Normal"/>
    <w:next w:val="Normal"/>
    <w:rsid w:val="00F6002E"/>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5">
    <w:name w:val="Manual Heading 5"/>
    <w:basedOn w:val="Normal"/>
    <w:next w:val="Normal"/>
    <w:rsid w:val="00906C81"/>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ListParagraph">
    <w:name w:val="List Paragraph"/>
    <w:basedOn w:val="Normal"/>
    <w:uiPriority w:val="34"/>
    <w:qFormat/>
    <w:rsid w:val="00074B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1090">
      <w:bodyDiv w:val="1"/>
      <w:marLeft w:val="0"/>
      <w:marRight w:val="0"/>
      <w:marTop w:val="0"/>
      <w:marBottom w:val="0"/>
      <w:divBdr>
        <w:top w:val="none" w:sz="0" w:space="0" w:color="auto"/>
        <w:left w:val="none" w:sz="0" w:space="0" w:color="auto"/>
        <w:bottom w:val="none" w:sz="0" w:space="0" w:color="auto"/>
        <w:right w:val="none" w:sz="0" w:space="0" w:color="auto"/>
      </w:divBdr>
    </w:div>
    <w:div w:id="1107429824">
      <w:bodyDiv w:val="1"/>
      <w:marLeft w:val="0"/>
      <w:marRight w:val="0"/>
      <w:marTop w:val="0"/>
      <w:marBottom w:val="0"/>
      <w:divBdr>
        <w:top w:val="none" w:sz="0" w:space="0" w:color="auto"/>
        <w:left w:val="none" w:sz="0" w:space="0" w:color="auto"/>
        <w:bottom w:val="none" w:sz="0" w:space="0" w:color="auto"/>
        <w:right w:val="none" w:sz="0" w:space="0" w:color="auto"/>
      </w:divBdr>
    </w:div>
    <w:div w:id="1212107789">
      <w:bodyDiv w:val="1"/>
      <w:marLeft w:val="0"/>
      <w:marRight w:val="0"/>
      <w:marTop w:val="0"/>
      <w:marBottom w:val="0"/>
      <w:divBdr>
        <w:top w:val="none" w:sz="0" w:space="0" w:color="auto"/>
        <w:left w:val="none" w:sz="0" w:space="0" w:color="auto"/>
        <w:bottom w:val="none" w:sz="0" w:space="0" w:color="auto"/>
        <w:right w:val="none" w:sz="0" w:space="0" w:color="auto"/>
      </w:divBdr>
      <w:divsChild>
        <w:div w:id="1349408205">
          <w:marLeft w:val="0"/>
          <w:marRight w:val="0"/>
          <w:marTop w:val="0"/>
          <w:marBottom w:val="0"/>
          <w:divBdr>
            <w:top w:val="none" w:sz="0" w:space="0" w:color="auto"/>
            <w:left w:val="none" w:sz="0" w:space="0" w:color="auto"/>
            <w:bottom w:val="none" w:sz="0" w:space="0" w:color="auto"/>
            <w:right w:val="none" w:sz="0" w:space="0" w:color="auto"/>
          </w:divBdr>
          <w:divsChild>
            <w:div w:id="77605866">
              <w:marLeft w:val="0"/>
              <w:marRight w:val="0"/>
              <w:marTop w:val="0"/>
              <w:marBottom w:val="0"/>
              <w:divBdr>
                <w:top w:val="none" w:sz="0" w:space="0" w:color="auto"/>
                <w:left w:val="none" w:sz="0" w:space="0" w:color="auto"/>
                <w:bottom w:val="none" w:sz="0" w:space="0" w:color="auto"/>
                <w:right w:val="none" w:sz="0" w:space="0" w:color="auto"/>
              </w:divBdr>
              <w:divsChild>
                <w:div w:id="1045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5258">
      <w:bodyDiv w:val="1"/>
      <w:marLeft w:val="0"/>
      <w:marRight w:val="0"/>
      <w:marTop w:val="0"/>
      <w:marBottom w:val="0"/>
      <w:divBdr>
        <w:top w:val="none" w:sz="0" w:space="0" w:color="auto"/>
        <w:left w:val="none" w:sz="0" w:space="0" w:color="auto"/>
        <w:bottom w:val="none" w:sz="0" w:space="0" w:color="auto"/>
        <w:right w:val="none" w:sz="0" w:space="0" w:color="auto"/>
      </w:divBdr>
    </w:div>
    <w:div w:id="1507593053">
      <w:bodyDiv w:val="1"/>
      <w:marLeft w:val="0"/>
      <w:marRight w:val="0"/>
      <w:marTop w:val="0"/>
      <w:marBottom w:val="0"/>
      <w:divBdr>
        <w:top w:val="none" w:sz="0" w:space="0" w:color="auto"/>
        <w:left w:val="none" w:sz="0" w:space="0" w:color="auto"/>
        <w:bottom w:val="none" w:sz="0" w:space="0" w:color="auto"/>
        <w:right w:val="none" w:sz="0" w:space="0" w:color="auto"/>
      </w:divBdr>
      <w:divsChild>
        <w:div w:id="67583326">
          <w:marLeft w:val="0"/>
          <w:marRight w:val="0"/>
          <w:marTop w:val="0"/>
          <w:marBottom w:val="0"/>
          <w:divBdr>
            <w:top w:val="none" w:sz="0" w:space="0" w:color="auto"/>
            <w:left w:val="none" w:sz="0" w:space="0" w:color="auto"/>
            <w:bottom w:val="none" w:sz="0" w:space="0" w:color="auto"/>
            <w:right w:val="none" w:sz="0" w:space="0" w:color="auto"/>
          </w:divBdr>
          <w:divsChild>
            <w:div w:id="1793161395">
              <w:marLeft w:val="0"/>
              <w:marRight w:val="0"/>
              <w:marTop w:val="0"/>
              <w:marBottom w:val="0"/>
              <w:divBdr>
                <w:top w:val="none" w:sz="0" w:space="0" w:color="auto"/>
                <w:left w:val="none" w:sz="0" w:space="0" w:color="auto"/>
                <w:bottom w:val="none" w:sz="0" w:space="0" w:color="auto"/>
                <w:right w:val="none" w:sz="0" w:space="0" w:color="auto"/>
              </w:divBdr>
              <w:divsChild>
                <w:div w:id="760763154">
                  <w:marLeft w:val="0"/>
                  <w:marRight w:val="0"/>
                  <w:marTop w:val="0"/>
                  <w:marBottom w:val="0"/>
                  <w:divBdr>
                    <w:top w:val="none" w:sz="0" w:space="0" w:color="auto"/>
                    <w:left w:val="none" w:sz="0" w:space="0" w:color="auto"/>
                    <w:bottom w:val="none" w:sz="0" w:space="0" w:color="auto"/>
                    <w:right w:val="none" w:sz="0" w:space="0" w:color="auto"/>
                  </w:divBdr>
                  <w:divsChild>
                    <w:div w:id="782771380">
                      <w:marLeft w:val="0"/>
                      <w:marRight w:val="0"/>
                      <w:marTop w:val="0"/>
                      <w:marBottom w:val="0"/>
                      <w:divBdr>
                        <w:top w:val="none" w:sz="0" w:space="0" w:color="auto"/>
                        <w:left w:val="none" w:sz="0" w:space="0" w:color="auto"/>
                        <w:bottom w:val="none" w:sz="0" w:space="0" w:color="auto"/>
                        <w:right w:val="none" w:sz="0" w:space="0" w:color="auto"/>
                      </w:divBdr>
                      <w:divsChild>
                        <w:div w:id="372778972">
                          <w:marLeft w:val="0"/>
                          <w:marRight w:val="0"/>
                          <w:marTop w:val="0"/>
                          <w:marBottom w:val="0"/>
                          <w:divBdr>
                            <w:top w:val="none" w:sz="0" w:space="0" w:color="auto"/>
                            <w:left w:val="none" w:sz="0" w:space="0" w:color="auto"/>
                            <w:bottom w:val="none" w:sz="0" w:space="0" w:color="auto"/>
                            <w:right w:val="none" w:sz="0" w:space="0" w:color="auto"/>
                          </w:divBdr>
                          <w:divsChild>
                            <w:div w:id="2864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isk_management" TargetMode="External"/><Relationship Id="rId18" Type="http://schemas.openxmlformats.org/officeDocument/2006/relationships/hyperlink" Target="https://en.wikipedia.org/wiki/Notified_Bod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n.wikipedia.org/wiki/Medical_Devices_Directive" TargetMode="External"/><Relationship Id="rId17" Type="http://schemas.openxmlformats.org/officeDocument/2006/relationships/hyperlink" Target="https://en.wikipedia.org/wiki/ISO_149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Directive_(European_Union)" TargetMode="External"/><Relationship Id="rId20" Type="http://schemas.openxmlformats.org/officeDocument/2006/relationships/hyperlink" Target="https://www.iso.org/obp/u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ood_and_Drug_Administr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n.wikipedia.org/wiki/Corrective_and_preventive_actio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n.wikipedia.org/wiki/CE_mar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n.wikipedia.org/wiki/Design_control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EA76-F4DE-4C8C-A417-56E5F730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2329</Words>
  <Characters>12918</Characters>
  <Application>Microsoft Office Word</Application>
  <DocSecurity>0</DocSecurity>
  <Lines>401</Lines>
  <Paragraphs>181</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15252</CharactersWithSpaces>
  <SharedDoc>false</SharedDoc>
  <HLinks>
    <vt:vector size="6" baseType="variant">
      <vt:variant>
        <vt:i4>7602248</vt:i4>
      </vt:variant>
      <vt:variant>
        <vt:i4>5402</vt:i4>
      </vt:variant>
      <vt:variant>
        <vt:i4>1030</vt:i4>
      </vt:variant>
      <vt:variant>
        <vt:i4>1</vt:i4>
      </vt:variant>
      <vt:variant>
        <vt:lpwstr>cid:image001.jpg@01CFAA93.9E02ECE0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2016-04-11T08:39:00Z</cp:lastPrinted>
  <dcterms:created xsi:type="dcterms:W3CDTF">2016-04-08T14:20:00Z</dcterms:created>
  <dcterms:modified xsi:type="dcterms:W3CDTF">2016-04-11T08:40:00Z</dcterms:modified>
</cp:coreProperties>
</file>