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433C57" w:rsidTr="000305D3">
        <w:trPr>
          <w:trHeight w:hRule="exact" w:val="851"/>
        </w:trPr>
        <w:tc>
          <w:tcPr>
            <w:tcW w:w="1276" w:type="dxa"/>
            <w:tcBorders>
              <w:bottom w:val="single" w:sz="4" w:space="0" w:color="auto"/>
            </w:tcBorders>
          </w:tcPr>
          <w:p w:rsidR="00132EA9" w:rsidRPr="00433C57" w:rsidRDefault="00132EA9" w:rsidP="00E95F14">
            <w:bookmarkStart w:id="0" w:name="_GoBack"/>
            <w:bookmarkEnd w:id="0"/>
          </w:p>
        </w:tc>
        <w:tc>
          <w:tcPr>
            <w:tcW w:w="2268" w:type="dxa"/>
            <w:tcBorders>
              <w:bottom w:val="single" w:sz="4" w:space="0" w:color="auto"/>
            </w:tcBorders>
            <w:vAlign w:val="bottom"/>
          </w:tcPr>
          <w:p w:rsidR="00132EA9" w:rsidRPr="00433C57" w:rsidRDefault="00132EA9" w:rsidP="009C3129">
            <w:pPr>
              <w:spacing w:after="80" w:line="300" w:lineRule="exact"/>
              <w:rPr>
                <w:sz w:val="28"/>
              </w:rPr>
            </w:pPr>
            <w:r w:rsidRPr="00433C57">
              <w:rPr>
                <w:sz w:val="28"/>
              </w:rPr>
              <w:t>Nations Unies</w:t>
            </w:r>
          </w:p>
        </w:tc>
        <w:tc>
          <w:tcPr>
            <w:tcW w:w="6095" w:type="dxa"/>
            <w:gridSpan w:val="2"/>
            <w:tcBorders>
              <w:bottom w:val="single" w:sz="4" w:space="0" w:color="auto"/>
            </w:tcBorders>
            <w:vAlign w:val="bottom"/>
          </w:tcPr>
          <w:p w:rsidR="00132EA9" w:rsidRPr="00433C57" w:rsidRDefault="00E95F14" w:rsidP="00E95F14">
            <w:pPr>
              <w:jc w:val="right"/>
            </w:pPr>
            <w:r w:rsidRPr="00433C57">
              <w:rPr>
                <w:sz w:val="40"/>
              </w:rPr>
              <w:t>ST</w:t>
            </w:r>
            <w:r w:rsidRPr="00433C57">
              <w:t>/SG/AC.10/C.3/2016/40</w:t>
            </w:r>
          </w:p>
        </w:tc>
      </w:tr>
      <w:tr w:rsidR="00132EA9" w:rsidRPr="00433C57" w:rsidTr="009C3129">
        <w:trPr>
          <w:trHeight w:hRule="exact" w:val="2835"/>
        </w:trPr>
        <w:tc>
          <w:tcPr>
            <w:tcW w:w="1276" w:type="dxa"/>
            <w:tcBorders>
              <w:top w:val="single" w:sz="4" w:space="0" w:color="auto"/>
              <w:bottom w:val="single" w:sz="12" w:space="0" w:color="auto"/>
            </w:tcBorders>
          </w:tcPr>
          <w:p w:rsidR="00132EA9" w:rsidRPr="00433C57" w:rsidRDefault="00132EA9" w:rsidP="009C3129">
            <w:pPr>
              <w:spacing w:before="120"/>
              <w:jc w:val="center"/>
            </w:pPr>
            <w:r w:rsidRPr="00433C57">
              <w:rPr>
                <w:noProof/>
                <w:lang w:val="en-GB" w:eastAsia="en-GB"/>
              </w:rPr>
              <w:drawing>
                <wp:inline distT="0" distB="0" distL="0" distR="0" wp14:anchorId="16FA412E" wp14:editId="19A34C9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433C57" w:rsidRDefault="00132EA9" w:rsidP="009C3129">
            <w:pPr>
              <w:spacing w:before="120" w:line="420" w:lineRule="exact"/>
              <w:rPr>
                <w:b/>
                <w:sz w:val="40"/>
                <w:szCs w:val="40"/>
              </w:rPr>
            </w:pPr>
            <w:r w:rsidRPr="00433C57">
              <w:rPr>
                <w:b/>
                <w:sz w:val="40"/>
                <w:szCs w:val="40"/>
              </w:rPr>
              <w:t>Secrétariat</w:t>
            </w:r>
          </w:p>
        </w:tc>
        <w:tc>
          <w:tcPr>
            <w:tcW w:w="2835" w:type="dxa"/>
            <w:tcBorders>
              <w:top w:val="single" w:sz="4" w:space="0" w:color="auto"/>
              <w:bottom w:val="single" w:sz="12" w:space="0" w:color="auto"/>
            </w:tcBorders>
          </w:tcPr>
          <w:p w:rsidR="00132EA9" w:rsidRPr="00433C57" w:rsidRDefault="00E95F14" w:rsidP="009C3129">
            <w:pPr>
              <w:spacing w:before="240"/>
            </w:pPr>
            <w:r w:rsidRPr="00433C57">
              <w:t>Distr. générale</w:t>
            </w:r>
          </w:p>
          <w:p w:rsidR="00E95F14" w:rsidRPr="00433C57" w:rsidRDefault="00E95F14" w:rsidP="00E95F14">
            <w:pPr>
              <w:spacing w:line="240" w:lineRule="exact"/>
            </w:pPr>
            <w:r w:rsidRPr="00433C57">
              <w:t>11 avril 2016</w:t>
            </w:r>
          </w:p>
          <w:p w:rsidR="00E95F14" w:rsidRPr="00433C57" w:rsidRDefault="00E95F14" w:rsidP="00E95F14">
            <w:pPr>
              <w:spacing w:line="240" w:lineRule="exact"/>
            </w:pPr>
            <w:r w:rsidRPr="00433C57">
              <w:t>Français</w:t>
            </w:r>
          </w:p>
          <w:p w:rsidR="00E95F14" w:rsidRPr="00433C57" w:rsidRDefault="00E95F14" w:rsidP="00E95F14">
            <w:pPr>
              <w:spacing w:line="240" w:lineRule="exact"/>
            </w:pPr>
            <w:r w:rsidRPr="00433C57">
              <w:t>Original : anglais</w:t>
            </w:r>
          </w:p>
        </w:tc>
      </w:tr>
    </w:tbl>
    <w:p w:rsidR="00E95F14" w:rsidRPr="00433C57" w:rsidRDefault="00E95F14" w:rsidP="000305D3">
      <w:pPr>
        <w:spacing w:before="120"/>
        <w:rPr>
          <w:b/>
          <w:sz w:val="24"/>
          <w:szCs w:val="24"/>
        </w:rPr>
      </w:pPr>
      <w:r w:rsidRPr="00433C57">
        <w:rPr>
          <w:b/>
          <w:sz w:val="24"/>
          <w:szCs w:val="24"/>
        </w:rPr>
        <w:t>Comité d</w:t>
      </w:r>
      <w:r w:rsidR="00433C57">
        <w:rPr>
          <w:b/>
          <w:sz w:val="24"/>
          <w:szCs w:val="24"/>
        </w:rPr>
        <w:t>’</w:t>
      </w:r>
      <w:r w:rsidRPr="00433C57">
        <w:rPr>
          <w:b/>
          <w:sz w:val="24"/>
          <w:szCs w:val="24"/>
        </w:rPr>
        <w:t>experts du transport des marchandises dangereuses</w:t>
      </w:r>
      <w:r w:rsidRPr="00433C57">
        <w:rPr>
          <w:b/>
          <w:sz w:val="24"/>
          <w:szCs w:val="24"/>
        </w:rPr>
        <w:br/>
        <w:t>et du Système général harmonisé de classification</w:t>
      </w:r>
      <w:r w:rsidRPr="00433C57">
        <w:rPr>
          <w:b/>
          <w:sz w:val="24"/>
          <w:szCs w:val="24"/>
        </w:rPr>
        <w:br/>
        <w:t>et d</w:t>
      </w:r>
      <w:r w:rsidR="00433C57">
        <w:rPr>
          <w:b/>
          <w:sz w:val="24"/>
          <w:szCs w:val="24"/>
        </w:rPr>
        <w:t>’</w:t>
      </w:r>
      <w:r w:rsidRPr="00433C57">
        <w:rPr>
          <w:b/>
          <w:sz w:val="24"/>
          <w:szCs w:val="24"/>
        </w:rPr>
        <w:t>étiquetage des produits chimiques</w:t>
      </w:r>
    </w:p>
    <w:p w:rsidR="00E95F14" w:rsidRPr="00433C57" w:rsidRDefault="00E95F14" w:rsidP="000305D3">
      <w:pPr>
        <w:spacing w:before="120"/>
        <w:rPr>
          <w:b/>
        </w:rPr>
      </w:pPr>
      <w:r w:rsidRPr="00433C57">
        <w:rPr>
          <w:b/>
        </w:rPr>
        <w:t>Sous-Comité d</w:t>
      </w:r>
      <w:r w:rsidR="00433C57">
        <w:rPr>
          <w:b/>
        </w:rPr>
        <w:t>’</w:t>
      </w:r>
      <w:r w:rsidRPr="00433C57">
        <w:rPr>
          <w:b/>
        </w:rPr>
        <w:t>experts du transport des marchandises dangereuses</w:t>
      </w:r>
    </w:p>
    <w:p w:rsidR="00E95F14" w:rsidRPr="00433C57" w:rsidRDefault="00E95F14" w:rsidP="000305D3">
      <w:pPr>
        <w:spacing w:before="120"/>
        <w:rPr>
          <w:b/>
        </w:rPr>
      </w:pPr>
      <w:r w:rsidRPr="00433C57">
        <w:rPr>
          <w:b/>
        </w:rPr>
        <w:t>Quarante-neuvième session</w:t>
      </w:r>
    </w:p>
    <w:p w:rsidR="00E95F14" w:rsidRPr="00433C57" w:rsidRDefault="00E95F14" w:rsidP="000305D3">
      <w:r w:rsidRPr="00433C57">
        <w:t>Genève, 27 juin-6 juillet 2016</w:t>
      </w:r>
    </w:p>
    <w:p w:rsidR="00E95F14" w:rsidRPr="00433C57" w:rsidRDefault="00E95F14" w:rsidP="000305D3">
      <w:r w:rsidRPr="00433C57">
        <w:t xml:space="preserve">Point </w:t>
      </w:r>
      <w:r w:rsidR="00433C57" w:rsidRPr="00433C57">
        <w:t>3</w:t>
      </w:r>
      <w:r w:rsidRPr="00433C57">
        <w:t xml:space="preserve"> de l</w:t>
      </w:r>
      <w:r w:rsidR="00433C57">
        <w:t>’</w:t>
      </w:r>
      <w:r w:rsidRPr="00433C57">
        <w:t>ordre du jour provisoire</w:t>
      </w:r>
    </w:p>
    <w:p w:rsidR="00433C57" w:rsidRPr="00433C57" w:rsidRDefault="00433C57" w:rsidP="00433C57">
      <w:pPr>
        <w:rPr>
          <w:b/>
        </w:rPr>
      </w:pPr>
      <w:r w:rsidRPr="00433C57">
        <w:rPr>
          <w:b/>
        </w:rPr>
        <w:t>Inscription, classement et emballage</w:t>
      </w:r>
    </w:p>
    <w:p w:rsidR="00433C57" w:rsidRPr="00433C57" w:rsidRDefault="00433C57" w:rsidP="00433C57">
      <w:pPr>
        <w:pStyle w:val="HChG"/>
      </w:pPr>
      <w:r w:rsidRPr="00433C57">
        <w:tab/>
      </w:r>
      <w:r w:rsidRPr="00433C57">
        <w:tab/>
        <w:t xml:space="preserve">Nouveau code E pour les marchandises dangereuses </w:t>
      </w:r>
      <w:r w:rsidRPr="00433C57">
        <w:br/>
        <w:t>en quantités exceptées</w:t>
      </w:r>
    </w:p>
    <w:p w:rsidR="00433C57" w:rsidRPr="00433C57" w:rsidRDefault="00433C57" w:rsidP="00433C57">
      <w:pPr>
        <w:pStyle w:val="H1G"/>
      </w:pPr>
      <w:r w:rsidRPr="00433C57">
        <w:tab/>
      </w:r>
      <w:r w:rsidRPr="00433C57">
        <w:tab/>
        <w:t xml:space="preserve">Communication du Conseil consultatif des marchandises </w:t>
      </w:r>
      <w:r w:rsidR="006F6C13">
        <w:br/>
      </w:r>
      <w:r w:rsidRPr="00433C57">
        <w:t>dangereuses</w:t>
      </w:r>
      <w:r w:rsidRPr="006F6C13">
        <w:rPr>
          <w:rStyle w:val="FootnoteReference"/>
          <w:b w:val="0"/>
        </w:rPr>
        <w:footnoteReference w:id="2"/>
      </w:r>
    </w:p>
    <w:p w:rsidR="00433C57" w:rsidRPr="00433C57" w:rsidRDefault="00433C57" w:rsidP="00433C57">
      <w:pPr>
        <w:pStyle w:val="HChG"/>
      </w:pPr>
      <w:r w:rsidRPr="00433C57">
        <w:tab/>
      </w:r>
      <w:r w:rsidRPr="00433C57">
        <w:tab/>
        <w:t>Introduction</w:t>
      </w:r>
    </w:p>
    <w:p w:rsidR="00433C57" w:rsidRPr="00433C57" w:rsidRDefault="00433C57" w:rsidP="00433C57">
      <w:pPr>
        <w:pStyle w:val="SingleTxtG"/>
      </w:pPr>
      <w:r w:rsidRPr="00433C57">
        <w:t>1.</w:t>
      </w:r>
      <w:r w:rsidRPr="00433C57">
        <w:tab/>
        <w:t>Le Conseil consultatif des marchandises dangereuses propose d</w:t>
      </w:r>
      <w:r>
        <w:t>’</w:t>
      </w:r>
      <w:r w:rsidRPr="00433C57">
        <w:t xml:space="preserve">apporter une modification aux dispositions du chapitre 3.5 concernant les marchandises dangereuses en quantités exceptées en créant un nouveau code E [E6] qui autoriserait des emballages intérieurs ne dépassant pas 1 g pour les solides ou </w:t>
      </w:r>
      <w:r w:rsidR="000633C0">
        <w:t>1 </w:t>
      </w:r>
      <w:r w:rsidRPr="00433C57">
        <w:t xml:space="preserve">ml pour les liquides dans des emballages extérieurs ne dépassant pas 1 000 g ou ml. </w:t>
      </w:r>
    </w:p>
    <w:p w:rsidR="00433C57" w:rsidRPr="00433C57" w:rsidRDefault="00433C57" w:rsidP="00433C57">
      <w:pPr>
        <w:pStyle w:val="HChG"/>
      </w:pPr>
      <w:r w:rsidRPr="00433C57">
        <w:tab/>
      </w:r>
      <w:r w:rsidRPr="00433C57">
        <w:tab/>
        <w:t>Contexte</w:t>
      </w:r>
    </w:p>
    <w:p w:rsidR="00433C57" w:rsidRPr="00433C57" w:rsidRDefault="00433C57" w:rsidP="00433C57">
      <w:pPr>
        <w:pStyle w:val="SingleTxtG"/>
      </w:pPr>
      <w:r w:rsidRPr="00433C57">
        <w:t>2.</w:t>
      </w:r>
      <w:r w:rsidRPr="00433C57">
        <w:tab/>
        <w:t>Les produits contenant des alcools (par exemple les numéros ONU1170, ONU1219 et ONU1987, auxquels est actuellement affecté le code</w:t>
      </w:r>
      <w:r w:rsidR="000633C0">
        <w:t> </w:t>
      </w:r>
      <w:r w:rsidRPr="00433C57">
        <w:t xml:space="preserve">E2), communément utilisés dans les produits médicaux et à des fins de stérilisation, sont distribués mondialement par tous les modes de transport. Des images de tels emballages intérieurs et extérieurs ainsi que des exemples de leurs applications </w:t>
      </w:r>
      <w:r>
        <w:t>sont présentés en annexe.</w:t>
      </w:r>
    </w:p>
    <w:p w:rsidR="00433C57" w:rsidRPr="00433C57" w:rsidRDefault="00433C57" w:rsidP="005C345E">
      <w:pPr>
        <w:pStyle w:val="SingleTxtG"/>
        <w:keepNext/>
        <w:keepLines/>
      </w:pPr>
      <w:r w:rsidRPr="00433C57">
        <w:lastRenderedPageBreak/>
        <w:t>3.</w:t>
      </w:r>
      <w:r w:rsidRPr="00433C57">
        <w:tab/>
        <w:t>Au-delà du transport, les méthodes d</w:t>
      </w:r>
      <w:r>
        <w:t>’</w:t>
      </w:r>
      <w:r w:rsidRPr="00433C57">
        <w:t>emballage et les quantités sont souvent étroitement contrôlées par les organismes officiels de réglementation. Les fabricants sont fréquemment tenus de faire approuver les emballages avant de les utiliser et il peut être difficile d</w:t>
      </w:r>
      <w:r>
        <w:t>’</w:t>
      </w:r>
      <w:r w:rsidRPr="00433C57">
        <w:t>obtenir l</w:t>
      </w:r>
      <w:r>
        <w:t>’</w:t>
      </w:r>
      <w:r w:rsidRPr="00433C57">
        <w:t>autorisation d</w:t>
      </w:r>
      <w:r>
        <w:t>’</w:t>
      </w:r>
      <w:r w:rsidRPr="00433C57">
        <w:t>y apporter des modifications ultérieures. Les fabricants de ces produits cherchent donc à concevoir des emballages assurant un maximum de flexibilité pour les besoins des divers utilisateurs tout en respectant les règlements relatifs au transport ainsi que ceux des autorités d</w:t>
      </w:r>
      <w:r>
        <w:t>’</w:t>
      </w:r>
      <w:r w:rsidRPr="00433C57">
        <w:t xml:space="preserve">autres secteurs gouvernementaux. </w:t>
      </w:r>
    </w:p>
    <w:p w:rsidR="00433C57" w:rsidRPr="00433C57" w:rsidRDefault="00433C57" w:rsidP="00433C57">
      <w:pPr>
        <w:pStyle w:val="HChG"/>
      </w:pPr>
      <w:r w:rsidRPr="00433C57">
        <w:tab/>
      </w:r>
      <w:r w:rsidRPr="00433C57">
        <w:tab/>
        <w:t>Justification</w:t>
      </w:r>
    </w:p>
    <w:p w:rsidR="00433C57" w:rsidRPr="00433C57" w:rsidRDefault="00433C57" w:rsidP="00433C57">
      <w:pPr>
        <w:pStyle w:val="SingleTxtG"/>
      </w:pPr>
      <w:r w:rsidRPr="00433C57">
        <w:t>4.</w:t>
      </w:r>
      <w:r w:rsidRPr="00433C57">
        <w:tab/>
        <w:t>S</w:t>
      </w:r>
      <w:r>
        <w:t>’</w:t>
      </w:r>
      <w:r w:rsidRPr="00433C57">
        <w:t>agissant des numéros ONU auxquels le code E2 est affecté, la proposition aurait pour effet de diviser par 30 la quantité maximale autorisée par emballage intérieur et de multiplier par deux la quantité maximale autorisée par emballage extérieur. Les limites imposées en matière d</w:t>
      </w:r>
      <w:r>
        <w:t>’</w:t>
      </w:r>
      <w:r w:rsidRPr="00433C57">
        <w:t xml:space="preserve">emballage intérieur seraient conformes aux codes </w:t>
      </w:r>
      <w:r w:rsidR="005C345E">
        <w:t>E1-</w:t>
      </w:r>
      <w:r w:rsidRPr="00433C57">
        <w:t>E5 et aux dispositions du paragraphe 3.5.1.4 a). Ces quantités correspondent à ce qui est défini comme étant des quantités « minimes » dans les Principes directeurs (</w:t>
      </w:r>
      <w:r w:rsidR="005C345E">
        <w:t>1 </w:t>
      </w:r>
      <w:r w:rsidRPr="00433C57">
        <w:t>ml ou 1</w:t>
      </w:r>
      <w:r w:rsidR="005C345E">
        <w:t> </w:t>
      </w:r>
      <w:r w:rsidRPr="00433C57">
        <w:t>g). Toutefois, la limite concernant l</w:t>
      </w:r>
      <w:r>
        <w:t>’</w:t>
      </w:r>
      <w:r w:rsidRPr="00433C57">
        <w:t>emballage extérieur serait conforme au code E1 actuel, ce qui fait que ces colis seraient soumis aux dispositions applicables aux quantités exceptées.</w:t>
      </w:r>
    </w:p>
    <w:p w:rsidR="00433C57" w:rsidRPr="00433C57" w:rsidRDefault="00433C57" w:rsidP="00433C57">
      <w:pPr>
        <w:pStyle w:val="SingleTxtG"/>
      </w:pPr>
      <w:r w:rsidRPr="00433C57">
        <w:t>5.</w:t>
      </w:r>
      <w:r w:rsidRPr="00433C57">
        <w:tab/>
        <w:t>La sécurité ne serait pas compromise. Les marchandises dangereuses seraient emballées dans de très petits emballages intérieurs et les colis complets seraient conformes aux dispositions existantes applicables aux quantités exceptées, notamment à celles qui concernent la communication des dangers et la capacité des emballages, leur conception et les ess</w:t>
      </w:r>
      <w:r>
        <w:t>ais auxquels ils sont soumis.</w:t>
      </w:r>
    </w:p>
    <w:p w:rsidR="00433C57" w:rsidRPr="00433C57" w:rsidRDefault="00433C57" w:rsidP="00433C57">
      <w:pPr>
        <w:pStyle w:val="SingleTxtG"/>
      </w:pPr>
      <w:r w:rsidRPr="00433C57">
        <w:t>6.</w:t>
      </w:r>
      <w:r w:rsidRPr="00433C57">
        <w:tab/>
        <w:t>Les fabricants seraient en mesure de concevoir un emballage respectant les prescriptions du Règlement type, obtenant l</w:t>
      </w:r>
      <w:r>
        <w:t>’</w:t>
      </w:r>
      <w:r w:rsidRPr="00433C57">
        <w:t>agrément de type nécessaire de la part d</w:t>
      </w:r>
      <w:r>
        <w:t>’</w:t>
      </w:r>
      <w:r w:rsidRPr="00433C57">
        <w:t>autres autorités concernées et suffisamment souple pour répondre aux divers besoins des consommateurs sans qu</w:t>
      </w:r>
      <w:r>
        <w:t>’</w:t>
      </w:r>
      <w:r w:rsidRPr="00433C57">
        <w:t>ils doivent avoir recours aux dispositions relatives aux quantités exceptées qui les contraindraient à utiliser des emballages extérieurs inutilement grands pour y faire tenir les marques (et étiquettes en cas de transport aérien).</w:t>
      </w:r>
    </w:p>
    <w:p w:rsidR="00433C57" w:rsidRPr="00433C57" w:rsidRDefault="00433C57" w:rsidP="00433C57">
      <w:pPr>
        <w:pStyle w:val="HChG"/>
      </w:pPr>
      <w:r w:rsidRPr="00433C57">
        <w:tab/>
      </w:r>
      <w:r w:rsidRPr="00433C57">
        <w:tab/>
        <w:t>Proposition</w:t>
      </w:r>
    </w:p>
    <w:p w:rsidR="00433C57" w:rsidRPr="00433C57" w:rsidRDefault="00433C57" w:rsidP="00433C57">
      <w:pPr>
        <w:pStyle w:val="SingleTxtG"/>
      </w:pPr>
      <w:r w:rsidRPr="00433C57">
        <w:t>7.</w:t>
      </w:r>
      <w:r w:rsidRPr="00433C57">
        <w:tab/>
        <w:t>Ajouter un nouveau code E [E6] au paragraphe 3.5.1.2 comme suit</w:t>
      </w:r>
      <w:r>
        <w:t> </w:t>
      </w:r>
      <w:r w:rsidRPr="00433C57">
        <w:t>:</w:t>
      </w:r>
    </w:p>
    <w:tbl>
      <w:tblPr>
        <w:tblW w:w="75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3357"/>
        <w:gridCol w:w="3357"/>
      </w:tblGrid>
      <w:tr w:rsidR="00433C57" w:rsidRPr="00433C57" w:rsidTr="00433C57">
        <w:trPr>
          <w:tblHeader/>
        </w:trPr>
        <w:tc>
          <w:tcPr>
            <w:tcW w:w="856" w:type="dxa"/>
            <w:shd w:val="clear" w:color="auto" w:fill="auto"/>
            <w:noWrap/>
            <w:tcMar>
              <w:top w:w="57" w:type="dxa"/>
              <w:left w:w="57" w:type="dxa"/>
              <w:bottom w:w="57" w:type="dxa"/>
              <w:right w:w="57" w:type="dxa"/>
            </w:tcMar>
            <w:vAlign w:val="center"/>
            <w:hideMark/>
          </w:tcPr>
          <w:p w:rsidR="00433C57" w:rsidRPr="00433C57" w:rsidRDefault="00433C57" w:rsidP="00433C57">
            <w:pPr>
              <w:spacing w:before="80" w:after="80" w:line="200" w:lineRule="exact"/>
              <w:ind w:right="113"/>
              <w:jc w:val="center"/>
            </w:pPr>
            <w:r w:rsidRPr="00FC58E4">
              <w:rPr>
                <w:b/>
              </w:rPr>
              <w:t>Code</w:t>
            </w:r>
          </w:p>
        </w:tc>
        <w:tc>
          <w:tcPr>
            <w:tcW w:w="3357" w:type="dxa"/>
            <w:shd w:val="clear" w:color="auto" w:fill="auto"/>
            <w:tcMar>
              <w:top w:w="57" w:type="dxa"/>
              <w:left w:w="57" w:type="dxa"/>
              <w:bottom w:w="57" w:type="dxa"/>
              <w:right w:w="57" w:type="dxa"/>
            </w:tcMar>
            <w:vAlign w:val="center"/>
            <w:hideMark/>
          </w:tcPr>
          <w:p w:rsidR="00433C57" w:rsidRPr="00433C57" w:rsidRDefault="00433C57" w:rsidP="00433C57">
            <w:pPr>
              <w:spacing w:before="80" w:after="80" w:line="200" w:lineRule="exact"/>
              <w:ind w:right="113"/>
              <w:jc w:val="center"/>
              <w:rPr>
                <w:b/>
              </w:rPr>
            </w:pPr>
            <w:r w:rsidRPr="00433C57">
              <w:rPr>
                <w:b/>
              </w:rPr>
              <w:t>Quantité maximale nette par</w:t>
            </w:r>
            <w:r w:rsidR="00FC58E4">
              <w:rPr>
                <w:b/>
              </w:rPr>
              <w:t xml:space="preserve"> </w:t>
            </w:r>
            <w:r w:rsidR="00FC58E4">
              <w:rPr>
                <w:b/>
              </w:rPr>
              <w:br/>
            </w:r>
            <w:r w:rsidRPr="00433C57">
              <w:rPr>
                <w:b/>
              </w:rPr>
              <w:t>emballage intérieur</w:t>
            </w:r>
          </w:p>
          <w:p w:rsidR="00433C57" w:rsidRPr="00433C57" w:rsidRDefault="00433C57" w:rsidP="00433C57">
            <w:pPr>
              <w:spacing w:before="80" w:after="80" w:line="200" w:lineRule="exact"/>
              <w:ind w:right="113"/>
              <w:jc w:val="center"/>
            </w:pPr>
            <w:r w:rsidRPr="00433C57">
              <w:t xml:space="preserve">(en grammes pour les solides </w:t>
            </w:r>
            <w:r w:rsidRPr="00433C57">
              <w:br/>
              <w:t>et ml pour les liquides et les gaz)</w:t>
            </w:r>
          </w:p>
        </w:tc>
        <w:tc>
          <w:tcPr>
            <w:tcW w:w="3357" w:type="dxa"/>
            <w:shd w:val="clear" w:color="auto" w:fill="auto"/>
            <w:tcMar>
              <w:top w:w="57" w:type="dxa"/>
              <w:left w:w="57" w:type="dxa"/>
              <w:bottom w:w="57" w:type="dxa"/>
              <w:right w:w="57" w:type="dxa"/>
            </w:tcMar>
            <w:vAlign w:val="center"/>
            <w:hideMark/>
          </w:tcPr>
          <w:p w:rsidR="00433C57" w:rsidRPr="00433C57" w:rsidRDefault="00433C57" w:rsidP="00433C57">
            <w:pPr>
              <w:spacing w:before="80" w:after="80" w:line="200" w:lineRule="exact"/>
              <w:ind w:right="113"/>
              <w:jc w:val="center"/>
              <w:rPr>
                <w:b/>
              </w:rPr>
            </w:pPr>
            <w:r w:rsidRPr="00433C57">
              <w:rPr>
                <w:b/>
              </w:rPr>
              <w:t xml:space="preserve">Quantité maximale nette </w:t>
            </w:r>
            <w:r w:rsidRPr="00433C57">
              <w:rPr>
                <w:b/>
              </w:rPr>
              <w:br/>
              <w:t>par emballage extérieur</w:t>
            </w:r>
          </w:p>
          <w:p w:rsidR="00433C57" w:rsidRPr="00433C57" w:rsidRDefault="00433C57" w:rsidP="00433C57">
            <w:pPr>
              <w:spacing w:before="80" w:after="80" w:line="200" w:lineRule="exact"/>
              <w:ind w:right="113"/>
              <w:jc w:val="center"/>
            </w:pPr>
            <w:r w:rsidRPr="00433C57">
              <w:t xml:space="preserve">(en grammes pour les solides </w:t>
            </w:r>
            <w:r w:rsidRPr="00433C57">
              <w:br/>
              <w:t xml:space="preserve">et ml pour les liquides et les gaz, </w:t>
            </w:r>
            <w:r w:rsidRPr="00433C57">
              <w:br/>
              <w:t xml:space="preserve">ou la somme des grammes et ml </w:t>
            </w:r>
            <w:r w:rsidRPr="00433C57">
              <w:br/>
              <w:t>dans le cas d</w:t>
            </w:r>
            <w:r>
              <w:t>’</w:t>
            </w:r>
            <w:r w:rsidRPr="00433C57">
              <w:t>emballage en commun)</w:t>
            </w:r>
          </w:p>
        </w:tc>
      </w:tr>
      <w:tr w:rsidR="00433C57" w:rsidRPr="00433C57" w:rsidTr="00433C57">
        <w:tc>
          <w:tcPr>
            <w:tcW w:w="856" w:type="dxa"/>
            <w:shd w:val="clear" w:color="auto" w:fill="auto"/>
            <w:noWrap/>
            <w:tcMar>
              <w:top w:w="57" w:type="dxa"/>
              <w:left w:w="57" w:type="dxa"/>
              <w:bottom w:w="57" w:type="dxa"/>
              <w:right w:w="57" w:type="dxa"/>
            </w:tcMar>
            <w:hideMark/>
          </w:tcPr>
          <w:p w:rsidR="00433C57" w:rsidRPr="00433C57" w:rsidRDefault="00433C57" w:rsidP="00433C57">
            <w:pPr>
              <w:spacing w:before="40" w:after="120"/>
              <w:ind w:right="113"/>
              <w:jc w:val="center"/>
            </w:pPr>
            <w:r w:rsidRPr="00433C57">
              <w:t>E6</w:t>
            </w:r>
          </w:p>
        </w:tc>
        <w:tc>
          <w:tcPr>
            <w:tcW w:w="3357" w:type="dxa"/>
            <w:shd w:val="clear" w:color="auto" w:fill="auto"/>
            <w:tcMar>
              <w:top w:w="57" w:type="dxa"/>
              <w:left w:w="57" w:type="dxa"/>
              <w:bottom w:w="57" w:type="dxa"/>
              <w:right w:w="57" w:type="dxa"/>
            </w:tcMar>
            <w:hideMark/>
          </w:tcPr>
          <w:p w:rsidR="00433C57" w:rsidRPr="00433C57" w:rsidRDefault="00433C57" w:rsidP="00433C57">
            <w:pPr>
              <w:spacing w:before="40" w:after="120"/>
              <w:ind w:right="113"/>
              <w:jc w:val="center"/>
            </w:pPr>
            <w:r w:rsidRPr="00433C57">
              <w:t>1</w:t>
            </w:r>
          </w:p>
        </w:tc>
        <w:tc>
          <w:tcPr>
            <w:tcW w:w="3357" w:type="dxa"/>
            <w:shd w:val="clear" w:color="auto" w:fill="auto"/>
            <w:noWrap/>
            <w:tcMar>
              <w:top w:w="57" w:type="dxa"/>
              <w:left w:w="57" w:type="dxa"/>
              <w:bottom w:w="57" w:type="dxa"/>
              <w:right w:w="57" w:type="dxa"/>
            </w:tcMar>
            <w:hideMark/>
          </w:tcPr>
          <w:p w:rsidR="00433C57" w:rsidRPr="00433C57" w:rsidRDefault="00433C57" w:rsidP="00433C57">
            <w:pPr>
              <w:spacing w:before="40" w:after="120"/>
              <w:ind w:right="113"/>
              <w:jc w:val="center"/>
            </w:pPr>
            <w:r w:rsidRPr="00433C57">
              <w:t>1</w:t>
            </w:r>
            <w:r w:rsidR="00923CDC">
              <w:t xml:space="preserve"> </w:t>
            </w:r>
            <w:r w:rsidRPr="00433C57">
              <w:t>000</w:t>
            </w:r>
          </w:p>
        </w:tc>
      </w:tr>
    </w:tbl>
    <w:p w:rsidR="00433C57" w:rsidRPr="00433C57" w:rsidRDefault="00433C57" w:rsidP="00433C57">
      <w:pPr>
        <w:pStyle w:val="SingleTxtG"/>
        <w:spacing w:before="240"/>
      </w:pPr>
      <w:r w:rsidRPr="00433C57">
        <w:t>8.</w:t>
      </w:r>
      <w:r w:rsidRPr="00433C57">
        <w:tab/>
        <w:t>Ajouter le nouveau code E aux numéros ONU</w:t>
      </w:r>
      <w:r w:rsidR="005C345E">
        <w:t>1170 </w:t>
      </w:r>
      <w:r w:rsidRPr="00433C57">
        <w:t>(PGII), ONU1219</w:t>
      </w:r>
      <w:r w:rsidR="005C345E">
        <w:t> </w:t>
      </w:r>
      <w:r w:rsidRPr="00433C57">
        <w:t>(PGII) et ONU1987</w:t>
      </w:r>
      <w:r w:rsidR="005C345E">
        <w:t> </w:t>
      </w:r>
      <w:r w:rsidRPr="00433C57">
        <w:t>(PGII).</w:t>
      </w:r>
    </w:p>
    <w:p w:rsidR="00433C57" w:rsidRPr="00433C57" w:rsidRDefault="00433C57" w:rsidP="00433C57">
      <w:pPr>
        <w:pStyle w:val="SingleTxtG"/>
      </w:pPr>
      <w:r w:rsidRPr="00433C57">
        <w:t>9.</w:t>
      </w:r>
      <w:r w:rsidRPr="00433C57">
        <w:tab/>
        <w:t xml:space="preserve">Modifier en conséquence les principes directeurs en y introduisant le nouveau code E. </w:t>
      </w:r>
    </w:p>
    <w:p w:rsidR="00433C57" w:rsidRPr="00433C57" w:rsidRDefault="00433C57" w:rsidP="00433C57">
      <w:pPr>
        <w:pStyle w:val="SingleTxtG"/>
      </w:pPr>
      <w:r w:rsidRPr="00433C57">
        <w:t>10.</w:t>
      </w:r>
      <w:r w:rsidRPr="00433C57">
        <w:tab/>
        <w:t>Le Sous-Comité souhaitera peut-être voir si d</w:t>
      </w:r>
      <w:r>
        <w:t>’</w:t>
      </w:r>
      <w:r w:rsidRPr="00433C57">
        <w:t>autre</w:t>
      </w:r>
      <w:r w:rsidR="00FC58E4">
        <w:t>s</w:t>
      </w:r>
      <w:r w:rsidRPr="00433C57">
        <w:t xml:space="preserve"> numéros ONU (par exemple ONU1266) devraient également être ajoutés. </w:t>
      </w:r>
    </w:p>
    <w:p w:rsidR="00446FE5" w:rsidRPr="00433C57" w:rsidRDefault="00433C57" w:rsidP="000C4CB9">
      <w:pPr>
        <w:pStyle w:val="HChG"/>
        <w:spacing w:after="600"/>
      </w:pPr>
      <w:r w:rsidRPr="00433C57">
        <w:br w:type="page"/>
      </w:r>
      <w:r w:rsidRPr="00433C57">
        <w:lastRenderedPageBreak/>
        <w:t>Annexe</w:t>
      </w:r>
    </w:p>
    <w:p w:rsidR="00433C57" w:rsidRDefault="006F7E94" w:rsidP="000C4CB9">
      <w:pPr>
        <w:spacing w:after="480"/>
      </w:pPr>
      <w:r>
        <w:rPr>
          <w:noProof/>
          <w:lang w:val="en-GB" w:eastAsia="en-GB"/>
        </w:rPr>
        <mc:AlternateContent>
          <mc:Choice Requires="wps">
            <w:drawing>
              <wp:anchor distT="0" distB="0" distL="114300" distR="114300" simplePos="0" relativeHeight="251659264" behindDoc="0" locked="0" layoutInCell="1" allowOverlap="1" wp14:anchorId="4753C316" wp14:editId="73700A8A">
                <wp:simplePos x="0" y="0"/>
                <wp:positionH relativeFrom="column">
                  <wp:posOffset>84582</wp:posOffset>
                </wp:positionH>
                <wp:positionV relativeFrom="paragraph">
                  <wp:posOffset>-63017</wp:posOffset>
                </wp:positionV>
                <wp:extent cx="2374265" cy="343814"/>
                <wp:effectExtent l="0" t="0" r="28575"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3814"/>
                        </a:xfrm>
                        <a:prstGeom prst="rect">
                          <a:avLst/>
                        </a:prstGeom>
                        <a:solidFill>
                          <a:srgbClr val="FFFFFF"/>
                        </a:solidFill>
                        <a:ln w="9525">
                          <a:solidFill>
                            <a:schemeClr val="bg1"/>
                          </a:solidFill>
                          <a:miter lim="800000"/>
                          <a:headEnd/>
                          <a:tailEnd/>
                        </a:ln>
                      </wps:spPr>
                      <wps:txbx>
                        <w:txbxContent>
                          <w:p w:rsidR="006F7E94" w:rsidRDefault="006F7E94" w:rsidP="006F7E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5pt;margin-top:-4.95pt;width:186.95pt;height:27.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" strokecolor="white [3212]">
                <v:textbox>
                  <w:txbxContent>
                    <w:p w:rsidR="006F7E94" w:rsidRDefault="006F7E94" w:rsidP="006F7E94"/>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C515163" wp14:editId="46AC032E">
                <wp:simplePos x="0" y="0"/>
                <wp:positionH relativeFrom="column">
                  <wp:posOffset>2476500</wp:posOffset>
                </wp:positionH>
                <wp:positionV relativeFrom="paragraph">
                  <wp:posOffset>-10465</wp:posOffset>
                </wp:positionV>
                <wp:extent cx="2374265" cy="333197"/>
                <wp:effectExtent l="0" t="0" r="2857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197"/>
                        </a:xfrm>
                        <a:prstGeom prst="rect">
                          <a:avLst/>
                        </a:prstGeom>
                        <a:solidFill>
                          <a:srgbClr val="FFFFFF"/>
                        </a:solidFill>
                        <a:ln w="9525">
                          <a:solidFill>
                            <a:schemeClr val="bg1"/>
                          </a:solidFill>
                          <a:miter lim="800000"/>
                          <a:headEnd/>
                          <a:tailEnd/>
                        </a:ln>
                      </wps:spPr>
                      <wps:txbx>
                        <w:txbxContent>
                          <w:p w:rsidR="006F7E94" w:rsidRDefault="006F7E94" w:rsidP="006F7E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5pt;margin-top:-.8pt;width:186.95pt;height:26.2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" strokecolor="white [3212]">
                <v:textbox>
                  <w:txbxContent>
                    <w:p w:rsidR="006F7E94" w:rsidRDefault="006F7E94" w:rsidP="006F7E94"/>
                  </w:txbxContent>
                </v:textbox>
              </v:shape>
            </w:pict>
          </mc:Fallback>
        </mc:AlternateContent>
      </w:r>
      <w:r w:rsidR="000C4CB9">
        <w:rPr>
          <w:noProof/>
          <w:lang w:val="en-GB" w:eastAsia="en-GB"/>
        </w:rPr>
        <w:drawing>
          <wp:inline distT="0" distB="0" distL="0" distR="0" wp14:anchorId="5002C8BD" wp14:editId="15DBCA03">
            <wp:extent cx="5943519" cy="1945728"/>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37" b="34131"/>
                    <a:stretch/>
                  </pic:blipFill>
                  <pic:spPr bwMode="auto">
                    <a:xfrm>
                      <a:off x="0" y="0"/>
                      <a:ext cx="5943600" cy="1945755"/>
                    </a:xfrm>
                    <a:prstGeom prst="rect">
                      <a:avLst/>
                    </a:prstGeom>
                    <a:ln>
                      <a:noFill/>
                    </a:ln>
                    <a:extLst>
                      <a:ext uri="{53640926-AAD7-44D8-BBD7-CCE9431645EC}">
                        <a14:shadowObscured xmlns:a14="http://schemas.microsoft.com/office/drawing/2010/main"/>
                      </a:ext>
                    </a:extLst>
                  </pic:spPr>
                </pic:pic>
              </a:graphicData>
            </a:graphic>
          </wp:inline>
        </w:drawing>
      </w:r>
    </w:p>
    <w:p w:rsidR="000C4CB9" w:rsidRDefault="006F7E94" w:rsidP="00433C57">
      <w:r>
        <w:rPr>
          <w:noProof/>
          <w:lang w:val="en-GB" w:eastAsia="en-GB"/>
        </w:rPr>
        <mc:AlternateContent>
          <mc:Choice Requires="wps">
            <w:drawing>
              <wp:anchor distT="0" distB="0" distL="114300" distR="114300" simplePos="0" relativeHeight="251663360" behindDoc="0" locked="0" layoutInCell="1" allowOverlap="1" wp14:anchorId="2BE19647" wp14:editId="084EFCAF">
                <wp:simplePos x="0" y="0"/>
                <wp:positionH relativeFrom="column">
                  <wp:posOffset>23825</wp:posOffset>
                </wp:positionH>
                <wp:positionV relativeFrom="paragraph">
                  <wp:posOffset>62865</wp:posOffset>
                </wp:positionV>
                <wp:extent cx="2374265" cy="343814"/>
                <wp:effectExtent l="0" t="0" r="28575"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3814"/>
                        </a:xfrm>
                        <a:prstGeom prst="rect">
                          <a:avLst/>
                        </a:prstGeom>
                        <a:solidFill>
                          <a:srgbClr val="FFFFFF"/>
                        </a:solidFill>
                        <a:ln w="9525">
                          <a:solidFill>
                            <a:schemeClr val="bg1"/>
                          </a:solidFill>
                          <a:miter lim="800000"/>
                          <a:headEnd/>
                          <a:tailEnd/>
                        </a:ln>
                      </wps:spPr>
                      <wps:txbx>
                        <w:txbxContent>
                          <w:p w:rsidR="006F7E94" w:rsidRDefault="006F7E94" w:rsidP="006F7E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9pt;margin-top:4.95pt;width:186.95pt;height:27.0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" strokecolor="white [3212]">
                <v:textbox>
                  <w:txbxContent>
                    <w:p w:rsidR="006F7E94" w:rsidRDefault="006F7E94" w:rsidP="006F7E94"/>
                  </w:txbxContent>
                </v:textbox>
              </v:shape>
            </w:pict>
          </mc:Fallback>
        </mc:AlternateContent>
      </w:r>
    </w:p>
    <w:p w:rsidR="000C4CB9" w:rsidRDefault="006F7E94" w:rsidP="00433C57">
      <w:r>
        <w:rPr>
          <w:noProof/>
          <w:lang w:val="en-GB" w:eastAsia="en-GB"/>
        </w:rPr>
        <mc:AlternateContent>
          <mc:Choice Requires="wps">
            <w:drawing>
              <wp:anchor distT="0" distB="0" distL="114300" distR="114300" simplePos="0" relativeHeight="251665408" behindDoc="0" locked="0" layoutInCell="1" allowOverlap="1" wp14:anchorId="39407D38" wp14:editId="7A10A6E1">
                <wp:simplePos x="0" y="0"/>
                <wp:positionH relativeFrom="column">
                  <wp:posOffset>2443480</wp:posOffset>
                </wp:positionH>
                <wp:positionV relativeFrom="paragraph">
                  <wp:posOffset>13970</wp:posOffset>
                </wp:positionV>
                <wp:extent cx="2374265" cy="332740"/>
                <wp:effectExtent l="0" t="0" r="28575"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2740"/>
                        </a:xfrm>
                        <a:prstGeom prst="rect">
                          <a:avLst/>
                        </a:prstGeom>
                        <a:solidFill>
                          <a:srgbClr val="FFFFFF"/>
                        </a:solidFill>
                        <a:ln w="9525">
                          <a:solidFill>
                            <a:schemeClr val="bg1"/>
                          </a:solidFill>
                          <a:miter lim="800000"/>
                          <a:headEnd/>
                          <a:tailEnd/>
                        </a:ln>
                      </wps:spPr>
                      <wps:txbx>
                        <w:txbxContent>
                          <w:p w:rsidR="006F7E94" w:rsidRDefault="006F7E94" w:rsidP="006F7E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92.4pt;margin-top:1.1pt;width:186.95pt;height:26.2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" strokecolor="white [3212]">
                <v:textbox>
                  <w:txbxContent>
                    <w:p w:rsidR="006F7E94" w:rsidRDefault="006F7E94" w:rsidP="006F7E94"/>
                  </w:txbxContent>
                </v:textbox>
              </v:shape>
            </w:pict>
          </mc:Fallback>
        </mc:AlternateContent>
      </w:r>
      <w:r w:rsidR="000C4CB9">
        <w:rPr>
          <w:noProof/>
          <w:lang w:val="en-GB" w:eastAsia="en-GB"/>
        </w:rPr>
        <w:drawing>
          <wp:inline distT="0" distB="0" distL="0" distR="0" wp14:anchorId="17093570" wp14:editId="5753D1D8">
            <wp:extent cx="5943519" cy="1945729"/>
            <wp:effectExtent l="0" t="0" r="6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37" b="34131"/>
                    <a:stretch/>
                  </pic:blipFill>
                  <pic:spPr bwMode="auto">
                    <a:xfrm>
                      <a:off x="0" y="0"/>
                      <a:ext cx="5943600" cy="1945756"/>
                    </a:xfrm>
                    <a:prstGeom prst="rect">
                      <a:avLst/>
                    </a:prstGeom>
                    <a:ln>
                      <a:noFill/>
                    </a:ln>
                    <a:extLst>
                      <a:ext uri="{53640926-AAD7-44D8-BBD7-CCE9431645EC}">
                        <a14:shadowObscured xmlns:a14="http://schemas.microsoft.com/office/drawing/2010/main"/>
                      </a:ext>
                    </a:extLst>
                  </pic:spPr>
                </pic:pic>
              </a:graphicData>
            </a:graphic>
          </wp:inline>
        </w:drawing>
      </w:r>
    </w:p>
    <w:p w:rsidR="00A53728" w:rsidRPr="00A53728" w:rsidRDefault="00A53728" w:rsidP="00A53728">
      <w:pPr>
        <w:pStyle w:val="SingleTxtG"/>
        <w:spacing w:before="240" w:after="0"/>
        <w:jc w:val="center"/>
        <w:rPr>
          <w:u w:val="single"/>
        </w:rPr>
      </w:pPr>
      <w:r>
        <w:rPr>
          <w:u w:val="single"/>
        </w:rPr>
        <w:tab/>
      </w:r>
      <w:r>
        <w:rPr>
          <w:u w:val="single"/>
        </w:rPr>
        <w:tab/>
      </w:r>
      <w:r>
        <w:rPr>
          <w:u w:val="single"/>
        </w:rPr>
        <w:tab/>
      </w:r>
    </w:p>
    <w:sectPr w:rsidR="00A53728" w:rsidRPr="00A53728" w:rsidSect="00E95F14">
      <w:headerReference w:type="even" r:id="rId11"/>
      <w:headerReference w:type="default" r:id="rId12"/>
      <w:footerReference w:type="even" r:id="rId13"/>
      <w:footerReference w:type="default" r:id="rId14"/>
      <w:footerReference w:type="first" r:id="rId15"/>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418" w:rsidRDefault="001D5418" w:rsidP="00F95C08">
      <w:pPr>
        <w:spacing w:line="240" w:lineRule="auto"/>
      </w:pPr>
    </w:p>
  </w:endnote>
  <w:endnote w:type="continuationSeparator" w:id="0">
    <w:p w:rsidR="001D5418" w:rsidRPr="00AC3823" w:rsidRDefault="001D5418" w:rsidP="00AC3823">
      <w:pPr>
        <w:pStyle w:val="Footer"/>
      </w:pPr>
    </w:p>
  </w:endnote>
  <w:endnote w:type="continuationNotice" w:id="1">
    <w:p w:rsidR="001D5418" w:rsidRDefault="001D54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F14" w:rsidRPr="00E95F14" w:rsidRDefault="00E95F14" w:rsidP="00E95F14">
    <w:pPr>
      <w:pStyle w:val="Footer"/>
      <w:tabs>
        <w:tab w:val="right" w:pos="9638"/>
      </w:tabs>
    </w:pPr>
    <w:r w:rsidRPr="00E95F14">
      <w:rPr>
        <w:b/>
        <w:sz w:val="18"/>
      </w:rPr>
      <w:fldChar w:fldCharType="begin"/>
    </w:r>
    <w:r w:rsidRPr="00E95F14">
      <w:rPr>
        <w:b/>
        <w:sz w:val="18"/>
      </w:rPr>
      <w:instrText xml:space="preserve"> PAGE  \* MERGEFORMAT </w:instrText>
    </w:r>
    <w:r w:rsidRPr="00E95F14">
      <w:rPr>
        <w:b/>
        <w:sz w:val="18"/>
      </w:rPr>
      <w:fldChar w:fldCharType="separate"/>
    </w:r>
    <w:r w:rsidR="00E75A5F">
      <w:rPr>
        <w:b/>
        <w:noProof/>
        <w:sz w:val="18"/>
      </w:rPr>
      <w:t>2</w:t>
    </w:r>
    <w:r w:rsidRPr="00E95F14">
      <w:rPr>
        <w:b/>
        <w:sz w:val="18"/>
      </w:rPr>
      <w:fldChar w:fldCharType="end"/>
    </w:r>
    <w:r>
      <w:rPr>
        <w:b/>
        <w:sz w:val="18"/>
      </w:rPr>
      <w:tab/>
    </w:r>
    <w:r>
      <w:t>GE.16-05889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F14" w:rsidRPr="00E95F14" w:rsidRDefault="00E95F14" w:rsidP="00E95F14">
    <w:pPr>
      <w:pStyle w:val="Footer"/>
      <w:tabs>
        <w:tab w:val="right" w:pos="9638"/>
      </w:tabs>
      <w:rPr>
        <w:b/>
        <w:sz w:val="18"/>
      </w:rPr>
    </w:pPr>
    <w:r>
      <w:t>GE.16-05889</w:t>
    </w:r>
    <w:r>
      <w:tab/>
    </w:r>
    <w:r w:rsidRPr="00E95F14">
      <w:rPr>
        <w:b/>
        <w:sz w:val="18"/>
      </w:rPr>
      <w:fldChar w:fldCharType="begin"/>
    </w:r>
    <w:r w:rsidRPr="00E95F14">
      <w:rPr>
        <w:b/>
        <w:sz w:val="18"/>
      </w:rPr>
      <w:instrText xml:space="preserve"> PAGE  \* MERGEFORMAT </w:instrText>
    </w:r>
    <w:r w:rsidRPr="00E95F14">
      <w:rPr>
        <w:b/>
        <w:sz w:val="18"/>
      </w:rPr>
      <w:fldChar w:fldCharType="separate"/>
    </w:r>
    <w:r w:rsidR="00E75A5F">
      <w:rPr>
        <w:b/>
        <w:noProof/>
        <w:sz w:val="18"/>
      </w:rPr>
      <w:t>3</w:t>
    </w:r>
    <w:r w:rsidRPr="00E95F1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6F" w:rsidRPr="00E95F14" w:rsidRDefault="00E95F14" w:rsidP="00E95F14">
    <w:pPr>
      <w:pStyle w:val="Footer"/>
      <w:spacing w:before="120"/>
      <w:rPr>
        <w:sz w:val="20"/>
      </w:rPr>
    </w:pPr>
    <w:r>
      <w:rPr>
        <w:sz w:val="20"/>
      </w:rPr>
      <w:t>GE.</w:t>
    </w:r>
    <w:r w:rsidR="0068456F">
      <w:rPr>
        <w:noProof/>
        <w:lang w:val="en-GB" w:eastAsia="en-GB"/>
      </w:rPr>
      <w:drawing>
        <wp:anchor distT="0" distB="0" distL="114300" distR="114300" simplePos="0" relativeHeight="251659264" behindDoc="0" locked="0" layoutInCell="1" allowOverlap="0" wp14:anchorId="638672A2" wp14:editId="37E88EAA">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16-05889  (F)</w:t>
    </w:r>
    <w:r w:rsidR="006F6C13">
      <w:rPr>
        <w:sz w:val="20"/>
      </w:rPr>
      <w:t xml:space="preserve">    130516    130516</w:t>
    </w:r>
    <w:r>
      <w:rPr>
        <w:sz w:val="20"/>
      </w:rPr>
      <w:br/>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sidRPr="00E95F14">
      <w:rPr>
        <w:rFonts w:ascii="C39T30Lfz" w:hAnsi="C39T30Lfz"/>
        <w:sz w:val="56"/>
      </w:rPr>
      <w:t></w:t>
    </w:r>
    <w:r>
      <w:rPr>
        <w:noProof/>
        <w:sz w:val="20"/>
        <w:lang w:val="en-GB"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ST/SG/AC.10/C.3/2016/4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ST/SG/AC.10/C.3/2016/4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418" w:rsidRPr="00AC3823" w:rsidRDefault="001D5418" w:rsidP="00AC3823">
      <w:pPr>
        <w:pStyle w:val="Footer"/>
        <w:tabs>
          <w:tab w:val="right" w:pos="2155"/>
        </w:tabs>
        <w:spacing w:after="80" w:line="240" w:lineRule="atLeast"/>
        <w:ind w:left="680"/>
        <w:rPr>
          <w:u w:val="single"/>
        </w:rPr>
      </w:pPr>
      <w:r>
        <w:rPr>
          <w:u w:val="single"/>
        </w:rPr>
        <w:tab/>
      </w:r>
    </w:p>
  </w:footnote>
  <w:footnote w:type="continuationSeparator" w:id="0">
    <w:p w:rsidR="001D5418" w:rsidRPr="00AC3823" w:rsidRDefault="001D5418" w:rsidP="00AC3823">
      <w:pPr>
        <w:pStyle w:val="Footer"/>
        <w:tabs>
          <w:tab w:val="right" w:pos="2155"/>
        </w:tabs>
        <w:spacing w:after="80" w:line="240" w:lineRule="atLeast"/>
        <w:ind w:left="680"/>
        <w:rPr>
          <w:u w:val="single"/>
        </w:rPr>
      </w:pPr>
      <w:r>
        <w:rPr>
          <w:u w:val="single"/>
        </w:rPr>
        <w:tab/>
      </w:r>
    </w:p>
  </w:footnote>
  <w:footnote w:type="continuationNotice" w:id="1">
    <w:p w:rsidR="001D5418" w:rsidRPr="00AC3823" w:rsidRDefault="001D5418">
      <w:pPr>
        <w:spacing w:line="240" w:lineRule="auto"/>
        <w:rPr>
          <w:sz w:val="2"/>
          <w:szCs w:val="2"/>
        </w:rPr>
      </w:pPr>
    </w:p>
  </w:footnote>
  <w:footnote w:id="2">
    <w:p w:rsidR="00433C57" w:rsidRPr="007B6103" w:rsidRDefault="006F6C13" w:rsidP="006F6C13">
      <w:pPr>
        <w:pStyle w:val="FootnoteText"/>
      </w:pPr>
      <w:r>
        <w:tab/>
      </w:r>
      <w:r w:rsidR="00433C57" w:rsidRPr="006F6C13">
        <w:rPr>
          <w:rStyle w:val="FootnoteReference"/>
        </w:rPr>
        <w:footnoteRef/>
      </w:r>
      <w:r w:rsidR="00433C57" w:rsidRPr="00C826A2">
        <w:t xml:space="preserve"> </w:t>
      </w:r>
      <w:r w:rsidR="00433C57" w:rsidRPr="00C826A2">
        <w:tab/>
        <w:t>Conformément au programme de travail du Sous-Comité pour 2015-2016, adopté par le Comité à sa septième session (voir ST/SG/AC.10/C.3/92, par. 95, et ST/SG/AC.10/42, par.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F14" w:rsidRPr="00E95F14" w:rsidRDefault="00E95F14">
    <w:pPr>
      <w:pStyle w:val="Header"/>
    </w:pPr>
    <w:r>
      <w:t>ST/SG/AC.10/C.3/2016/40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F14" w:rsidRPr="00E95F14" w:rsidRDefault="00E95F14" w:rsidP="00E95F14">
    <w:pPr>
      <w:pStyle w:val="Header"/>
      <w:jc w:val="right"/>
    </w:pPr>
    <w:r>
      <w:t>ST/SG/AC.10/C.3/2016/40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418"/>
    <w:rsid w:val="00005172"/>
    <w:rsid w:val="00017F94"/>
    <w:rsid w:val="00023842"/>
    <w:rsid w:val="000305D3"/>
    <w:rsid w:val="000334F9"/>
    <w:rsid w:val="000633C0"/>
    <w:rsid w:val="0007796D"/>
    <w:rsid w:val="000B7790"/>
    <w:rsid w:val="000C4CB9"/>
    <w:rsid w:val="00111F2F"/>
    <w:rsid w:val="00132EA9"/>
    <w:rsid w:val="0014365E"/>
    <w:rsid w:val="00176178"/>
    <w:rsid w:val="001D5418"/>
    <w:rsid w:val="001F525A"/>
    <w:rsid w:val="00223272"/>
    <w:rsid w:val="0024779E"/>
    <w:rsid w:val="00283190"/>
    <w:rsid w:val="002832AC"/>
    <w:rsid w:val="002D7C93"/>
    <w:rsid w:val="00433C57"/>
    <w:rsid w:val="00441C3B"/>
    <w:rsid w:val="00446FE5"/>
    <w:rsid w:val="00452396"/>
    <w:rsid w:val="004E468C"/>
    <w:rsid w:val="005505B7"/>
    <w:rsid w:val="00573BE5"/>
    <w:rsid w:val="00586ED3"/>
    <w:rsid w:val="00596AA9"/>
    <w:rsid w:val="005C345E"/>
    <w:rsid w:val="005F6CFB"/>
    <w:rsid w:val="0068456F"/>
    <w:rsid w:val="006F6C13"/>
    <w:rsid w:val="006F7E94"/>
    <w:rsid w:val="0071601D"/>
    <w:rsid w:val="007A62E6"/>
    <w:rsid w:val="0080684C"/>
    <w:rsid w:val="00871C75"/>
    <w:rsid w:val="008776DC"/>
    <w:rsid w:val="00923CDC"/>
    <w:rsid w:val="009705C8"/>
    <w:rsid w:val="009C1CF4"/>
    <w:rsid w:val="009E2461"/>
    <w:rsid w:val="00A30353"/>
    <w:rsid w:val="00A53728"/>
    <w:rsid w:val="00AC3823"/>
    <w:rsid w:val="00AE323C"/>
    <w:rsid w:val="00B00181"/>
    <w:rsid w:val="00B00B0D"/>
    <w:rsid w:val="00B765F7"/>
    <w:rsid w:val="00BA0CA9"/>
    <w:rsid w:val="00C02897"/>
    <w:rsid w:val="00D3439C"/>
    <w:rsid w:val="00DB1831"/>
    <w:rsid w:val="00DD3BFD"/>
    <w:rsid w:val="00DF6678"/>
    <w:rsid w:val="00E75A5F"/>
    <w:rsid w:val="00E95F14"/>
    <w:rsid w:val="00EF2E22"/>
    <w:rsid w:val="00F660DF"/>
    <w:rsid w:val="00F730C8"/>
    <w:rsid w:val="00F95C08"/>
    <w:rsid w:val="00FC58E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652</Words>
  <Characters>3720</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ST/SG/AC.10/C.3/2016/40</vt:lpstr>
      <vt:lpstr>ST/SG/AC.10/C.3/2016/40</vt:lpstr>
    </vt:vector>
  </TitlesOfParts>
  <Company>DCM</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ST/SG/AC.10/C.3/2016/40</dc:title>
  <dc:creator>Vigny</dc:creator>
  <cp:lastModifiedBy>Laurence Berthet</cp:lastModifiedBy>
  <cp:revision>2</cp:revision>
  <cp:lastPrinted>2016-05-13T14:34:00Z</cp:lastPrinted>
  <dcterms:created xsi:type="dcterms:W3CDTF">2016-05-13T14:35:00Z</dcterms:created>
  <dcterms:modified xsi:type="dcterms:W3CDTF">2016-05-13T14:35:00Z</dcterms:modified>
</cp:coreProperties>
</file>