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0325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E0325B" w:rsidP="00E0325B">
            <w:pPr>
              <w:jc w:val="right"/>
            </w:pPr>
            <w:r w:rsidRPr="00E0325B">
              <w:rPr>
                <w:sz w:val="40"/>
              </w:rPr>
              <w:t>ST</w:t>
            </w:r>
            <w:r>
              <w:t>/SG/AC.10/C.3/2016/37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D674A7" wp14:editId="7545E9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0325B" w:rsidP="009C3129">
            <w:pPr>
              <w:spacing w:before="240"/>
            </w:pPr>
            <w:r>
              <w:t>Distr. générale</w:t>
            </w:r>
          </w:p>
          <w:p w:rsidR="00E0325B" w:rsidRDefault="001D483B" w:rsidP="00E0325B">
            <w:pPr>
              <w:spacing w:line="240" w:lineRule="exact"/>
            </w:pPr>
            <w:r>
              <w:t>4 avril 2016</w:t>
            </w:r>
          </w:p>
          <w:p w:rsidR="00E0325B" w:rsidRDefault="00E0325B" w:rsidP="00E0325B">
            <w:pPr>
              <w:spacing w:line="240" w:lineRule="exact"/>
            </w:pPr>
            <w:r>
              <w:t>Français</w:t>
            </w:r>
          </w:p>
          <w:p w:rsidR="00E0325B" w:rsidRPr="00DB58B5" w:rsidRDefault="00E0325B" w:rsidP="00E0325B">
            <w:pPr>
              <w:spacing w:line="240" w:lineRule="exact"/>
            </w:pPr>
            <w:r>
              <w:t>Original : anglais</w:t>
            </w:r>
          </w:p>
        </w:tc>
      </w:tr>
    </w:tbl>
    <w:p w:rsidR="00E0325B" w:rsidRPr="00C826A2" w:rsidRDefault="00E0325B" w:rsidP="00E0325B">
      <w:pPr>
        <w:kinsoku/>
        <w:overflowPunct/>
        <w:autoSpaceDE/>
        <w:autoSpaceDN/>
        <w:adjustRightInd/>
        <w:snapToGrid/>
        <w:spacing w:before="120"/>
        <w:rPr>
          <w:b/>
          <w:sz w:val="28"/>
          <w:szCs w:val="28"/>
        </w:rPr>
      </w:pPr>
      <w:r w:rsidRPr="00C826A2">
        <w:rPr>
          <w:b/>
          <w:sz w:val="28"/>
          <w:szCs w:val="28"/>
        </w:rPr>
        <w:t>Comité d</w:t>
      </w:r>
      <w:r>
        <w:rPr>
          <w:b/>
          <w:sz w:val="28"/>
          <w:szCs w:val="28"/>
        </w:rPr>
        <w:t>’</w:t>
      </w:r>
      <w:r w:rsidRPr="00C826A2">
        <w:rPr>
          <w:b/>
          <w:sz w:val="28"/>
          <w:szCs w:val="28"/>
        </w:rPr>
        <w:t>experts du transport des marchandises dangereuses</w:t>
      </w:r>
      <w:r w:rsidRPr="00C826A2">
        <w:rPr>
          <w:b/>
          <w:sz w:val="28"/>
          <w:szCs w:val="28"/>
        </w:rPr>
        <w:br/>
        <w:t>et du Système général harmonisé de classification</w:t>
      </w:r>
      <w:r w:rsidRPr="00C826A2">
        <w:rPr>
          <w:b/>
          <w:sz w:val="28"/>
          <w:szCs w:val="28"/>
        </w:rPr>
        <w:br/>
        <w:t>et d</w:t>
      </w:r>
      <w:r>
        <w:rPr>
          <w:b/>
          <w:sz w:val="28"/>
          <w:szCs w:val="28"/>
        </w:rPr>
        <w:t>’</w:t>
      </w:r>
      <w:r w:rsidRPr="00C826A2">
        <w:rPr>
          <w:b/>
          <w:sz w:val="28"/>
          <w:szCs w:val="28"/>
        </w:rPr>
        <w:t>étiquetage des produits chimiques</w:t>
      </w:r>
    </w:p>
    <w:p w:rsidR="00E0325B" w:rsidRPr="001D483B" w:rsidRDefault="00E0325B" w:rsidP="00E0325B">
      <w:pPr>
        <w:kinsoku/>
        <w:overflowPunct/>
        <w:autoSpaceDE/>
        <w:autoSpaceDN/>
        <w:adjustRightInd/>
        <w:snapToGrid/>
        <w:spacing w:before="120"/>
        <w:rPr>
          <w:b/>
          <w:sz w:val="24"/>
          <w:szCs w:val="24"/>
        </w:rPr>
      </w:pPr>
      <w:r w:rsidRPr="001D483B">
        <w:rPr>
          <w:b/>
          <w:sz w:val="24"/>
          <w:szCs w:val="24"/>
        </w:rPr>
        <w:t>Sous-Comité d’experts du transport des marchandises dangereuses</w:t>
      </w:r>
    </w:p>
    <w:p w:rsidR="00E0325B" w:rsidRPr="00C826A2" w:rsidRDefault="00E0325B" w:rsidP="00E0325B">
      <w:pPr>
        <w:kinsoku/>
        <w:overflowPunct/>
        <w:autoSpaceDE/>
        <w:autoSpaceDN/>
        <w:adjustRightInd/>
        <w:snapToGrid/>
        <w:spacing w:before="120"/>
        <w:rPr>
          <w:b/>
          <w:szCs w:val="24"/>
        </w:rPr>
      </w:pPr>
      <w:r w:rsidRPr="00C826A2">
        <w:rPr>
          <w:b/>
          <w:bCs/>
          <w:szCs w:val="24"/>
        </w:rPr>
        <w:t>Quarante-neuvième</w:t>
      </w:r>
      <w:r w:rsidRPr="00C826A2">
        <w:rPr>
          <w:b/>
          <w:szCs w:val="24"/>
        </w:rPr>
        <w:t xml:space="preserve"> session</w:t>
      </w:r>
    </w:p>
    <w:p w:rsidR="00E0325B" w:rsidRPr="00C826A2" w:rsidRDefault="00E0325B" w:rsidP="00E0325B">
      <w:pPr>
        <w:kinsoku/>
        <w:overflowPunct/>
        <w:autoSpaceDE/>
        <w:autoSpaceDN/>
        <w:adjustRightInd/>
        <w:snapToGrid/>
        <w:rPr>
          <w:szCs w:val="24"/>
        </w:rPr>
      </w:pPr>
      <w:r w:rsidRPr="00C826A2">
        <w:rPr>
          <w:szCs w:val="24"/>
        </w:rPr>
        <w:t>Genève, 27 juin</w:t>
      </w:r>
      <w:r>
        <w:rPr>
          <w:szCs w:val="24"/>
        </w:rPr>
        <w:t>-</w:t>
      </w:r>
      <w:r w:rsidRPr="00C826A2">
        <w:rPr>
          <w:szCs w:val="24"/>
        </w:rPr>
        <w:t>6 juillet 2016</w:t>
      </w:r>
      <w:r w:rsidRPr="00C826A2">
        <w:rPr>
          <w:szCs w:val="24"/>
        </w:rPr>
        <w:br/>
      </w:r>
      <w:r>
        <w:rPr>
          <w:szCs w:val="24"/>
        </w:rPr>
        <w:t xml:space="preserve">Point 3 de l’ordre du jour provisoire </w:t>
      </w:r>
    </w:p>
    <w:p w:rsidR="00E0325B" w:rsidRPr="00FC23E5" w:rsidRDefault="00E0325B" w:rsidP="00E0325B">
      <w:pPr>
        <w:kinsoku/>
        <w:overflowPunct/>
        <w:autoSpaceDE/>
        <w:autoSpaceDN/>
        <w:adjustRightInd/>
        <w:snapToGrid/>
        <w:rPr>
          <w:b/>
          <w:szCs w:val="24"/>
        </w:rPr>
      </w:pPr>
      <w:r w:rsidRPr="0093600A">
        <w:rPr>
          <w:b/>
          <w:szCs w:val="24"/>
        </w:rPr>
        <w:t>Inscription, classement et emballage</w:t>
      </w:r>
    </w:p>
    <w:p w:rsidR="00E0325B" w:rsidRPr="0093600A" w:rsidRDefault="00E0325B" w:rsidP="00E0325B">
      <w:pPr>
        <w:pStyle w:val="HChG"/>
      </w:pPr>
      <w:r w:rsidRPr="0093600A">
        <w:rPr>
          <w:rFonts w:eastAsia="MS Mincho"/>
          <w:lang w:eastAsia="ja-JP"/>
        </w:rPr>
        <w:tab/>
      </w:r>
      <w:r w:rsidRPr="0093600A">
        <w:rPr>
          <w:rFonts w:eastAsia="MS Mincho"/>
          <w:lang w:eastAsia="ja-JP"/>
        </w:rPr>
        <w:tab/>
      </w:r>
      <w:r w:rsidRPr="00E0325B">
        <w:rPr>
          <w:rFonts w:eastAsia="MS Mincho"/>
        </w:rPr>
        <w:t>Désignations</w:t>
      </w:r>
      <w:r w:rsidRPr="0093600A">
        <w:rPr>
          <w:rFonts w:eastAsia="MS Mincho"/>
          <w:lang w:eastAsia="ja-JP"/>
        </w:rPr>
        <w:t xml:space="preserve"> officielle</w:t>
      </w:r>
      <w:r>
        <w:rPr>
          <w:rFonts w:eastAsia="MS Mincho"/>
          <w:lang w:eastAsia="ja-JP"/>
        </w:rPr>
        <w:t>s</w:t>
      </w:r>
      <w:r w:rsidRPr="0093600A">
        <w:rPr>
          <w:rFonts w:eastAsia="MS Mincho"/>
          <w:lang w:eastAsia="ja-JP"/>
        </w:rPr>
        <w:t xml:space="preserve"> de transport </w:t>
      </w:r>
      <w:r>
        <w:rPr>
          <w:rFonts w:eastAsia="MS Mincho"/>
          <w:lang w:eastAsia="ja-JP"/>
        </w:rPr>
        <w:t>pour les mélanges</w:t>
      </w:r>
      <w:r>
        <w:rPr>
          <w:rFonts w:eastAsia="MS Mincho"/>
          <w:lang w:eastAsia="ja-JP"/>
        </w:rPr>
        <w:br/>
        <w:t xml:space="preserve">et </w:t>
      </w:r>
      <w:r w:rsidRPr="0093600A">
        <w:rPr>
          <w:rFonts w:eastAsia="MS Mincho"/>
          <w:lang w:eastAsia="ja-JP"/>
        </w:rPr>
        <w:t xml:space="preserve">solutions </w:t>
      </w:r>
    </w:p>
    <w:p w:rsidR="00E0325B" w:rsidRPr="0093600A" w:rsidRDefault="00E0325B" w:rsidP="00E0325B">
      <w:pPr>
        <w:pStyle w:val="H1G"/>
      </w:pPr>
      <w:r w:rsidRPr="0093600A">
        <w:rPr>
          <w:rFonts w:eastAsia="MS Mincho"/>
        </w:rPr>
        <w:tab/>
      </w:r>
      <w:r w:rsidRPr="0093600A">
        <w:rPr>
          <w:rFonts w:eastAsia="MS Mincho"/>
        </w:rPr>
        <w:tab/>
      </w:r>
      <w:r>
        <w:rPr>
          <w:rFonts w:eastAsia="MS Mincho"/>
        </w:rPr>
        <w:t>Communication de l’expert des États-Unis d’Amérique</w:t>
      </w:r>
      <w:r w:rsidRPr="001D483B">
        <w:rPr>
          <w:rFonts w:eastAsia="MS Mincho"/>
          <w:b w:val="0"/>
          <w:sz w:val="18"/>
          <w:vertAlign w:val="superscript"/>
          <w:lang w:val="en-GB"/>
        </w:rPr>
        <w:footnoteReference w:id="2"/>
      </w:r>
    </w:p>
    <w:p w:rsidR="00E0325B" w:rsidRPr="0093600A" w:rsidRDefault="00E0325B" w:rsidP="00E0325B">
      <w:pPr>
        <w:pStyle w:val="HChG"/>
        <w:rPr>
          <w:lang w:val="en-US"/>
        </w:rPr>
      </w:pPr>
      <w:r w:rsidRPr="0093600A">
        <w:tab/>
      </w:r>
      <w:r w:rsidRPr="0093600A">
        <w:tab/>
      </w:r>
      <w:r w:rsidRPr="0093600A">
        <w:rPr>
          <w:lang w:val="en-US"/>
        </w:rPr>
        <w:t>Introduction</w:t>
      </w:r>
    </w:p>
    <w:p w:rsidR="00E0325B" w:rsidRPr="0093600A" w:rsidRDefault="00E0325B" w:rsidP="00E0325B">
      <w:pPr>
        <w:pStyle w:val="ParNoG"/>
        <w:rPr>
          <w:snapToGrid w:val="0"/>
        </w:rPr>
      </w:pPr>
      <w:r w:rsidRPr="0093600A">
        <w:t>Le choix d</w:t>
      </w:r>
      <w:r>
        <w:t>’</w:t>
      </w:r>
      <w:r w:rsidRPr="0093600A">
        <w:t>une désignation officielle de transport</w:t>
      </w:r>
      <w:r>
        <w:t xml:space="preserve"> figurant dans la Liste des marchandises dangereuses constitue un élément fondamental du Règlement type qui a un impact considérable sur  la détermination des condition</w:t>
      </w:r>
      <w:r w:rsidR="001D483B">
        <w:t>s applicables au transport. Des </w:t>
      </w:r>
      <w:r>
        <w:t>dispositions détaillées concernant le choix d’une</w:t>
      </w:r>
      <w:r w:rsidRPr="00AC7146">
        <w:t xml:space="preserve"> désignation officielle de transport</w:t>
      </w:r>
      <w:r>
        <w:t xml:space="preserve"> appropriée pour les mélanges et solutions figurent aux chapitres </w:t>
      </w:r>
      <w:r w:rsidRPr="0093600A">
        <w:t xml:space="preserve">2.0 </w:t>
      </w:r>
      <w:r w:rsidRPr="00AC7146">
        <w:t>et</w:t>
      </w:r>
      <w:r w:rsidRPr="0093600A">
        <w:t xml:space="preserve"> 3.1. </w:t>
      </w:r>
      <w:r>
        <w:t xml:space="preserve">Il existe des dispositions particulières </w:t>
      </w:r>
      <w:r w:rsidR="0008032A">
        <w:t xml:space="preserve">qui </w:t>
      </w:r>
      <w:r>
        <w:t xml:space="preserve">concernent les mélanges ou solutions </w:t>
      </w:r>
      <w:r w:rsidRPr="00AC7146">
        <w:t>constitué</w:t>
      </w:r>
      <w:r>
        <w:t>s</w:t>
      </w:r>
      <w:r w:rsidRPr="00AC7146">
        <w:t xml:space="preserve"> d</w:t>
      </w:r>
      <w:r>
        <w:t>’</w:t>
      </w:r>
      <w:r w:rsidRPr="00AC7146">
        <w:t xml:space="preserve">une seule matière principale nommément mentionnée dans la Liste des marchandises dangereuses </w:t>
      </w:r>
      <w:r>
        <w:t xml:space="preserve">(voir par exemple les paragraphes </w:t>
      </w:r>
      <w:r w:rsidRPr="0093600A">
        <w:rPr>
          <w:snapToGrid w:val="0"/>
        </w:rPr>
        <w:t>2.0.2.2, 2.0.2.5</w:t>
      </w:r>
      <w:r w:rsidRPr="00AC7146">
        <w:rPr>
          <w:snapToGrid w:val="0"/>
        </w:rPr>
        <w:t xml:space="preserve"> et</w:t>
      </w:r>
      <w:r w:rsidRPr="0093600A">
        <w:rPr>
          <w:snapToGrid w:val="0"/>
        </w:rPr>
        <w:t xml:space="preserve"> 3.1.3.2).</w:t>
      </w:r>
    </w:p>
    <w:p w:rsidR="00E0325B" w:rsidRPr="0093600A" w:rsidRDefault="00E0325B" w:rsidP="00E0325B">
      <w:pPr>
        <w:pStyle w:val="ParNoG"/>
        <w:rPr>
          <w:snapToGrid w:val="0"/>
        </w:rPr>
      </w:pPr>
      <w:r w:rsidRPr="00D46861">
        <w:rPr>
          <w:snapToGrid w:val="0"/>
        </w:rPr>
        <w:t xml:space="preserve">Les paragraphes </w:t>
      </w:r>
      <w:r w:rsidRPr="0093600A">
        <w:rPr>
          <w:snapToGrid w:val="0"/>
        </w:rPr>
        <w:t xml:space="preserve">2.0.2.5 </w:t>
      </w:r>
      <w:r w:rsidRPr="00D46861">
        <w:rPr>
          <w:snapToGrid w:val="0"/>
        </w:rPr>
        <w:t xml:space="preserve">et </w:t>
      </w:r>
      <w:r w:rsidRPr="0093600A">
        <w:rPr>
          <w:snapToGrid w:val="0"/>
        </w:rPr>
        <w:t xml:space="preserve">3.1.3.2 </w:t>
      </w:r>
      <w:r w:rsidRPr="00D46861">
        <w:rPr>
          <w:snapToGrid w:val="0"/>
        </w:rPr>
        <w:t>concernent les cas</w:t>
      </w:r>
      <w:r>
        <w:rPr>
          <w:snapToGrid w:val="0"/>
        </w:rPr>
        <w:t xml:space="preserve"> où un mélange ou une solution est </w:t>
      </w:r>
      <w:r w:rsidRPr="00D46861">
        <w:rPr>
          <w:snapToGrid w:val="0"/>
        </w:rPr>
        <w:t>constitué d</w:t>
      </w:r>
      <w:r>
        <w:rPr>
          <w:snapToGrid w:val="0"/>
        </w:rPr>
        <w:t>’</w:t>
      </w:r>
      <w:r w:rsidRPr="00D46861">
        <w:rPr>
          <w:snapToGrid w:val="0"/>
        </w:rPr>
        <w:t>une seule matière principale</w:t>
      </w:r>
      <w:r>
        <w:rPr>
          <w:snapToGrid w:val="0"/>
        </w:rPr>
        <w:t xml:space="preserve">, mais où il peut être préférable d’utiliser une </w:t>
      </w:r>
      <w:r w:rsidRPr="00D46861">
        <w:rPr>
          <w:snapToGrid w:val="0"/>
        </w:rPr>
        <w:t xml:space="preserve">désignation officielle de transport </w:t>
      </w:r>
      <w:r>
        <w:rPr>
          <w:snapToGrid w:val="0"/>
        </w:rPr>
        <w:t xml:space="preserve">différente de celle de la </w:t>
      </w:r>
      <w:r w:rsidRPr="00D46861">
        <w:rPr>
          <w:snapToGrid w:val="0"/>
        </w:rPr>
        <w:t>matière principale</w:t>
      </w:r>
      <w:r>
        <w:rPr>
          <w:snapToGrid w:val="0"/>
        </w:rPr>
        <w:t xml:space="preserve"> en question. L</w:t>
      </w:r>
      <w:r w:rsidRPr="00D46861">
        <w:rPr>
          <w:snapToGrid w:val="0"/>
        </w:rPr>
        <w:t xml:space="preserve">es </w:t>
      </w:r>
      <w:r w:rsidRPr="0093600A">
        <w:rPr>
          <w:snapToGrid w:val="0"/>
        </w:rPr>
        <w:t xml:space="preserve">conditions </w:t>
      </w:r>
      <w:r>
        <w:rPr>
          <w:snapToGrid w:val="0"/>
        </w:rPr>
        <w:t xml:space="preserve">pour cela </w:t>
      </w:r>
      <w:r w:rsidRPr="00D46861">
        <w:rPr>
          <w:snapToGrid w:val="0"/>
        </w:rPr>
        <w:t>sont notamment les suivantes</w:t>
      </w:r>
      <w:r>
        <w:rPr>
          <w:snapToGrid w:val="0"/>
        </w:rPr>
        <w:t> </w:t>
      </w:r>
      <w:r w:rsidRPr="0093600A">
        <w:rPr>
          <w:snapToGrid w:val="0"/>
        </w:rPr>
        <w:t>:</w:t>
      </w:r>
    </w:p>
    <w:p w:rsidR="00E0325B" w:rsidRPr="00E0325B" w:rsidRDefault="00E0325B" w:rsidP="00E0325B">
      <w:pPr>
        <w:pStyle w:val="SingleTxtG"/>
        <w:ind w:left="2268" w:hanging="567"/>
        <w:rPr>
          <w:i/>
          <w:snapToGrid w:val="0"/>
        </w:rPr>
      </w:pPr>
      <w:r w:rsidRPr="00E0325B">
        <w:rPr>
          <w:i/>
          <w:snapToGrid w:val="0"/>
        </w:rPr>
        <w:t>a)</w:t>
      </w:r>
      <w:r w:rsidRPr="00E0325B">
        <w:rPr>
          <w:i/>
          <w:snapToGrid w:val="0"/>
        </w:rPr>
        <w:tab/>
        <w:t>Le mélange ou la solution est nommément mentionné(e) dans la Liste des marchandises dangereuses ;</w:t>
      </w:r>
    </w:p>
    <w:p w:rsidR="00E0325B" w:rsidRPr="0093600A" w:rsidRDefault="00E0325B" w:rsidP="00E0325B">
      <w:pPr>
        <w:pStyle w:val="SingleTxtG"/>
        <w:ind w:left="2268" w:hanging="567"/>
        <w:rPr>
          <w:i/>
          <w:snapToGrid w:val="0"/>
          <w:szCs w:val="24"/>
        </w:rPr>
      </w:pPr>
      <w:r w:rsidRPr="0093600A">
        <w:rPr>
          <w:i/>
          <w:snapToGrid w:val="0"/>
          <w:szCs w:val="24"/>
        </w:rPr>
        <w:lastRenderedPageBreak/>
        <w:t>b)</w:t>
      </w:r>
      <w:r w:rsidRPr="0093600A">
        <w:rPr>
          <w:i/>
          <w:snapToGrid w:val="0"/>
          <w:szCs w:val="24"/>
        </w:rPr>
        <w:tab/>
      </w:r>
      <w:r w:rsidRPr="007F032A">
        <w:rPr>
          <w:i/>
          <w:snapToGrid w:val="0"/>
          <w:szCs w:val="24"/>
        </w:rPr>
        <w:t xml:space="preserve">Le nom et la </w:t>
      </w:r>
      <w:r w:rsidRPr="0093600A">
        <w:rPr>
          <w:i/>
          <w:snapToGrid w:val="0"/>
          <w:szCs w:val="24"/>
        </w:rPr>
        <w:t xml:space="preserve">description </w:t>
      </w:r>
      <w:r w:rsidRPr="007F032A">
        <w:rPr>
          <w:i/>
          <w:snapToGrid w:val="0"/>
          <w:szCs w:val="24"/>
        </w:rPr>
        <w:t>de la matière nommé</w:t>
      </w:r>
      <w:r>
        <w:rPr>
          <w:i/>
          <w:snapToGrid w:val="0"/>
          <w:szCs w:val="24"/>
        </w:rPr>
        <w:t>m</w:t>
      </w:r>
      <w:r w:rsidRPr="007F032A">
        <w:rPr>
          <w:i/>
          <w:snapToGrid w:val="0"/>
          <w:szCs w:val="24"/>
        </w:rPr>
        <w:t>e</w:t>
      </w:r>
      <w:r>
        <w:rPr>
          <w:i/>
          <w:snapToGrid w:val="0"/>
          <w:szCs w:val="24"/>
        </w:rPr>
        <w:t>nt mentionnée</w:t>
      </w:r>
      <w:r w:rsidRPr="007F032A">
        <w:rPr>
          <w:i/>
          <w:snapToGrid w:val="0"/>
          <w:szCs w:val="24"/>
        </w:rPr>
        <w:t xml:space="preserve"> dans la Liste des marchandises dangereuses</w:t>
      </w:r>
      <w:r>
        <w:rPr>
          <w:i/>
          <w:snapToGrid w:val="0"/>
          <w:szCs w:val="24"/>
        </w:rPr>
        <w:t xml:space="preserve"> indiquent expressément qu’ils ne s’appliquent qu’à la matière pure </w:t>
      </w:r>
      <w:r w:rsidRPr="0093600A">
        <w:rPr>
          <w:i/>
          <w:snapToGrid w:val="0"/>
          <w:szCs w:val="24"/>
        </w:rPr>
        <w:t>;</w:t>
      </w:r>
    </w:p>
    <w:p w:rsidR="00E0325B" w:rsidRDefault="00E0325B" w:rsidP="00E0325B">
      <w:pPr>
        <w:pStyle w:val="SingleTxtG"/>
        <w:ind w:left="2268" w:hanging="567"/>
        <w:rPr>
          <w:i/>
          <w:snapToGrid w:val="0"/>
          <w:szCs w:val="24"/>
        </w:rPr>
      </w:pPr>
      <w:r w:rsidRPr="0093600A">
        <w:rPr>
          <w:i/>
          <w:snapToGrid w:val="0"/>
          <w:szCs w:val="24"/>
        </w:rPr>
        <w:t>c)</w:t>
      </w:r>
      <w:r w:rsidRPr="0093600A">
        <w:rPr>
          <w:i/>
          <w:snapToGrid w:val="0"/>
          <w:szCs w:val="24"/>
        </w:rPr>
        <w:tab/>
      </w:r>
      <w:r w:rsidRPr="000F4F0C">
        <w:rPr>
          <w:i/>
          <w:snapToGrid w:val="0"/>
          <w:szCs w:val="24"/>
        </w:rPr>
        <w:t>La classe ou division de risque, le ou les risques subsidiaires, le groupe d</w:t>
      </w:r>
      <w:r>
        <w:rPr>
          <w:i/>
          <w:snapToGrid w:val="0"/>
          <w:szCs w:val="24"/>
        </w:rPr>
        <w:t>’</w:t>
      </w:r>
      <w:r w:rsidRPr="000F4F0C">
        <w:rPr>
          <w:i/>
          <w:snapToGrid w:val="0"/>
          <w:szCs w:val="24"/>
        </w:rPr>
        <w:t>emballage, ou l</w:t>
      </w:r>
      <w:r>
        <w:rPr>
          <w:i/>
          <w:snapToGrid w:val="0"/>
          <w:szCs w:val="24"/>
        </w:rPr>
        <w:t>’</w:t>
      </w:r>
      <w:r w:rsidRPr="000F4F0C">
        <w:rPr>
          <w:i/>
          <w:snapToGrid w:val="0"/>
          <w:szCs w:val="24"/>
        </w:rPr>
        <w:t>état physique du mélange ou de la solution diffèrent de ceux de la matière nommément mentionnée dans la Liste des marchandises dangereuses</w:t>
      </w:r>
      <w:r>
        <w:rPr>
          <w:i/>
          <w:snapToGrid w:val="0"/>
          <w:szCs w:val="24"/>
        </w:rPr>
        <w:t> </w:t>
      </w:r>
      <w:r w:rsidRPr="000F4F0C">
        <w:rPr>
          <w:i/>
          <w:snapToGrid w:val="0"/>
          <w:szCs w:val="24"/>
        </w:rPr>
        <w:t xml:space="preserve">; ou </w:t>
      </w:r>
    </w:p>
    <w:p w:rsidR="00E0325B" w:rsidRPr="000F4F0C" w:rsidRDefault="00E0325B" w:rsidP="00E0325B">
      <w:pPr>
        <w:pStyle w:val="SingleTxtG"/>
        <w:ind w:left="2268" w:hanging="567"/>
        <w:rPr>
          <w:i/>
          <w:snapToGrid w:val="0"/>
          <w:szCs w:val="24"/>
        </w:rPr>
      </w:pPr>
      <w:r w:rsidRPr="0093600A">
        <w:rPr>
          <w:i/>
          <w:snapToGrid w:val="0"/>
          <w:szCs w:val="24"/>
        </w:rPr>
        <w:t>d)</w:t>
      </w:r>
      <w:r w:rsidRPr="0093600A">
        <w:rPr>
          <w:i/>
          <w:snapToGrid w:val="0"/>
          <w:szCs w:val="24"/>
        </w:rPr>
        <w:tab/>
      </w:r>
      <w:r w:rsidRPr="000F4F0C">
        <w:rPr>
          <w:i/>
          <w:snapToGrid w:val="0"/>
          <w:szCs w:val="24"/>
        </w:rPr>
        <w:t>Les caractéristiques de danger et les propriétés du mélange ou de la solution nécessitent des mesures d</w:t>
      </w:r>
      <w:r>
        <w:rPr>
          <w:i/>
          <w:snapToGrid w:val="0"/>
          <w:szCs w:val="24"/>
        </w:rPr>
        <w:t>’</w:t>
      </w:r>
      <w:r w:rsidRPr="000F4F0C">
        <w:rPr>
          <w:i/>
          <w:snapToGrid w:val="0"/>
          <w:szCs w:val="24"/>
        </w:rPr>
        <w:t>intervention en cas d</w:t>
      </w:r>
      <w:r>
        <w:rPr>
          <w:i/>
          <w:snapToGrid w:val="0"/>
          <w:szCs w:val="24"/>
        </w:rPr>
        <w:t>’</w:t>
      </w:r>
      <w:r w:rsidRPr="000F4F0C">
        <w:rPr>
          <w:i/>
          <w:snapToGrid w:val="0"/>
          <w:szCs w:val="24"/>
        </w:rPr>
        <w:t>urgence qui diffèrent de celles requises pour la matière nommément mentionnée dans la Liste des marchandises dangereuses</w:t>
      </w:r>
      <w:r w:rsidRPr="0093600A">
        <w:rPr>
          <w:i/>
          <w:snapToGrid w:val="0"/>
          <w:szCs w:val="24"/>
        </w:rPr>
        <w:t>.</w:t>
      </w:r>
    </w:p>
    <w:p w:rsidR="00E0325B" w:rsidRPr="0093600A" w:rsidRDefault="00E0325B" w:rsidP="00E0325B">
      <w:pPr>
        <w:pStyle w:val="ParNoG"/>
      </w:pPr>
      <w:r w:rsidRPr="000F4F0C">
        <w:t>Récemment, des demandes d</w:t>
      </w:r>
      <w:r>
        <w:t>’</w:t>
      </w:r>
      <w:r w:rsidRPr="000F4F0C">
        <w:t xml:space="preserve">interprétation </w:t>
      </w:r>
      <w:r>
        <w:t>adressées par des e</w:t>
      </w:r>
      <w:r w:rsidRPr="000F4F0C">
        <w:t>xpéditeurs</w:t>
      </w:r>
      <w:r>
        <w:t xml:space="preserve"> à différentes autorités compétentes ont suscité des réponses diverses, mettant en évidence un besoin de </w:t>
      </w:r>
      <w:r w:rsidRPr="0093600A">
        <w:t xml:space="preserve">clarification. </w:t>
      </w:r>
      <w:r>
        <w:t xml:space="preserve">Les </w:t>
      </w:r>
      <w:r w:rsidRPr="000F4F0C">
        <w:t>expéditeurs</w:t>
      </w:r>
      <w:r>
        <w:t xml:space="preserve"> ont en particulier reçu des interprétations conflictuelles pour ce qui est de l’applicabilité des alinéas </w:t>
      </w:r>
      <w:r w:rsidRPr="0093600A">
        <w:t>2.0.2.5</w:t>
      </w:r>
      <w:r w:rsidRPr="000F4F0C">
        <w:t xml:space="preserve"> </w:t>
      </w:r>
      <w:r w:rsidRPr="0093600A">
        <w:t>a)/3.1.3.2</w:t>
      </w:r>
      <w:r w:rsidRPr="000F4F0C">
        <w:t xml:space="preserve"> </w:t>
      </w:r>
      <w:r w:rsidRPr="0093600A">
        <w:t xml:space="preserve">a) </w:t>
      </w:r>
      <w:r>
        <w:t xml:space="preserve">à des </w:t>
      </w:r>
      <w:r w:rsidRPr="000F4F0C">
        <w:t>mélanges</w:t>
      </w:r>
      <w:r>
        <w:t xml:space="preserve"> qui, compte tenu des </w:t>
      </w:r>
      <w:r w:rsidRPr="000F4F0C">
        <w:t>usage</w:t>
      </w:r>
      <w:r>
        <w:t xml:space="preserve">s et applications </w:t>
      </w:r>
      <w:r w:rsidRPr="000F4F0C">
        <w:t>au</w:t>
      </w:r>
      <w:r>
        <w:t>x</w:t>
      </w:r>
      <w:r w:rsidRPr="000F4F0C">
        <w:t>quel</w:t>
      </w:r>
      <w:r>
        <w:t>s</w:t>
      </w:r>
      <w:r w:rsidRPr="000F4F0C">
        <w:t xml:space="preserve"> il</w:t>
      </w:r>
      <w:r>
        <w:t xml:space="preserve">s sont </w:t>
      </w:r>
      <w:r w:rsidRPr="000F4F0C">
        <w:t>destiné</w:t>
      </w:r>
      <w:r>
        <w:t xml:space="preserve">s, pourraient être  décrits par des </w:t>
      </w:r>
      <w:r w:rsidRPr="000F4F0C">
        <w:t>désignation officielle</w:t>
      </w:r>
      <w:r>
        <w:t>s</w:t>
      </w:r>
      <w:r w:rsidRPr="000F4F0C">
        <w:t xml:space="preserve"> de transport </w:t>
      </w:r>
      <w:r>
        <w:t>telles que « </w:t>
      </w:r>
      <w:r w:rsidRPr="00BD7BCA">
        <w:t>résine en solution</w:t>
      </w:r>
      <w:r>
        <w:t> »</w:t>
      </w:r>
      <w:r w:rsidRPr="0093600A">
        <w:t xml:space="preserve"> o</w:t>
      </w:r>
      <w:r>
        <w:t>u</w:t>
      </w:r>
      <w:r w:rsidRPr="0093600A">
        <w:t xml:space="preserve"> </w:t>
      </w:r>
      <w:r>
        <w:t>« </w:t>
      </w:r>
      <w:r w:rsidRPr="0093600A">
        <w:t>p</w:t>
      </w:r>
      <w:r>
        <w:t>e</w:t>
      </w:r>
      <w:r w:rsidRPr="0093600A">
        <w:t>int</w:t>
      </w:r>
      <w:r>
        <w:t xml:space="preserve">ure ». </w:t>
      </w:r>
      <w:r w:rsidRPr="00BD7BCA">
        <w:t>De tels mélanges ou solutions ne contiennent souvent qu</w:t>
      </w:r>
      <w:r>
        <w:t>’</w:t>
      </w:r>
      <w:r w:rsidRPr="00BD7BCA">
        <w:t>une seule matière dangereuse.</w:t>
      </w:r>
      <w:r>
        <w:t xml:space="preserve"> </w:t>
      </w:r>
    </w:p>
    <w:p w:rsidR="00E0325B" w:rsidRPr="0093600A" w:rsidRDefault="00E0325B" w:rsidP="00E0325B">
      <w:pPr>
        <w:pStyle w:val="ParNoG"/>
      </w:pPr>
      <w:r w:rsidRPr="00A447EB">
        <w:t>Certaines autorités ont par exemple indiqué qu</w:t>
      </w:r>
      <w:r>
        <w:t>’</w:t>
      </w:r>
      <w:r w:rsidRPr="00A447EB">
        <w:t>une résine en solution</w:t>
      </w:r>
      <w:r>
        <w:t xml:space="preserve"> composée d’une seule matière dangereuse telle que l’acétate de butyle et d’un mélange d’autres matières non dangereuses pourrait être désignée comme « </w:t>
      </w:r>
      <w:r w:rsidRPr="0093600A">
        <w:t>r</w:t>
      </w:r>
      <w:r w:rsidRPr="00383BF3">
        <w:t>é</w:t>
      </w:r>
      <w:r w:rsidRPr="0093600A">
        <w:t>sin</w:t>
      </w:r>
      <w:r w:rsidRPr="00383BF3">
        <w:t>e en</w:t>
      </w:r>
      <w:r w:rsidRPr="0093600A">
        <w:t xml:space="preserve"> solution, </w:t>
      </w:r>
      <w:r>
        <w:t>ON</w:t>
      </w:r>
      <w:r w:rsidRPr="0093600A">
        <w:t>U1866</w:t>
      </w:r>
      <w:r>
        <w:t> »</w:t>
      </w:r>
      <w:r w:rsidRPr="0093600A">
        <w:t xml:space="preserve">. </w:t>
      </w:r>
      <w:r>
        <w:t xml:space="preserve">Toutefois, d’autres autorités compétentes ont considéré que la </w:t>
      </w:r>
      <w:r w:rsidRPr="00383BF3">
        <w:t>désignation officielle de transport</w:t>
      </w:r>
      <w:r>
        <w:t xml:space="preserve"> la plus appropriée pour une telle solution est </w:t>
      </w:r>
      <w:r w:rsidR="001D483B">
        <w:t>« </w:t>
      </w:r>
      <w:r w:rsidRPr="00383BF3">
        <w:t>ac</w:t>
      </w:r>
      <w:r>
        <w:t>é</w:t>
      </w:r>
      <w:r w:rsidRPr="00383BF3">
        <w:t>tates de butyle en solution</w:t>
      </w:r>
      <w:r w:rsidRPr="0093600A">
        <w:t>, UN1123</w:t>
      </w:r>
      <w:r w:rsidR="001D483B">
        <w:t> »</w:t>
      </w:r>
      <w:r w:rsidRPr="0093600A">
        <w:t>.</w:t>
      </w:r>
    </w:p>
    <w:p w:rsidR="00E0325B" w:rsidRPr="0093600A" w:rsidRDefault="00E0325B" w:rsidP="00E0325B">
      <w:pPr>
        <w:pStyle w:val="ParNoG"/>
      </w:pPr>
      <w:r w:rsidRPr="00383BF3">
        <w:t>De l</w:t>
      </w:r>
      <w:r>
        <w:t>’</w:t>
      </w:r>
      <w:r w:rsidRPr="00383BF3">
        <w:t>avis de notre délégation,</w:t>
      </w:r>
      <w:r>
        <w:t xml:space="preserve"> le Règlement type actuel permet d’utiliser une </w:t>
      </w:r>
      <w:r w:rsidRPr="00E52632">
        <w:t xml:space="preserve">désignation officielle de transport </w:t>
      </w:r>
      <w:r>
        <w:t xml:space="preserve">telle que </w:t>
      </w:r>
      <w:r w:rsidR="001D483B">
        <w:t>« </w:t>
      </w:r>
      <w:r w:rsidRPr="0093600A">
        <w:t>r</w:t>
      </w:r>
      <w:r>
        <w:t>é</w:t>
      </w:r>
      <w:r w:rsidRPr="0093600A">
        <w:t>sin</w:t>
      </w:r>
      <w:r>
        <w:t>e en solution</w:t>
      </w:r>
      <w:r w:rsidR="001D483B">
        <w:t> »</w:t>
      </w:r>
      <w:r w:rsidRPr="0093600A">
        <w:t xml:space="preserve"> o</w:t>
      </w:r>
      <w:r>
        <w:t>u</w:t>
      </w:r>
      <w:r w:rsidRPr="0093600A">
        <w:t xml:space="preserve"> </w:t>
      </w:r>
      <w:r w:rsidR="001D483B">
        <w:t>« </w:t>
      </w:r>
      <w:r w:rsidRPr="0093600A">
        <w:t>p</w:t>
      </w:r>
      <w:r>
        <w:t>e</w:t>
      </w:r>
      <w:r w:rsidRPr="0093600A">
        <w:t>int</w:t>
      </w:r>
      <w:r>
        <w:t>ure</w:t>
      </w:r>
      <w:r w:rsidR="001D483B">
        <w:t> »</w:t>
      </w:r>
      <w:r w:rsidRPr="0093600A">
        <w:t xml:space="preserve"> </w:t>
      </w:r>
      <w:r>
        <w:t xml:space="preserve">même lorsque la matière en question ne contient qu’une seule substance dangereuse. Il est considéré que telle est l’intention des dispositions actuelles des alinéas </w:t>
      </w:r>
      <w:r w:rsidRPr="0093600A">
        <w:t>2.0.2.5</w:t>
      </w:r>
      <w:r w:rsidR="001D483B">
        <w:t> </w:t>
      </w:r>
      <w:r w:rsidRPr="0093600A">
        <w:t xml:space="preserve">a) </w:t>
      </w:r>
      <w:r>
        <w:t xml:space="preserve">et </w:t>
      </w:r>
      <w:r w:rsidRPr="0093600A">
        <w:t>3.1.3.2</w:t>
      </w:r>
      <w:r w:rsidR="001D483B">
        <w:t> </w:t>
      </w:r>
      <w:r w:rsidRPr="0093600A">
        <w:t xml:space="preserve">a). </w:t>
      </w:r>
      <w:r w:rsidRPr="00E52632">
        <w:t>Toutefois, compte tenu des diverses interprétations du texte actuel, le Sous</w:t>
      </w:r>
      <w:r w:rsidR="001D483B">
        <w:noBreakHyphen/>
      </w:r>
      <w:r w:rsidRPr="00E52632">
        <w:t>Comité</w:t>
      </w:r>
      <w:r>
        <w:t xml:space="preserve"> est invité à se demander s’il serait utile ou non de clarifier le texte actuel des paragraphes </w:t>
      </w:r>
      <w:r w:rsidRPr="0093600A">
        <w:t xml:space="preserve">2.0.2.5 </w:t>
      </w:r>
      <w:r w:rsidRPr="00E52632">
        <w:t xml:space="preserve">et </w:t>
      </w:r>
      <w:r w:rsidRPr="0093600A">
        <w:t xml:space="preserve">3.1.3.2.  </w:t>
      </w:r>
    </w:p>
    <w:p w:rsidR="00E0325B" w:rsidRPr="0093600A" w:rsidRDefault="00E0325B" w:rsidP="00E0325B">
      <w:pPr>
        <w:pStyle w:val="HChG"/>
      </w:pPr>
      <w:r w:rsidRPr="0093600A">
        <w:tab/>
      </w:r>
      <w:r w:rsidRPr="0093600A">
        <w:tab/>
        <w:t>Propos</w:t>
      </w:r>
      <w:r w:rsidRPr="00E52632">
        <w:t>ition</w:t>
      </w:r>
    </w:p>
    <w:p w:rsidR="00E0325B" w:rsidRPr="0093600A" w:rsidRDefault="00E0325B" w:rsidP="00E0325B">
      <w:pPr>
        <w:pStyle w:val="SingleTxtG"/>
      </w:pPr>
      <w:r w:rsidRPr="00E52632">
        <w:t>Modifier les alinéas</w:t>
      </w:r>
      <w:r w:rsidRPr="0093600A">
        <w:t xml:space="preserve"> 2.0.2.5</w:t>
      </w:r>
      <w:r w:rsidRPr="00E52632">
        <w:t xml:space="preserve"> </w:t>
      </w:r>
      <w:r w:rsidRPr="0093600A">
        <w:t xml:space="preserve">a) </w:t>
      </w:r>
      <w:r w:rsidRPr="00E52632">
        <w:t xml:space="preserve">et </w:t>
      </w:r>
      <w:r w:rsidRPr="0093600A">
        <w:t>3.1.3.2</w:t>
      </w:r>
      <w:r w:rsidRPr="00E52632">
        <w:t xml:space="preserve"> </w:t>
      </w:r>
      <w:r w:rsidRPr="0093600A">
        <w:t xml:space="preserve">a) </w:t>
      </w:r>
      <w:r w:rsidRPr="00E52632">
        <w:t>comme suit</w:t>
      </w:r>
      <w:r>
        <w:t> </w:t>
      </w:r>
      <w:r w:rsidRPr="0093600A">
        <w:t>:</w:t>
      </w:r>
    </w:p>
    <w:p w:rsidR="00E0325B" w:rsidRDefault="00E0325B" w:rsidP="00E0325B">
      <w:pPr>
        <w:pStyle w:val="SingleTxtG"/>
        <w:ind w:left="2268" w:hanging="567"/>
        <w:rPr>
          <w:i/>
          <w:snapToGrid w:val="0"/>
          <w:szCs w:val="24"/>
        </w:rPr>
      </w:pPr>
      <w:r w:rsidRPr="0093600A">
        <w:rPr>
          <w:i/>
          <w:snapToGrid w:val="0"/>
          <w:szCs w:val="24"/>
        </w:rPr>
        <w:t>a)</w:t>
      </w:r>
      <w:r w:rsidRPr="0093600A">
        <w:rPr>
          <w:i/>
          <w:snapToGrid w:val="0"/>
          <w:szCs w:val="24"/>
        </w:rPr>
        <w:tab/>
      </w:r>
      <w:r w:rsidRPr="002B4AC3">
        <w:rPr>
          <w:i/>
          <w:snapToGrid w:val="0"/>
          <w:szCs w:val="24"/>
        </w:rPr>
        <w:t xml:space="preserve">Le mélange ou la solution soit nommément mentionné </w:t>
      </w:r>
      <w:r w:rsidRPr="002B4AC3">
        <w:rPr>
          <w:i/>
          <w:snapToGrid w:val="0"/>
          <w:szCs w:val="24"/>
          <w:u w:val="single"/>
        </w:rPr>
        <w:t xml:space="preserve">(en incluant un nom commun tel que </w:t>
      </w:r>
      <w:r w:rsidR="001D483B">
        <w:rPr>
          <w:i/>
          <w:snapToGrid w:val="0"/>
          <w:szCs w:val="24"/>
          <w:u w:val="single"/>
        </w:rPr>
        <w:t>« </w:t>
      </w:r>
      <w:r w:rsidRPr="002B4AC3">
        <w:rPr>
          <w:i/>
          <w:snapToGrid w:val="0"/>
          <w:szCs w:val="24"/>
          <w:u w:val="single"/>
        </w:rPr>
        <w:t>résine en solution</w:t>
      </w:r>
      <w:r w:rsidR="001D483B">
        <w:rPr>
          <w:i/>
          <w:snapToGrid w:val="0"/>
          <w:szCs w:val="24"/>
          <w:u w:val="single"/>
        </w:rPr>
        <w:t> »</w:t>
      </w:r>
      <w:r w:rsidRPr="002B4AC3">
        <w:rPr>
          <w:i/>
          <w:snapToGrid w:val="0"/>
          <w:szCs w:val="24"/>
          <w:u w:val="single"/>
        </w:rPr>
        <w:t xml:space="preserve">, </w:t>
      </w:r>
      <w:r w:rsidR="001D483B">
        <w:rPr>
          <w:i/>
          <w:snapToGrid w:val="0"/>
          <w:szCs w:val="24"/>
          <w:u w:val="single"/>
        </w:rPr>
        <w:t>« </w:t>
      </w:r>
      <w:r w:rsidRPr="002B4AC3">
        <w:rPr>
          <w:i/>
          <w:snapToGrid w:val="0"/>
          <w:szCs w:val="24"/>
          <w:u w:val="single"/>
        </w:rPr>
        <w:t>extrai</w:t>
      </w:r>
      <w:r>
        <w:rPr>
          <w:i/>
          <w:snapToGrid w:val="0"/>
          <w:szCs w:val="24"/>
          <w:u w:val="single"/>
        </w:rPr>
        <w:t>t</w:t>
      </w:r>
      <w:r w:rsidRPr="002B4AC3">
        <w:rPr>
          <w:i/>
          <w:snapToGrid w:val="0"/>
          <w:szCs w:val="24"/>
          <w:u w:val="single"/>
        </w:rPr>
        <w:t>s, aromatisants</w:t>
      </w:r>
      <w:r w:rsidR="001D483B">
        <w:rPr>
          <w:i/>
          <w:snapToGrid w:val="0"/>
          <w:szCs w:val="24"/>
          <w:u w:val="single"/>
        </w:rPr>
        <w:t> »</w:t>
      </w:r>
      <w:r w:rsidRPr="002B4AC3">
        <w:rPr>
          <w:i/>
          <w:snapToGrid w:val="0"/>
          <w:szCs w:val="24"/>
          <w:u w:val="single"/>
        </w:rPr>
        <w:t xml:space="preserve"> ou </w:t>
      </w:r>
      <w:r w:rsidR="001D483B">
        <w:rPr>
          <w:i/>
          <w:snapToGrid w:val="0"/>
          <w:szCs w:val="24"/>
          <w:u w:val="single"/>
        </w:rPr>
        <w:t>« </w:t>
      </w:r>
      <w:r w:rsidRPr="002B4AC3">
        <w:rPr>
          <w:i/>
          <w:snapToGrid w:val="0"/>
          <w:szCs w:val="24"/>
          <w:u w:val="single"/>
        </w:rPr>
        <w:t>Composé, liquide de nettoyage</w:t>
      </w:r>
      <w:r w:rsidR="001D483B">
        <w:rPr>
          <w:i/>
          <w:snapToGrid w:val="0"/>
          <w:szCs w:val="24"/>
          <w:u w:val="single"/>
        </w:rPr>
        <w:t> »</w:t>
      </w:r>
      <w:r w:rsidRPr="002B4AC3">
        <w:rPr>
          <w:i/>
          <w:snapToGrid w:val="0"/>
          <w:szCs w:val="24"/>
          <w:u w:val="single"/>
        </w:rPr>
        <w:t>)</w:t>
      </w:r>
      <w:r>
        <w:rPr>
          <w:i/>
          <w:snapToGrid w:val="0"/>
          <w:szCs w:val="24"/>
        </w:rPr>
        <w:t xml:space="preserve"> </w:t>
      </w:r>
      <w:r w:rsidRPr="002B4AC3">
        <w:rPr>
          <w:i/>
          <w:snapToGrid w:val="0"/>
          <w:szCs w:val="24"/>
        </w:rPr>
        <w:t>dans la Liste des marchandises dangereuses</w:t>
      </w:r>
      <w:r>
        <w:rPr>
          <w:i/>
          <w:snapToGrid w:val="0"/>
          <w:szCs w:val="24"/>
        </w:rPr>
        <w:t> ;</w:t>
      </w:r>
    </w:p>
    <w:p w:rsidR="00E0325B" w:rsidRPr="00E0325B" w:rsidRDefault="00E0325B" w:rsidP="00E0325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6FE5" w:rsidRPr="00AC3823" w:rsidRDefault="00446FE5" w:rsidP="00AC3823"/>
    <w:sectPr w:rsidR="00446FE5" w:rsidRPr="00AC3823" w:rsidSect="00E032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1E" w:rsidRDefault="0076361E" w:rsidP="00F95C08">
      <w:pPr>
        <w:spacing w:line="240" w:lineRule="auto"/>
      </w:pPr>
    </w:p>
  </w:endnote>
  <w:endnote w:type="continuationSeparator" w:id="0">
    <w:p w:rsidR="0076361E" w:rsidRPr="00AC3823" w:rsidRDefault="0076361E" w:rsidP="00AC3823">
      <w:pPr>
        <w:pStyle w:val="Footer"/>
      </w:pPr>
    </w:p>
  </w:endnote>
  <w:endnote w:type="continuationNotice" w:id="1">
    <w:p w:rsidR="0076361E" w:rsidRDefault="007636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5B" w:rsidRPr="00E0325B" w:rsidRDefault="00E0325B" w:rsidP="00E0325B">
    <w:pPr>
      <w:pStyle w:val="Footer"/>
      <w:tabs>
        <w:tab w:val="right" w:pos="9638"/>
      </w:tabs>
    </w:pPr>
    <w:r w:rsidRPr="00E0325B">
      <w:rPr>
        <w:b/>
        <w:sz w:val="18"/>
      </w:rPr>
      <w:fldChar w:fldCharType="begin"/>
    </w:r>
    <w:r w:rsidRPr="00E0325B">
      <w:rPr>
        <w:b/>
        <w:sz w:val="18"/>
      </w:rPr>
      <w:instrText xml:space="preserve"> PAGE  \* MERGEFORMAT </w:instrText>
    </w:r>
    <w:r w:rsidRPr="00E0325B">
      <w:rPr>
        <w:b/>
        <w:sz w:val="18"/>
      </w:rPr>
      <w:fldChar w:fldCharType="separate"/>
    </w:r>
    <w:r w:rsidR="00B67D40">
      <w:rPr>
        <w:b/>
        <w:noProof/>
        <w:sz w:val="18"/>
      </w:rPr>
      <w:t>2</w:t>
    </w:r>
    <w:r w:rsidRPr="00E0325B">
      <w:rPr>
        <w:b/>
        <w:sz w:val="18"/>
      </w:rPr>
      <w:fldChar w:fldCharType="end"/>
    </w:r>
    <w:r>
      <w:rPr>
        <w:b/>
        <w:sz w:val="18"/>
      </w:rPr>
      <w:tab/>
    </w:r>
    <w:r>
      <w:t>GE.16-05328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5B" w:rsidRPr="00E0325B" w:rsidRDefault="00E0325B" w:rsidP="00E0325B">
    <w:pPr>
      <w:pStyle w:val="Footer"/>
      <w:tabs>
        <w:tab w:val="right" w:pos="9638"/>
      </w:tabs>
      <w:rPr>
        <w:b/>
        <w:sz w:val="18"/>
      </w:rPr>
    </w:pPr>
    <w:r>
      <w:t>GE.16-05328</w:t>
    </w:r>
    <w:r>
      <w:tab/>
    </w:r>
    <w:r w:rsidRPr="00E0325B">
      <w:rPr>
        <w:b/>
        <w:sz w:val="18"/>
      </w:rPr>
      <w:fldChar w:fldCharType="begin"/>
    </w:r>
    <w:r w:rsidRPr="00E0325B">
      <w:rPr>
        <w:b/>
        <w:sz w:val="18"/>
      </w:rPr>
      <w:instrText xml:space="preserve"> PAGE  \* MERGEFORMAT </w:instrText>
    </w:r>
    <w:r w:rsidRPr="00E032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032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E0325B" w:rsidRDefault="00E0325B" w:rsidP="00E0325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014F604" wp14:editId="4F2EE7B2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16-05328  (F)    180516    190516</w:t>
    </w:r>
    <w:r>
      <w:rPr>
        <w:sz w:val="20"/>
      </w:rPr>
      <w:br/>
    </w:r>
    <w:r w:rsidRPr="00E0325B">
      <w:rPr>
        <w:rFonts w:ascii="C39T30Lfz" w:hAnsi="C39T30Lfz"/>
        <w:sz w:val="56"/>
      </w:rPr>
      <w:t></w:t>
    </w:r>
    <w:r w:rsidRPr="00E0325B">
      <w:rPr>
        <w:rFonts w:ascii="C39T30Lfz" w:hAnsi="C39T30Lfz"/>
        <w:sz w:val="56"/>
      </w:rPr>
      <w:t></w:t>
    </w:r>
    <w:r w:rsidRPr="00E0325B">
      <w:rPr>
        <w:rFonts w:ascii="C39T30Lfz" w:hAnsi="C39T30Lfz"/>
        <w:sz w:val="56"/>
      </w:rPr>
      <w:t></w:t>
    </w:r>
    <w:r w:rsidRPr="00E0325B">
      <w:rPr>
        <w:rFonts w:ascii="C39T30Lfz" w:hAnsi="C39T30Lfz"/>
        <w:sz w:val="56"/>
      </w:rPr>
      <w:t></w:t>
    </w:r>
    <w:r w:rsidRPr="00E0325B">
      <w:rPr>
        <w:rFonts w:ascii="C39T30Lfz" w:hAnsi="C39T30Lfz"/>
        <w:sz w:val="56"/>
      </w:rPr>
      <w:t></w:t>
    </w:r>
    <w:r w:rsidRPr="00E0325B">
      <w:rPr>
        <w:rFonts w:ascii="C39T30Lfz" w:hAnsi="C39T30Lfz"/>
        <w:sz w:val="56"/>
      </w:rPr>
      <w:t></w:t>
    </w:r>
    <w:r w:rsidRPr="00E0325B">
      <w:rPr>
        <w:rFonts w:ascii="C39T30Lfz" w:hAnsi="C39T30Lfz"/>
        <w:sz w:val="56"/>
      </w:rPr>
      <w:t></w:t>
    </w:r>
    <w:r w:rsidRPr="00E0325B">
      <w:rPr>
        <w:rFonts w:ascii="C39T30Lfz" w:hAnsi="C39T30Lfz"/>
        <w:sz w:val="56"/>
      </w:rPr>
      <w:t></w:t>
    </w:r>
    <w:r w:rsidRPr="00E0325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3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3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1E" w:rsidRPr="00AC3823" w:rsidRDefault="007636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361E" w:rsidRPr="00AC3823" w:rsidRDefault="007636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361E" w:rsidRPr="00AC3823" w:rsidRDefault="0076361E">
      <w:pPr>
        <w:spacing w:line="240" w:lineRule="auto"/>
        <w:rPr>
          <w:sz w:val="2"/>
          <w:szCs w:val="2"/>
        </w:rPr>
      </w:pPr>
    </w:p>
  </w:footnote>
  <w:footnote w:id="2">
    <w:p w:rsidR="00E0325B" w:rsidRPr="007656AE" w:rsidRDefault="00E0325B" w:rsidP="00E0325B">
      <w:pPr>
        <w:pStyle w:val="FootnoteText"/>
      </w:pPr>
      <w:r>
        <w:tab/>
      </w:r>
      <w:r w:rsidRPr="00E0325B">
        <w:rPr>
          <w:vertAlign w:val="superscript"/>
        </w:rPr>
        <w:footnoteRef/>
      </w:r>
      <w:r>
        <w:tab/>
      </w:r>
      <w:r w:rsidRPr="0093600A">
        <w:t>Conformément au programme de travail du Sous-Comité pour 2015-2016, adopté par le Comité à sa septième session (voir ST/SG/AC.10/C.3/92, p</w:t>
      </w:r>
      <w:r>
        <w:t>ar. 95, et ST/SG/AC.10/42, par. </w:t>
      </w:r>
      <w:r w:rsidRPr="0093600A">
        <w:t>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5B" w:rsidRPr="00E0325B" w:rsidRDefault="00E0325B">
    <w:pPr>
      <w:pStyle w:val="Header"/>
    </w:pPr>
    <w:r>
      <w:t>ST/SG/AC.10/C.3/2016/37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5B" w:rsidRPr="00E0325B" w:rsidRDefault="00E0325B" w:rsidP="00E0325B">
    <w:pPr>
      <w:pStyle w:val="Header"/>
      <w:jc w:val="right"/>
    </w:pPr>
    <w:r>
      <w:t>ST/SG/AC.10/C.3/2016/37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1E"/>
    <w:rsid w:val="00017F94"/>
    <w:rsid w:val="00023842"/>
    <w:rsid w:val="000305D3"/>
    <w:rsid w:val="000334F9"/>
    <w:rsid w:val="0007796D"/>
    <w:rsid w:val="0008032A"/>
    <w:rsid w:val="000B7790"/>
    <w:rsid w:val="00111F2F"/>
    <w:rsid w:val="00132EA9"/>
    <w:rsid w:val="0014365E"/>
    <w:rsid w:val="00176178"/>
    <w:rsid w:val="001D483B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68456F"/>
    <w:rsid w:val="0071601D"/>
    <w:rsid w:val="0076361E"/>
    <w:rsid w:val="007A62E6"/>
    <w:rsid w:val="0080684C"/>
    <w:rsid w:val="00871C75"/>
    <w:rsid w:val="008776DC"/>
    <w:rsid w:val="009705C8"/>
    <w:rsid w:val="009C1CF4"/>
    <w:rsid w:val="00A30353"/>
    <w:rsid w:val="00AC3823"/>
    <w:rsid w:val="00AE323C"/>
    <w:rsid w:val="00B00181"/>
    <w:rsid w:val="00B00B0D"/>
    <w:rsid w:val="00B67D40"/>
    <w:rsid w:val="00B765F7"/>
    <w:rsid w:val="00BA0CA9"/>
    <w:rsid w:val="00C02897"/>
    <w:rsid w:val="00D3439C"/>
    <w:rsid w:val="00DB1831"/>
    <w:rsid w:val="00DD3BFD"/>
    <w:rsid w:val="00DF6678"/>
    <w:rsid w:val="00E0325B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ST/SG/AC.10/C.3/2016/37</vt:lpstr>
      <vt:lpstr>ST/SG/AC.10/C.3/2016/37</vt:lpstr>
    </vt:vector>
  </TitlesOfParts>
  <Company>DCM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ST/SG/AC.10/C.3/2016/37</dc:title>
  <dc:subject>final</dc:subject>
  <dc:creator>Beaunee</dc:creator>
  <cp:lastModifiedBy>Laurence Berthet</cp:lastModifiedBy>
  <cp:revision>2</cp:revision>
  <cp:lastPrinted>2016-05-19T13:35:00Z</cp:lastPrinted>
  <dcterms:created xsi:type="dcterms:W3CDTF">2016-05-19T13:36:00Z</dcterms:created>
  <dcterms:modified xsi:type="dcterms:W3CDTF">2016-05-19T13:36:00Z</dcterms:modified>
</cp:coreProperties>
</file>