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061BF" w:rsidRPr="00281810" w14:paraId="7FEC4026" w14:textId="77777777" w:rsidTr="005861D0">
        <w:trPr>
          <w:trHeight w:val="851"/>
        </w:trPr>
        <w:tc>
          <w:tcPr>
            <w:tcW w:w="1259" w:type="dxa"/>
            <w:tcBorders>
              <w:top w:val="nil"/>
              <w:left w:val="nil"/>
              <w:bottom w:val="single" w:sz="4" w:space="0" w:color="auto"/>
              <w:right w:val="nil"/>
            </w:tcBorders>
            <w:shd w:val="clear" w:color="auto" w:fill="auto"/>
          </w:tcPr>
          <w:p w14:paraId="4A1ECB3A" w14:textId="77777777" w:rsidR="00C061BF" w:rsidRPr="006500BA" w:rsidRDefault="00C061BF" w:rsidP="00C061BF">
            <w:pPr>
              <w:spacing w:after="80" w:line="340" w:lineRule="exact"/>
            </w:pPr>
          </w:p>
        </w:tc>
        <w:tc>
          <w:tcPr>
            <w:tcW w:w="2236" w:type="dxa"/>
            <w:tcBorders>
              <w:top w:val="nil"/>
              <w:left w:val="nil"/>
              <w:bottom w:val="single" w:sz="4" w:space="0" w:color="auto"/>
              <w:right w:val="nil"/>
            </w:tcBorders>
            <w:shd w:val="clear" w:color="auto" w:fill="auto"/>
            <w:vAlign w:val="bottom"/>
          </w:tcPr>
          <w:p w14:paraId="1A675CDE" w14:textId="77777777" w:rsidR="00C061BF" w:rsidRPr="00281810" w:rsidRDefault="00C061BF" w:rsidP="00C061BF">
            <w:pPr>
              <w:spacing w:after="80" w:line="340" w:lineRule="exact"/>
              <w:rPr>
                <w:sz w:val="28"/>
                <w:szCs w:val="28"/>
                <w:highlight w:val="yellow"/>
              </w:rPr>
            </w:pPr>
            <w:r w:rsidRPr="00281810">
              <w:rPr>
                <w:sz w:val="28"/>
              </w:rPr>
              <w:t>Nations Unies</w:t>
            </w:r>
          </w:p>
        </w:tc>
        <w:tc>
          <w:tcPr>
            <w:tcW w:w="6144" w:type="dxa"/>
            <w:gridSpan w:val="2"/>
            <w:tcBorders>
              <w:top w:val="nil"/>
              <w:left w:val="nil"/>
              <w:bottom w:val="single" w:sz="4" w:space="0" w:color="auto"/>
              <w:right w:val="nil"/>
            </w:tcBorders>
            <w:shd w:val="clear" w:color="auto" w:fill="auto"/>
            <w:vAlign w:val="bottom"/>
          </w:tcPr>
          <w:p w14:paraId="0A62809A" w14:textId="5BB82697" w:rsidR="00C061BF" w:rsidRPr="00281810" w:rsidRDefault="008A6D13" w:rsidP="00481B2B">
            <w:pPr>
              <w:jc w:val="right"/>
              <w:rPr>
                <w:highlight w:val="yellow"/>
              </w:rPr>
            </w:pPr>
            <w:r w:rsidRPr="00281810">
              <w:rPr>
                <w:color w:val="000000"/>
                <w:sz w:val="40"/>
              </w:rPr>
              <w:t>ST</w:t>
            </w:r>
            <w:r w:rsidRPr="00281810">
              <w:t>/SG/AC.10/C.3/2016/</w:t>
            </w:r>
            <w:r w:rsidR="00481B2B">
              <w:t>21</w:t>
            </w:r>
          </w:p>
        </w:tc>
      </w:tr>
      <w:tr w:rsidR="00C061BF" w:rsidRPr="00FE2BAF" w14:paraId="1BD21AA2" w14:textId="77777777" w:rsidTr="00C061BF">
        <w:trPr>
          <w:trHeight w:val="2835"/>
        </w:trPr>
        <w:tc>
          <w:tcPr>
            <w:tcW w:w="1259" w:type="dxa"/>
            <w:tcBorders>
              <w:top w:val="single" w:sz="4" w:space="0" w:color="auto"/>
              <w:left w:val="nil"/>
              <w:bottom w:val="single" w:sz="4" w:space="0" w:color="auto"/>
              <w:right w:val="nil"/>
            </w:tcBorders>
            <w:shd w:val="clear" w:color="auto" w:fill="auto"/>
          </w:tcPr>
          <w:p w14:paraId="2565F874" w14:textId="77777777" w:rsidR="00C061BF" w:rsidRPr="00281810" w:rsidRDefault="00111F1B" w:rsidP="00C061BF">
            <w:pPr>
              <w:spacing w:before="120"/>
              <w:jc w:val="center"/>
              <w:rPr>
                <w:highlight w:val="yellow"/>
              </w:rPr>
            </w:pPr>
            <w:r w:rsidRPr="00281810">
              <w:rPr>
                <w:noProof/>
                <w:lang w:val="en-GB" w:eastAsia="en-GB" w:bidi="ar-SA"/>
              </w:rPr>
              <w:drawing>
                <wp:inline distT="0" distB="0" distL="0" distR="0" wp14:anchorId="3FBF02AA" wp14:editId="1DD61BF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4" w:space="0" w:color="auto"/>
              <w:right w:val="nil"/>
            </w:tcBorders>
            <w:shd w:val="clear" w:color="auto" w:fill="auto"/>
          </w:tcPr>
          <w:p w14:paraId="53F93D5A" w14:textId="77777777" w:rsidR="00C061BF" w:rsidRPr="00281810" w:rsidRDefault="00C061BF" w:rsidP="00C061BF">
            <w:pPr>
              <w:spacing w:before="120" w:line="420" w:lineRule="exact"/>
              <w:rPr>
                <w:b/>
                <w:sz w:val="40"/>
                <w:szCs w:val="40"/>
                <w:highlight w:val="yellow"/>
              </w:rPr>
            </w:pPr>
            <w:r w:rsidRPr="00281810">
              <w:rPr>
                <w:b/>
                <w:sz w:val="40"/>
              </w:rPr>
              <w:t>Secrétariat</w:t>
            </w:r>
          </w:p>
        </w:tc>
        <w:tc>
          <w:tcPr>
            <w:tcW w:w="2930" w:type="dxa"/>
            <w:tcBorders>
              <w:top w:val="single" w:sz="4" w:space="0" w:color="auto"/>
              <w:left w:val="nil"/>
              <w:bottom w:val="single" w:sz="4" w:space="0" w:color="auto"/>
              <w:right w:val="nil"/>
            </w:tcBorders>
            <w:shd w:val="clear" w:color="auto" w:fill="auto"/>
          </w:tcPr>
          <w:p w14:paraId="1BB37CEA" w14:textId="77777777" w:rsidR="00C061BF" w:rsidRPr="00281810" w:rsidRDefault="00C061BF" w:rsidP="00C061BF">
            <w:pPr>
              <w:spacing w:before="240" w:line="240" w:lineRule="exact"/>
            </w:pPr>
            <w:r w:rsidRPr="00281810">
              <w:t>Distribution générale</w:t>
            </w:r>
          </w:p>
          <w:p w14:paraId="5B825A44" w14:textId="42173011" w:rsidR="00F26761" w:rsidRDefault="006D0CD5" w:rsidP="00C061BF">
            <w:pPr>
              <w:spacing w:line="240" w:lineRule="exact"/>
            </w:pPr>
            <w:r>
              <w:t>11 avril</w:t>
            </w:r>
            <w:r w:rsidR="00281810">
              <w:t xml:space="preserve"> 2016</w:t>
            </w:r>
          </w:p>
          <w:p w14:paraId="56FB26C7" w14:textId="77777777" w:rsidR="00281810" w:rsidRDefault="00281810" w:rsidP="00C061BF">
            <w:pPr>
              <w:spacing w:line="240" w:lineRule="exact"/>
            </w:pPr>
          </w:p>
          <w:p w14:paraId="7C0B72C9" w14:textId="5E3F88B2" w:rsidR="00281810" w:rsidRPr="00281810" w:rsidRDefault="00281810" w:rsidP="00C061BF">
            <w:pPr>
              <w:spacing w:line="240" w:lineRule="exact"/>
            </w:pPr>
            <w:r>
              <w:t>Français</w:t>
            </w:r>
          </w:p>
          <w:p w14:paraId="32CDCA2E" w14:textId="29754873" w:rsidR="00C061BF" w:rsidRPr="00281810" w:rsidRDefault="00FE2BAF" w:rsidP="00FE2BAF">
            <w:pPr>
              <w:spacing w:line="240" w:lineRule="exact"/>
              <w:rPr>
                <w:highlight w:val="yellow"/>
              </w:rPr>
            </w:pPr>
            <w:r w:rsidRPr="00281810">
              <w:t>Original</w:t>
            </w:r>
            <w:r w:rsidR="00C061BF" w:rsidRPr="00281810">
              <w:t xml:space="preserve"> : </w:t>
            </w:r>
            <w:r w:rsidRPr="00281810">
              <w:t>a</w:t>
            </w:r>
            <w:r w:rsidR="00C061BF" w:rsidRPr="00281810">
              <w:t>nglais</w:t>
            </w:r>
            <w:r w:rsidRPr="00281810">
              <w:t xml:space="preserve"> et français</w:t>
            </w:r>
          </w:p>
        </w:tc>
      </w:tr>
    </w:tbl>
    <w:p w14:paraId="66547D1C" w14:textId="38DC3439" w:rsidR="003E486C" w:rsidRPr="00281810" w:rsidRDefault="003E486C" w:rsidP="00D55D25">
      <w:pPr>
        <w:spacing w:before="120" w:after="120"/>
        <w:rPr>
          <w:b/>
          <w:sz w:val="24"/>
          <w:szCs w:val="24"/>
        </w:rPr>
      </w:pPr>
      <w:r w:rsidRPr="00281810">
        <w:rPr>
          <w:b/>
          <w:sz w:val="24"/>
        </w:rPr>
        <w:t>Comité d</w:t>
      </w:r>
      <w:r w:rsidR="00CA5971" w:rsidRPr="00281810">
        <w:rPr>
          <w:b/>
          <w:sz w:val="24"/>
        </w:rPr>
        <w:t>’</w:t>
      </w:r>
      <w:r w:rsidRPr="00281810">
        <w:rPr>
          <w:b/>
          <w:sz w:val="24"/>
        </w:rPr>
        <w:t>experts du transport des marchandises dangereuses</w:t>
      </w:r>
      <w:r w:rsidRPr="00281810">
        <w:rPr>
          <w:b/>
          <w:sz w:val="24"/>
          <w:szCs w:val="24"/>
        </w:rPr>
        <w:br/>
      </w:r>
      <w:r w:rsidRPr="00281810">
        <w:rPr>
          <w:b/>
          <w:sz w:val="24"/>
        </w:rPr>
        <w:t>et du Système général harmonisé de classification</w:t>
      </w:r>
      <w:r w:rsidRPr="00281810">
        <w:rPr>
          <w:b/>
          <w:sz w:val="24"/>
          <w:szCs w:val="24"/>
        </w:rPr>
        <w:br/>
      </w:r>
      <w:r w:rsidRPr="00281810">
        <w:rPr>
          <w:b/>
          <w:sz w:val="24"/>
        </w:rPr>
        <w:t>et d</w:t>
      </w:r>
      <w:r w:rsidR="00CA5971" w:rsidRPr="00281810">
        <w:rPr>
          <w:b/>
          <w:sz w:val="24"/>
        </w:rPr>
        <w:t>’</w:t>
      </w:r>
      <w:r w:rsidRPr="00281810">
        <w:rPr>
          <w:b/>
          <w:sz w:val="24"/>
        </w:rPr>
        <w:t>étiquetage des produits chimiques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3E486C" w:rsidRPr="00FE2BAF" w14:paraId="667726A9" w14:textId="77777777" w:rsidTr="006625E2">
        <w:tc>
          <w:tcPr>
            <w:tcW w:w="4593" w:type="dxa"/>
            <w:shd w:val="clear" w:color="auto" w:fill="auto"/>
          </w:tcPr>
          <w:p w14:paraId="52508738" w14:textId="209AE4F5" w:rsidR="003E486C" w:rsidRPr="00FE2BAF" w:rsidRDefault="00CA5971" w:rsidP="008A6D13">
            <w:pPr>
              <w:spacing w:before="120" w:after="120"/>
              <w:ind w:right="57"/>
              <w:rPr>
                <w:b/>
                <w:highlight w:val="yellow"/>
              </w:rPr>
            </w:pPr>
            <w:r w:rsidRPr="00281810">
              <w:rPr>
                <w:b/>
              </w:rPr>
              <w:t>Sous-comité d’</w:t>
            </w:r>
            <w:r w:rsidR="003E486C" w:rsidRPr="00281810">
              <w:rPr>
                <w:b/>
              </w:rPr>
              <w:t>experts du transport</w:t>
            </w:r>
            <w:r w:rsidR="003E486C" w:rsidRPr="00281810">
              <w:rPr>
                <w:b/>
              </w:rPr>
              <w:br/>
              <w:t xml:space="preserve">des marchandises dangereuses </w:t>
            </w:r>
          </w:p>
        </w:tc>
        <w:tc>
          <w:tcPr>
            <w:tcW w:w="5046" w:type="dxa"/>
            <w:shd w:val="clear" w:color="auto" w:fill="auto"/>
          </w:tcPr>
          <w:p w14:paraId="76604655" w14:textId="77777777" w:rsidR="003E486C" w:rsidRPr="00FE2BAF" w:rsidRDefault="003E486C" w:rsidP="006625E2">
            <w:pPr>
              <w:spacing w:before="120" w:after="120"/>
              <w:rPr>
                <w:b/>
                <w:highlight w:val="yellow"/>
              </w:rPr>
            </w:pPr>
          </w:p>
        </w:tc>
      </w:tr>
      <w:tr w:rsidR="003E486C" w:rsidRPr="00FE2BAF" w14:paraId="2BE1FF0C" w14:textId="77777777" w:rsidTr="006625E2">
        <w:tc>
          <w:tcPr>
            <w:tcW w:w="4593" w:type="dxa"/>
            <w:shd w:val="clear" w:color="auto" w:fill="auto"/>
          </w:tcPr>
          <w:p w14:paraId="0412FDEF" w14:textId="77777777" w:rsidR="003E486C" w:rsidRPr="00FE2BAF" w:rsidRDefault="008A6D13" w:rsidP="008A6D13">
            <w:pPr>
              <w:spacing w:after="120"/>
              <w:ind w:right="57"/>
              <w:rPr>
                <w:b/>
                <w:highlight w:val="yellow"/>
              </w:rPr>
            </w:pPr>
            <w:r w:rsidRPr="00281810">
              <w:rPr>
                <w:b/>
              </w:rPr>
              <w:t>Quarante-neuvième session</w:t>
            </w:r>
          </w:p>
        </w:tc>
        <w:tc>
          <w:tcPr>
            <w:tcW w:w="5046" w:type="dxa"/>
            <w:shd w:val="clear" w:color="auto" w:fill="auto"/>
          </w:tcPr>
          <w:p w14:paraId="67A479D0" w14:textId="77777777" w:rsidR="003E486C" w:rsidRPr="00FE2BAF" w:rsidRDefault="003E486C" w:rsidP="003E486C">
            <w:pPr>
              <w:rPr>
                <w:b/>
                <w:highlight w:val="yellow"/>
              </w:rPr>
            </w:pPr>
          </w:p>
        </w:tc>
      </w:tr>
      <w:tr w:rsidR="003E486C" w14:paraId="533A9E8F" w14:textId="77777777" w:rsidTr="006625E2">
        <w:tc>
          <w:tcPr>
            <w:tcW w:w="4593" w:type="dxa"/>
            <w:shd w:val="clear" w:color="auto" w:fill="auto"/>
          </w:tcPr>
          <w:p w14:paraId="18024B13" w14:textId="72CE962D" w:rsidR="003E486C" w:rsidRPr="00281810" w:rsidRDefault="00281810" w:rsidP="003E486C">
            <w:pPr>
              <w:ind w:right="57"/>
            </w:pPr>
            <w:r>
              <w:t xml:space="preserve">Genève, </w:t>
            </w:r>
            <w:r w:rsidR="003E486C" w:rsidRPr="00281810">
              <w:t xml:space="preserve">27 juin </w:t>
            </w:r>
            <w:r>
              <w:t>–</w:t>
            </w:r>
            <w:r w:rsidR="003E486C" w:rsidRPr="00281810">
              <w:t> 6 juillet 2016</w:t>
            </w:r>
          </w:p>
          <w:p w14:paraId="2B06D7F8" w14:textId="037AD2DA" w:rsidR="003E486C" w:rsidRPr="00281810" w:rsidRDefault="003E486C" w:rsidP="006625E2">
            <w:pPr>
              <w:ind w:right="57"/>
            </w:pPr>
            <w:r w:rsidRPr="00281810">
              <w:t>Point </w:t>
            </w:r>
            <w:r w:rsidR="00FE2BAF" w:rsidRPr="00281810">
              <w:t>3</w:t>
            </w:r>
            <w:r w:rsidRPr="00281810">
              <w:t xml:space="preserve"> de l</w:t>
            </w:r>
            <w:r w:rsidR="00CA5971" w:rsidRPr="00281810">
              <w:t>’</w:t>
            </w:r>
            <w:r w:rsidRPr="00281810">
              <w:t>ordre du jour provisoire</w:t>
            </w:r>
          </w:p>
          <w:p w14:paraId="4098042F" w14:textId="324AB816" w:rsidR="003E486C" w:rsidRPr="006B20F6" w:rsidRDefault="00FE2BAF" w:rsidP="00CA5971">
            <w:pPr>
              <w:spacing w:after="120"/>
              <w:ind w:right="57"/>
              <w:rPr>
                <w:b/>
              </w:rPr>
            </w:pPr>
            <w:r w:rsidRPr="00281810">
              <w:rPr>
                <w:b/>
              </w:rPr>
              <w:t>Inscription, classement et emballage</w:t>
            </w:r>
          </w:p>
        </w:tc>
        <w:tc>
          <w:tcPr>
            <w:tcW w:w="5046" w:type="dxa"/>
            <w:shd w:val="clear" w:color="auto" w:fill="auto"/>
          </w:tcPr>
          <w:p w14:paraId="22E556AB" w14:textId="77777777" w:rsidR="003E486C" w:rsidRPr="006B20F6" w:rsidRDefault="003E486C" w:rsidP="003E486C">
            <w:pPr>
              <w:spacing w:after="120"/>
              <w:rPr>
                <w:b/>
                <w:strike/>
              </w:rPr>
            </w:pPr>
          </w:p>
        </w:tc>
      </w:tr>
    </w:tbl>
    <w:p w14:paraId="0AE1B5E2" w14:textId="6D2CE186" w:rsidR="00E707A8" w:rsidRPr="00976143" w:rsidRDefault="00BB2667" w:rsidP="00AB38C5">
      <w:pPr>
        <w:pStyle w:val="HChG"/>
      </w:pPr>
      <w:r>
        <w:tab/>
      </w:r>
      <w:r>
        <w:tab/>
        <w:t>Proposition de révision du chapitre 2.8 du</w:t>
      </w:r>
      <w:r w:rsidR="006D0CD5">
        <w:t xml:space="preserve"> Règlement type : présentation </w:t>
      </w:r>
      <w:r w:rsidR="00D44017">
        <w:t>d</w:t>
      </w:r>
      <w:r w:rsidR="00CA5971">
        <w:t>’</w:t>
      </w:r>
      <w:r>
        <w:t>autres méthodes de classification et d</w:t>
      </w:r>
      <w:r w:rsidR="00CA5971">
        <w:t>’</w:t>
      </w:r>
      <w:r>
        <w:t>affectation aux groupes d</w:t>
      </w:r>
      <w:r w:rsidR="00CA5971">
        <w:t>’</w:t>
      </w:r>
      <w:r>
        <w:t>emballage</w:t>
      </w:r>
      <w:r>
        <w:tab/>
      </w:r>
    </w:p>
    <w:p w14:paraId="100B6217" w14:textId="48355F5D" w:rsidR="00E707A8" w:rsidRPr="00CA5971" w:rsidRDefault="00D44017" w:rsidP="00E707A8">
      <w:pPr>
        <w:pStyle w:val="H1G"/>
        <w:ind w:firstLine="0"/>
        <w:rPr>
          <w:lang w:val="fr-CA"/>
        </w:rPr>
      </w:pPr>
      <w:r>
        <w:rPr>
          <w:lang w:val="fr-CA"/>
        </w:rPr>
        <w:t>Communication de l’expert du</w:t>
      </w:r>
      <w:r w:rsidR="00E707A8" w:rsidRPr="00CA5971">
        <w:rPr>
          <w:lang w:val="fr-CA"/>
        </w:rPr>
        <w:t xml:space="preserve"> Canada</w:t>
      </w:r>
      <w:r>
        <w:rPr>
          <w:lang w:val="fr-CA"/>
        </w:rPr>
        <w:t>, du</w:t>
      </w:r>
      <w:r w:rsidR="00E707A8" w:rsidRPr="00CA5971">
        <w:rPr>
          <w:lang w:val="fr-CA"/>
        </w:rPr>
        <w:t xml:space="preserve"> </w:t>
      </w:r>
      <w:r w:rsidR="00CA5971">
        <w:t>Conseil européen de l’industrie chi</w:t>
      </w:r>
      <w:r w:rsidR="00F50D57">
        <w:t>mique (CE</w:t>
      </w:r>
      <w:r w:rsidR="006D0CD5">
        <w:t>FIC</w:t>
      </w:r>
      <w:r w:rsidR="00F50D57">
        <w:t xml:space="preserve">) et </w:t>
      </w:r>
      <w:r>
        <w:t xml:space="preserve">de </w:t>
      </w:r>
      <w:r w:rsidR="00F50D57">
        <w:t>l’Association i</w:t>
      </w:r>
      <w:r w:rsidR="00CA5971">
        <w:t>nternationale de la savonnerie, de la détergence et des produits d’entretien </w:t>
      </w:r>
      <w:r w:rsidR="00E707A8" w:rsidRPr="00CA5971">
        <w:rPr>
          <w:lang w:val="fr-CA"/>
        </w:rPr>
        <w:t>(AISE)</w:t>
      </w:r>
      <w:r w:rsidR="00E707A8">
        <w:rPr>
          <w:rStyle w:val="FootnoteReference"/>
        </w:rPr>
        <w:footnoteReference w:id="2"/>
      </w:r>
      <w:r w:rsidR="00E707A8" w:rsidRPr="00CA5971">
        <w:rPr>
          <w:lang w:val="fr-CA"/>
        </w:rPr>
        <w:t xml:space="preserve"> </w:t>
      </w:r>
    </w:p>
    <w:p w14:paraId="1FBECEAB" w14:textId="77777777" w:rsidR="0059437E" w:rsidRPr="00976143" w:rsidRDefault="0059437E" w:rsidP="00E707A8">
      <w:pPr>
        <w:pStyle w:val="H1G"/>
        <w:rPr>
          <w:rFonts w:eastAsia="MS Mincho"/>
        </w:rPr>
      </w:pPr>
      <w:r w:rsidRPr="00CA5971">
        <w:rPr>
          <w:lang w:val="fr-CA"/>
        </w:rPr>
        <w:tab/>
      </w:r>
      <w:r w:rsidRPr="00CA5971">
        <w:rPr>
          <w:lang w:val="fr-CA"/>
        </w:rPr>
        <w:tab/>
      </w:r>
      <w:r>
        <w:t>Introduction</w:t>
      </w:r>
    </w:p>
    <w:p w14:paraId="760B4671" w14:textId="1732160E" w:rsidR="008A6D13" w:rsidRDefault="008A6D13" w:rsidP="0026649D">
      <w:pPr>
        <w:pStyle w:val="SingleTxtG"/>
        <w:numPr>
          <w:ilvl w:val="0"/>
          <w:numId w:val="14"/>
        </w:numPr>
        <w:ind w:left="1134" w:firstLine="0"/>
      </w:pPr>
      <w:r>
        <w:t>Au cours des huit dernières années, les critères relatifs à la corrosivité ont été abordés couramment l</w:t>
      </w:r>
      <w:r w:rsidR="006D0CD5">
        <w:t>ors des sessions du Sous-comité</w:t>
      </w:r>
      <w:r>
        <w:t>. L</w:t>
      </w:r>
      <w:r w:rsidR="00CA5971">
        <w:t>’</w:t>
      </w:r>
      <w:r>
        <w:t>affectation aux groupes d</w:t>
      </w:r>
      <w:r w:rsidR="00CA5971">
        <w:t>’</w:t>
      </w:r>
      <w:r>
        <w:t>emballage de la classe 8 constitue le problème principal à ce chapitre, car elle se déroule actuellement selon les méthodes d</w:t>
      </w:r>
      <w:r w:rsidR="00CA5971">
        <w:t>’</w:t>
      </w:r>
      <w:r>
        <w:t>essai énoncées au chapitre 2.8, dont l</w:t>
      </w:r>
      <w:r w:rsidR="00CA5971">
        <w:t>’</w:t>
      </w:r>
      <w:r>
        <w:t>application aux mélanges est particulièrement difficile pour l</w:t>
      </w:r>
      <w:r w:rsidR="00CA5971">
        <w:t>’</w:t>
      </w:r>
      <w:r>
        <w:t>industrie.</w:t>
      </w:r>
    </w:p>
    <w:p w14:paraId="299A5277" w14:textId="10BBDEE7" w:rsidR="00447BE2" w:rsidRDefault="00EE5D1E" w:rsidP="0026649D">
      <w:pPr>
        <w:pStyle w:val="SingleTxtG"/>
        <w:numPr>
          <w:ilvl w:val="0"/>
          <w:numId w:val="14"/>
        </w:numPr>
        <w:ind w:left="1134" w:firstLine="0"/>
      </w:pPr>
      <w:r>
        <w:t>Lors de la quarante-</w:t>
      </w:r>
      <w:r w:rsidR="006D0CD5">
        <w:t xml:space="preserve">huitième session du Sous-comité, </w:t>
      </w:r>
      <w:r>
        <w:t>deux propositions portant sur ce sujet ont été abordées : le document </w:t>
      </w:r>
      <w:r w:rsidR="00281810">
        <w:t xml:space="preserve">informel </w:t>
      </w:r>
      <w:r>
        <w:t>INF.48</w:t>
      </w:r>
      <w:r w:rsidR="00281810">
        <w:t xml:space="preserve"> 49</w:t>
      </w:r>
      <w:r w:rsidR="00281810" w:rsidRPr="00281810">
        <w:rPr>
          <w:vertAlign w:val="superscript"/>
        </w:rPr>
        <w:t>ème</w:t>
      </w:r>
      <w:r w:rsidR="00281810">
        <w:t xml:space="preserve"> session</w:t>
      </w:r>
      <w:r>
        <w:t xml:space="preserve"> soumis par le Canada, et le document </w:t>
      </w:r>
      <w:r w:rsidR="00281810">
        <w:t xml:space="preserve">informel </w:t>
      </w:r>
      <w:r>
        <w:t>INF.20</w:t>
      </w:r>
      <w:r w:rsidR="00281810">
        <w:t xml:space="preserve"> (48</w:t>
      </w:r>
      <w:r w:rsidR="00281810" w:rsidRPr="00281810">
        <w:rPr>
          <w:vertAlign w:val="superscript"/>
        </w:rPr>
        <w:t>ème</w:t>
      </w:r>
      <w:r w:rsidR="00281810">
        <w:t xml:space="preserve"> session)</w:t>
      </w:r>
      <w:r>
        <w:t xml:space="preserve"> soumis par le </w:t>
      </w:r>
      <w:r w:rsidR="00CA5971">
        <w:t>Conseil européen de l’industrie chimique</w:t>
      </w:r>
      <w:r>
        <w:t> (CECIF) ou l</w:t>
      </w:r>
      <w:r w:rsidR="00CA5971">
        <w:t>’</w:t>
      </w:r>
      <w:r w:rsidR="00F50D57">
        <w:t>Association internationale de la savonnerie, de la détergence et des produits d’entretien</w:t>
      </w:r>
      <w:r>
        <w:t> (AISE). Le document </w:t>
      </w:r>
      <w:r w:rsidR="00281810">
        <w:t xml:space="preserve">informel </w:t>
      </w:r>
      <w:r>
        <w:t xml:space="preserve">INF.48 </w:t>
      </w:r>
      <w:r w:rsidR="00281810">
        <w:t>(48</w:t>
      </w:r>
      <w:r w:rsidR="00281810" w:rsidRPr="00281810">
        <w:rPr>
          <w:vertAlign w:val="superscript"/>
        </w:rPr>
        <w:t>ème</w:t>
      </w:r>
      <w:r w:rsidR="00281810">
        <w:t xml:space="preserve"> session) </w:t>
      </w:r>
      <w:r>
        <w:t xml:space="preserve">présente une liste de références aux documents qui ont été présentés à ce sujet. </w:t>
      </w:r>
    </w:p>
    <w:p w14:paraId="205A6AFC" w14:textId="223F69A4" w:rsidR="00EE5D1E" w:rsidRDefault="008B7E91" w:rsidP="0026649D">
      <w:pPr>
        <w:pStyle w:val="SingleTxtG"/>
        <w:numPr>
          <w:ilvl w:val="0"/>
          <w:numId w:val="14"/>
        </w:numPr>
        <w:ind w:left="1134" w:firstLine="0"/>
      </w:pPr>
      <w:r>
        <w:lastRenderedPageBreak/>
        <w:t>Au cours de ces entretiens, les délégations ont harmonisé globalement leurs efforts en ce qui concerne la nécessité d</w:t>
      </w:r>
      <w:r w:rsidR="00CA5971">
        <w:t>’</w:t>
      </w:r>
      <w:r>
        <w:t>établir d</w:t>
      </w:r>
      <w:r w:rsidR="00CA5971">
        <w:t>’</w:t>
      </w:r>
      <w:r>
        <w:t>autres méthodes de classification et d</w:t>
      </w:r>
      <w:r w:rsidR="00CA5971">
        <w:t>’</w:t>
      </w:r>
      <w:r>
        <w:t>affectation de mélanges aux groupes d</w:t>
      </w:r>
      <w:r w:rsidR="00CA5971">
        <w:t>’</w:t>
      </w:r>
      <w:r>
        <w:t>emballage. Cependant, la pertinence et l</w:t>
      </w:r>
      <w:r w:rsidR="00CA5971">
        <w:t>’</w:t>
      </w:r>
      <w:r>
        <w:t>état des autres méthodes proposées soulèvent toujours des questions. En fin de compte, il a été convenu que le CECIF</w:t>
      </w:r>
      <w:r w:rsidR="00757987">
        <w:t>/</w:t>
      </w:r>
      <w:r>
        <w:t>AISE</w:t>
      </w:r>
      <w:r w:rsidR="00757987">
        <w:t xml:space="preserve"> et le Canada</w:t>
      </w:r>
      <w:r>
        <w:t xml:space="preserve"> rédigerai</w:t>
      </w:r>
      <w:r w:rsidR="00757987">
        <w:t>en</w:t>
      </w:r>
      <w:r>
        <w:t>t une proposition officielle en vue de la quarante-neuvième session du Sous-comité, et que cette proposition tiendrait compte des principes d</w:t>
      </w:r>
      <w:r w:rsidR="00CA5971">
        <w:t>’</w:t>
      </w:r>
      <w:r>
        <w:t>extrapolation, de l</w:t>
      </w:r>
      <w:r w:rsidR="00CA5971">
        <w:t>’</w:t>
      </w:r>
      <w:r>
        <w:t xml:space="preserve">additivité et des valeurs extrêmes du pH comme autres méthodes de classification. </w:t>
      </w:r>
    </w:p>
    <w:p w14:paraId="47C71186" w14:textId="50ABEE4E" w:rsidR="00D15364" w:rsidRDefault="00EF4B0A" w:rsidP="008A3266">
      <w:pPr>
        <w:pStyle w:val="SingleTxtG"/>
        <w:numPr>
          <w:ilvl w:val="0"/>
          <w:numId w:val="14"/>
        </w:numPr>
        <w:ind w:left="1134" w:firstLine="0"/>
      </w:pPr>
      <w:r>
        <w:t xml:space="preserve">Dans le présent document, une proposition </w:t>
      </w:r>
      <w:r w:rsidR="00C56B97">
        <w:t xml:space="preserve">de révision du chapitre 2.8 est </w:t>
      </w:r>
      <w:r>
        <w:t>offerte. Cette révision présente d</w:t>
      </w:r>
      <w:r w:rsidR="00CA5971">
        <w:t>’</w:t>
      </w:r>
      <w:r>
        <w:t>autres méthodes de classification et d</w:t>
      </w:r>
      <w:r w:rsidR="00CA5971">
        <w:t>’</w:t>
      </w:r>
      <w:r>
        <w:t>affectation aux groupes d</w:t>
      </w:r>
      <w:r w:rsidR="00CA5971">
        <w:t>’</w:t>
      </w:r>
      <w:r>
        <w:t>emballage. Une approche graduelle en matière d</w:t>
      </w:r>
      <w:r w:rsidR="00CA5971">
        <w:t>’</w:t>
      </w:r>
      <w:r>
        <w:t>essais alternatifs est adoptée et permet d</w:t>
      </w:r>
      <w:r w:rsidR="00CA5971">
        <w:t>’</w:t>
      </w:r>
      <w:r>
        <w:t xml:space="preserve">établir clairement que la méthode la plus fiable doit être prise en considération en premier. </w:t>
      </w:r>
    </w:p>
    <w:p w14:paraId="3AF82290" w14:textId="701C2548" w:rsidR="00D15364" w:rsidRDefault="00753625" w:rsidP="008A3266">
      <w:pPr>
        <w:pStyle w:val="SingleTxtG"/>
        <w:numPr>
          <w:ilvl w:val="0"/>
          <w:numId w:val="14"/>
        </w:numPr>
        <w:ind w:left="1134" w:firstLine="0"/>
      </w:pPr>
      <w:r>
        <w:t>En ce qui concerne les substances, les données d</w:t>
      </w:r>
      <w:r w:rsidR="00CA5971">
        <w:t>’</w:t>
      </w:r>
      <w:r w:rsidR="00C56B97">
        <w:t xml:space="preserve">essai doivent être utilisées. </w:t>
      </w:r>
      <w:r>
        <w:t xml:space="preserve">Dans certains cas, lorsque ces données ne sont pas disponibles, des substances structurellement liées peuvent fournir suffisamment de renseignements pour éclairer la prise de décisions en matière de classification. </w:t>
      </w:r>
    </w:p>
    <w:p w14:paraId="5C52C2D5" w14:textId="53EB5638" w:rsidR="0026649D" w:rsidRDefault="00447BE2" w:rsidP="008A3266">
      <w:pPr>
        <w:pStyle w:val="SingleTxtG"/>
        <w:numPr>
          <w:ilvl w:val="0"/>
          <w:numId w:val="14"/>
        </w:numPr>
        <w:ind w:left="1134" w:firstLine="0"/>
      </w:pPr>
      <w:r>
        <w:t>En ce qui concerne les mélanges, lorsque la mise à l</w:t>
      </w:r>
      <w:r w:rsidR="00CA5971">
        <w:t>’</w:t>
      </w:r>
      <w:r>
        <w:t>essai est impossible et que des données permettent d</w:t>
      </w:r>
      <w:r w:rsidR="00CA5971">
        <w:t>’</w:t>
      </w:r>
      <w:r>
        <w:t>extrapoler, la méthode des principes d</w:t>
      </w:r>
      <w:r w:rsidR="00CA5971">
        <w:t>’</w:t>
      </w:r>
      <w:r>
        <w:t>extrapolation peut être employée aux fins de classification et d</w:t>
      </w:r>
      <w:r w:rsidR="00CA5971">
        <w:t>’</w:t>
      </w:r>
      <w:r>
        <w:t>affectation aux groupes d</w:t>
      </w:r>
      <w:r w:rsidR="00CA5971">
        <w:t>’</w:t>
      </w:r>
      <w:r>
        <w:t>emballage. Lorsque ces données d</w:t>
      </w:r>
      <w:r w:rsidR="00CA5971">
        <w:t>’</w:t>
      </w:r>
      <w:r>
        <w:t>extrapolation ne sont pas disponibles, la méthode de calcul, qui est plus conservatrice, doit être prise en considération. Cette approche progressive permet d</w:t>
      </w:r>
      <w:r w:rsidR="00CA5971">
        <w:t>’</w:t>
      </w:r>
      <w:r>
        <w:t>assurer un niveau de sécurité approprié dans les cas où des données fiables ne sont pas forcément accessibles.</w:t>
      </w:r>
    </w:p>
    <w:p w14:paraId="6E093B05" w14:textId="596AD47C" w:rsidR="00882788" w:rsidRDefault="00882788" w:rsidP="008A3266">
      <w:pPr>
        <w:pStyle w:val="SingleTxtG"/>
        <w:numPr>
          <w:ilvl w:val="0"/>
          <w:numId w:val="14"/>
        </w:numPr>
        <w:ind w:left="1134" w:firstLine="0"/>
      </w:pPr>
      <w:r>
        <w:t>La méthode de calcul présentée dans cette proposition est différente de la démarche de l</w:t>
      </w:r>
      <w:r w:rsidR="00CA5971">
        <w:t>’</w:t>
      </w:r>
      <w:r>
        <w:t xml:space="preserve">additivité indiquée dans le </w:t>
      </w:r>
      <w:r w:rsidR="006D0CD5">
        <w:t>Système général harmonisé de classification et d’étiquetage des produits chimiques (</w:t>
      </w:r>
      <w:r>
        <w:t>SGH</w:t>
      </w:r>
      <w:r w:rsidR="006D0CD5">
        <w:t>)</w:t>
      </w:r>
      <w:bookmarkStart w:id="0" w:name="_GoBack"/>
      <w:bookmarkEnd w:id="0"/>
      <w:r>
        <w:t>. Pour évi</w:t>
      </w:r>
      <w:r w:rsidR="00281810">
        <w:t>ter toute confusion, le terme «additivité</w:t>
      </w:r>
      <w:r>
        <w:t>» n</w:t>
      </w:r>
      <w:r w:rsidR="00CA5971">
        <w:t>’</w:t>
      </w:r>
      <w:r>
        <w:t>est pas employé dans le reste du présent document. De plus, la démarche relative aux valeurs extrêmes du pH en matière de mélanges, qui fait partie du document </w:t>
      </w:r>
      <w:r w:rsidR="00281810">
        <w:t xml:space="preserve">informel </w:t>
      </w:r>
      <w:r>
        <w:t>INF.48</w:t>
      </w:r>
      <w:r w:rsidR="00281810">
        <w:t xml:space="preserve"> (48</w:t>
      </w:r>
      <w:r w:rsidR="00281810" w:rsidRPr="00281810">
        <w:rPr>
          <w:vertAlign w:val="superscript"/>
        </w:rPr>
        <w:t>ème</w:t>
      </w:r>
      <w:r w:rsidR="00281810">
        <w:t xml:space="preserve"> session)</w:t>
      </w:r>
      <w:r>
        <w:t xml:space="preserve"> est retirée de cette proposition. Cette mesure est justifiée lorsqu</w:t>
      </w:r>
      <w:r w:rsidR="00CA5971">
        <w:t>’</w:t>
      </w:r>
      <w:r>
        <w:t>aucune information relative au danger d</w:t>
      </w:r>
      <w:r w:rsidR="00CA5971">
        <w:t>’</w:t>
      </w:r>
      <w:r>
        <w:t>une substance n</w:t>
      </w:r>
      <w:r w:rsidR="00CA5971">
        <w:t>’</w:t>
      </w:r>
      <w:r>
        <w:t>est disponible ou que l</w:t>
      </w:r>
      <w:r w:rsidR="00CA5971">
        <w:t>’</w:t>
      </w:r>
      <w:r>
        <w:t>un ou plusieurs ingrédients d</w:t>
      </w:r>
      <w:r w:rsidR="00CA5971">
        <w:t>’</w:t>
      </w:r>
      <w:r>
        <w:t>un mélange sont très rares. Dans ce cas, le transport doit se dérouler conformément aux conditions relatives aux « échantillons » énoncées à la section 2.0.4 du Règlement type de l</w:t>
      </w:r>
      <w:r w:rsidR="00CA5971">
        <w:t>’</w:t>
      </w:r>
      <w:r>
        <w:t xml:space="preserve">ONU. </w:t>
      </w:r>
    </w:p>
    <w:p w14:paraId="32245E1E" w14:textId="77777777" w:rsidR="003C007B" w:rsidRPr="003C007B" w:rsidRDefault="003C007B" w:rsidP="00F84153">
      <w:pPr>
        <w:pStyle w:val="SingleTxtG"/>
        <w:rPr>
          <w:b/>
          <w:sz w:val="28"/>
        </w:rPr>
      </w:pPr>
      <w:r>
        <w:rPr>
          <w:b/>
          <w:sz w:val="28"/>
        </w:rPr>
        <w:t>Proposition</w:t>
      </w:r>
    </w:p>
    <w:p w14:paraId="383B6C28" w14:textId="656F8560" w:rsidR="00C316C3" w:rsidRDefault="00573639" w:rsidP="005F2F03">
      <w:pPr>
        <w:pStyle w:val="SingleTxtG"/>
        <w:numPr>
          <w:ilvl w:val="0"/>
          <w:numId w:val="14"/>
        </w:numPr>
        <w:ind w:left="1134" w:firstLine="0"/>
      </w:pPr>
      <w:r>
        <w:t xml:space="preserve">Il est proposé au </w:t>
      </w:r>
      <w:r w:rsidR="00281810">
        <w:t>Sous-Comité</w:t>
      </w:r>
      <w:r>
        <w:t xml:space="preserve"> que le chapitre 2.8 du Règlement type soit remplacé par le texte présenté à l</w:t>
      </w:r>
      <w:r w:rsidR="00CA5971">
        <w:t>’</w:t>
      </w:r>
      <w:r>
        <w:t>annexe du présent document. Ce texte est axé sur la prestation d</w:t>
      </w:r>
      <w:r w:rsidR="00CA5971">
        <w:t>’</w:t>
      </w:r>
      <w:r>
        <w:t>autres méthodes de classification et d</w:t>
      </w:r>
      <w:r w:rsidR="00CA5971">
        <w:t>’</w:t>
      </w:r>
      <w:r>
        <w:t>affectation aux groupes d</w:t>
      </w:r>
      <w:r w:rsidR="00CA5971">
        <w:t>’</w:t>
      </w:r>
      <w:r>
        <w:t>emballage pour les mélanges, est fondé sur les travaux réalisés lors d</w:t>
      </w:r>
      <w:r w:rsidR="00CA5971">
        <w:t>’</w:t>
      </w:r>
      <w:r>
        <w:t>exercices biennaux antérieurs, et propose une première étape à l</w:t>
      </w:r>
      <w:r w:rsidR="00CA5971">
        <w:t>’</w:t>
      </w:r>
      <w:r>
        <w:t>harmonisation au chapitre 3.2 du SGH.</w:t>
      </w:r>
    </w:p>
    <w:p w14:paraId="5AB10A67" w14:textId="23EF9EAF" w:rsidR="00BF4C25" w:rsidRDefault="00573639" w:rsidP="00BF4C25">
      <w:pPr>
        <w:pStyle w:val="SingleTxtG"/>
        <w:numPr>
          <w:ilvl w:val="0"/>
          <w:numId w:val="14"/>
        </w:numPr>
        <w:ind w:left="1134" w:firstLine="0"/>
      </w:pPr>
      <w:r>
        <w:t>À l</w:t>
      </w:r>
      <w:r w:rsidR="00CA5971">
        <w:t>’</w:t>
      </w:r>
      <w:r>
        <w:t>annexe I, le texte nouveau est souligné et le texte supprimé est barré, conformément au chapitre 2.8 de la 19</w:t>
      </w:r>
      <w:r>
        <w:rPr>
          <w:vertAlign w:val="superscript"/>
        </w:rPr>
        <w:t>e</w:t>
      </w:r>
      <w:r>
        <w:t> édition révisée du Règlement type. L</w:t>
      </w:r>
      <w:r w:rsidR="00CA5971">
        <w:t>’</w:t>
      </w:r>
      <w:r>
        <w:t>a</w:t>
      </w:r>
      <w:r w:rsidR="00281810">
        <w:t>nnexe II contient une version «propre</w:t>
      </w:r>
      <w:r>
        <w:t>» du nouveau chapitre 2.8 proposé.</w:t>
      </w:r>
    </w:p>
    <w:p w14:paraId="5781FA87" w14:textId="77777777" w:rsidR="00777B6B" w:rsidRDefault="00777B6B">
      <w:pPr>
        <w:suppressAutoHyphens w:val="0"/>
        <w:spacing w:line="240" w:lineRule="auto"/>
      </w:pPr>
      <w:r>
        <w:br w:type="page"/>
      </w:r>
    </w:p>
    <w:p w14:paraId="54E90362" w14:textId="296F7138" w:rsidR="00BF4C25" w:rsidRDefault="00BF4C25" w:rsidP="005F2F03">
      <w:pPr>
        <w:pStyle w:val="SingleTxtG"/>
        <w:numPr>
          <w:ilvl w:val="0"/>
          <w:numId w:val="14"/>
        </w:numPr>
        <w:ind w:left="1134" w:firstLine="0"/>
      </w:pPr>
      <w:r>
        <w:lastRenderedPageBreak/>
        <w:t>En cas de modification du chapitre 2.8 susmentionné dans le Règlement type, une modification consécutive doit être apportée au Manuel d</w:t>
      </w:r>
      <w:r w:rsidR="00CA5971">
        <w:t>’</w:t>
      </w:r>
      <w:r>
        <w:t>épreuves et de critères. Il est proposé de modifier la section 37 de la partie III du Manuel d</w:t>
      </w:r>
      <w:r w:rsidR="00CA5971">
        <w:t>’</w:t>
      </w:r>
      <w:r>
        <w:t>épr</w:t>
      </w:r>
      <w:r w:rsidR="00461898">
        <w:t>euves et de critères comme suit</w:t>
      </w:r>
      <w:r>
        <w:t>:</w:t>
      </w:r>
    </w:p>
    <w:p w14:paraId="0A33AB02" w14:textId="3865B876" w:rsidR="00EE5977" w:rsidRDefault="00281810" w:rsidP="00281810">
      <w:pPr>
        <w:pStyle w:val="SingleTxtG"/>
        <w:ind w:left="2268" w:hanging="1134"/>
      </w:pPr>
      <w:r>
        <w:tab/>
      </w:r>
      <w:r>
        <w:tab/>
        <w:t>«</w:t>
      </w:r>
      <w:r w:rsidR="00A6496B">
        <w:t>37.2.1</w:t>
      </w:r>
      <w:r w:rsidR="00A6496B">
        <w:tab/>
        <w:t>Les nouveaux produits présentés au trans</w:t>
      </w:r>
      <w:r>
        <w:t xml:space="preserve">port doivent être soumis aux </w:t>
      </w:r>
      <w:r w:rsidR="00A6496B">
        <w:t>épreuves de classement mentionnées au paragraphe </w:t>
      </w:r>
      <w:r w:rsidR="00A6496B">
        <w:rPr>
          <w:strike/>
        </w:rPr>
        <w:t>2.8.2.6 (c) (ii)</w:t>
      </w:r>
      <w:r w:rsidR="00A6496B">
        <w:t xml:space="preserve"> </w:t>
      </w:r>
      <w:r w:rsidR="00C56B97">
        <w:rPr>
          <w:u w:val="single"/>
        </w:rPr>
        <w:t>2.8.2.1</w:t>
      </w:r>
      <w:r w:rsidR="00777B6B">
        <w:rPr>
          <w:u w:val="single"/>
        </w:rPr>
        <w:t xml:space="preserve"> (</w:t>
      </w:r>
      <w:r w:rsidR="00C56B97" w:rsidRPr="00777B6B">
        <w:rPr>
          <w:u w:val="single"/>
        </w:rPr>
        <w:t>c</w:t>
      </w:r>
      <w:r w:rsidR="00C56B97">
        <w:rPr>
          <w:u w:val="single"/>
        </w:rPr>
        <w:t>)</w:t>
      </w:r>
      <w:r w:rsidR="00777B6B">
        <w:rPr>
          <w:u w:val="single"/>
        </w:rPr>
        <w:t xml:space="preserve"> </w:t>
      </w:r>
      <w:r w:rsidR="00C56B97">
        <w:rPr>
          <w:u w:val="single"/>
        </w:rPr>
        <w:t>(</w:t>
      </w:r>
      <w:r w:rsidR="00A6496B">
        <w:rPr>
          <w:u w:val="single"/>
        </w:rPr>
        <w:t>ii)</w:t>
      </w:r>
      <w:r w:rsidR="00A6496B">
        <w:t>… »</w:t>
      </w:r>
    </w:p>
    <w:p w14:paraId="527CB37B" w14:textId="77777777" w:rsidR="00281810" w:rsidRDefault="00281810" w:rsidP="00281810">
      <w:pPr>
        <w:pStyle w:val="SingleTxtG"/>
        <w:jc w:val="left"/>
      </w:pPr>
    </w:p>
    <w:p w14:paraId="14FE53B9" w14:textId="77777777" w:rsidR="00281810" w:rsidRDefault="00281810" w:rsidP="00281810">
      <w:pPr>
        <w:pStyle w:val="SingleTxtG"/>
        <w:jc w:val="left"/>
      </w:pPr>
    </w:p>
    <w:p w14:paraId="7BDE921B" w14:textId="77777777" w:rsidR="00281810" w:rsidRPr="00A6496B" w:rsidRDefault="00281810" w:rsidP="00281810">
      <w:pPr>
        <w:pStyle w:val="SingleTxtG"/>
        <w:jc w:val="left"/>
        <w:sectPr w:rsidR="00281810" w:rsidRPr="00A6496B" w:rsidSect="00E478CC">
          <w:headerReference w:type="even" r:id="rId10"/>
          <w:headerReference w:type="default" r:id="rId11"/>
          <w:footerReference w:type="even" r:id="rId12"/>
          <w:footerReference w:type="default" r:id="rId13"/>
          <w:headerReference w:type="first" r:id="rId14"/>
          <w:footerReference w:type="first" r:id="rId15"/>
          <w:pgSz w:w="11907" w:h="16839" w:code="9"/>
          <w:pgMar w:top="1701" w:right="1134" w:bottom="2268" w:left="1134" w:header="1134" w:footer="1701" w:gutter="0"/>
          <w:cols w:space="708"/>
          <w:titlePg/>
          <w:docGrid w:linePitch="360"/>
        </w:sectPr>
      </w:pPr>
    </w:p>
    <w:p w14:paraId="7B342E7C" w14:textId="77777777" w:rsidR="00D15364" w:rsidRPr="00EE5977" w:rsidRDefault="00D15364" w:rsidP="00461898">
      <w:pPr>
        <w:pStyle w:val="HChG"/>
      </w:pPr>
      <w:r>
        <w:lastRenderedPageBreak/>
        <w:t>Annexe I</w:t>
      </w:r>
    </w:p>
    <w:p w14:paraId="38B2D28C" w14:textId="3570ACD1" w:rsidR="00D15364" w:rsidRPr="00781B4E" w:rsidRDefault="00461898" w:rsidP="00461898">
      <w:pPr>
        <w:pStyle w:val="HChG"/>
        <w:rPr>
          <w:bCs/>
          <w:szCs w:val="23"/>
        </w:rPr>
      </w:pPr>
      <w:r>
        <w:tab/>
      </w:r>
      <w:r>
        <w:tab/>
      </w:r>
      <w:r w:rsidR="00D15364">
        <w:t xml:space="preserve">Proposition de révision du chapitre 2.8 du Règlement type </w:t>
      </w:r>
    </w:p>
    <w:p w14:paraId="54F4F977" w14:textId="76B41C94" w:rsidR="00D15364" w:rsidRPr="00461898" w:rsidRDefault="00461898" w:rsidP="00461898">
      <w:pPr>
        <w:pStyle w:val="HChG"/>
        <w:rPr>
          <w:bCs/>
          <w:szCs w:val="23"/>
        </w:rPr>
      </w:pPr>
      <w:r>
        <w:tab/>
      </w:r>
      <w:r>
        <w:tab/>
      </w:r>
      <w:r w:rsidR="00D15364">
        <w:t>C</w:t>
      </w:r>
      <w:r>
        <w:t>hapitre</w:t>
      </w:r>
      <w:r w:rsidR="00D15364">
        <w:t> 2.8</w:t>
      </w:r>
    </w:p>
    <w:p w14:paraId="5A221ACC" w14:textId="2DDB38CE" w:rsidR="00D15364" w:rsidRPr="00461898" w:rsidRDefault="00D15364" w:rsidP="00461898">
      <w:pPr>
        <w:pStyle w:val="H1G"/>
        <w:jc w:val="center"/>
        <w:rPr>
          <w:bCs/>
          <w:szCs w:val="23"/>
        </w:rPr>
      </w:pPr>
      <w:r>
        <w:t>C</w:t>
      </w:r>
      <w:r w:rsidR="00461898">
        <w:t>lasse</w:t>
      </w:r>
      <w:r>
        <w:t xml:space="preserve"> 8 – M</w:t>
      </w:r>
      <w:r w:rsidR="00461898">
        <w:t>atières corrosives</w:t>
      </w:r>
    </w:p>
    <w:p w14:paraId="696AE331" w14:textId="405E400D" w:rsidR="00D15364" w:rsidRPr="00781B4E" w:rsidRDefault="00461898" w:rsidP="00461898">
      <w:pPr>
        <w:pStyle w:val="H1G"/>
        <w:rPr>
          <w:bCs/>
          <w:szCs w:val="23"/>
        </w:rPr>
      </w:pPr>
      <w:r>
        <w:tab/>
      </w:r>
      <w:r>
        <w:tab/>
      </w:r>
      <w:r w:rsidR="00D15364">
        <w:t>2.8.1</w:t>
      </w:r>
      <w:r w:rsidR="00D15364">
        <w:tab/>
      </w:r>
      <w:r w:rsidR="00FE08D7">
        <w:tab/>
      </w:r>
      <w:r w:rsidR="00D15364">
        <w:t xml:space="preserve">Définition </w:t>
      </w:r>
      <w:r w:rsidR="00D15364" w:rsidRPr="00367EE6">
        <w:rPr>
          <w:u w:val="single"/>
        </w:rPr>
        <w:t>et dispositions générales</w:t>
      </w:r>
      <w:r w:rsidR="00D15364">
        <w:t xml:space="preserve"> </w:t>
      </w:r>
    </w:p>
    <w:p w14:paraId="7F272C02" w14:textId="3B97B3B3" w:rsidR="00D15364" w:rsidRPr="00781B4E" w:rsidRDefault="00D15364" w:rsidP="00461898">
      <w:pPr>
        <w:pStyle w:val="SingleTxtG"/>
      </w:pPr>
      <w:r>
        <w:rPr>
          <w:u w:val="single"/>
        </w:rPr>
        <w:t>2.8.1.1</w:t>
      </w:r>
      <w:r>
        <w:t xml:space="preserve"> </w:t>
      </w:r>
      <w:r>
        <w:tab/>
      </w:r>
      <w:r>
        <w:rPr>
          <w:strike/>
        </w:rPr>
        <w:t xml:space="preserve">Les matières de la classe 8 </w:t>
      </w:r>
      <w:r w:rsidRPr="00DE2B19">
        <w:rPr>
          <w:strike/>
        </w:rPr>
        <w:t>(</w:t>
      </w:r>
      <w:r w:rsidR="00C56B97" w:rsidRPr="00DE2B19">
        <w:rPr>
          <w:i/>
          <w:strike/>
        </w:rPr>
        <w:t>M</w:t>
      </w:r>
      <w:r w:rsidRPr="00DE2B19">
        <w:rPr>
          <w:i/>
          <w:strike/>
        </w:rPr>
        <w:t>atières corrosives)</w:t>
      </w:r>
      <w:r w:rsidRPr="00DE2B19">
        <w:t xml:space="preserve"> </w:t>
      </w:r>
      <w:r w:rsidR="00DE2B19" w:rsidRPr="00DE2B19">
        <w:rPr>
          <w:u w:val="single"/>
        </w:rPr>
        <w:t>Les matières corrosives</w:t>
      </w:r>
      <w:r w:rsidR="00DE2B19">
        <w:t xml:space="preserve"> </w:t>
      </w:r>
      <w:r>
        <w:t xml:space="preserve">sont des matières qui, par action chimique, causent </w:t>
      </w:r>
      <w:r w:rsidR="003B6364" w:rsidRPr="003B6364">
        <w:rPr>
          <w:u w:val="single"/>
        </w:rPr>
        <w:t xml:space="preserve">des dommages </w:t>
      </w:r>
      <w:r w:rsidRPr="003B6364">
        <w:rPr>
          <w:u w:val="single"/>
        </w:rPr>
        <w:t>irréversibles</w:t>
      </w:r>
      <w:r>
        <w:rPr>
          <w:u w:val="single"/>
        </w:rPr>
        <w:t xml:space="preserve"> à la peau</w:t>
      </w:r>
      <w:r>
        <w:rPr>
          <w:strike/>
        </w:rPr>
        <w:t xml:space="preserve"> </w:t>
      </w:r>
      <w:r w:rsidR="003D48F7">
        <w:rPr>
          <w:strike/>
        </w:rPr>
        <w:t xml:space="preserve">de graves dommages </w:t>
      </w:r>
      <w:r>
        <w:rPr>
          <w:strike/>
        </w:rPr>
        <w:t>aux tissus vivants,</w:t>
      </w:r>
      <w:r>
        <w:t xml:space="preserve"> ou qui, en cas de fuite, peuvent endommager sérieusement ou même détruire d</w:t>
      </w:r>
      <w:r w:rsidR="00CA5971">
        <w:t>’</w:t>
      </w:r>
      <w:r>
        <w:t xml:space="preserve">autres marchandises ou les engins de transport. </w:t>
      </w:r>
    </w:p>
    <w:p w14:paraId="7FBB2B0F" w14:textId="4316A987" w:rsidR="00D15364" w:rsidRPr="00461898" w:rsidRDefault="00D15364" w:rsidP="00461898">
      <w:pPr>
        <w:pStyle w:val="SingleTxtG"/>
        <w:rPr>
          <w:u w:val="single"/>
        </w:rPr>
      </w:pPr>
      <w:r w:rsidRPr="00461898">
        <w:rPr>
          <w:u w:val="single"/>
        </w:rPr>
        <w:t xml:space="preserve">2.8.1.2 </w:t>
      </w:r>
      <w:r w:rsidRPr="00461898">
        <w:rPr>
          <w:u w:val="single"/>
        </w:rPr>
        <w:tab/>
        <w:t>L</w:t>
      </w:r>
      <w:r w:rsidR="00CA5971" w:rsidRPr="00461898">
        <w:rPr>
          <w:u w:val="single"/>
        </w:rPr>
        <w:t>’</w:t>
      </w:r>
      <w:r w:rsidRPr="00461898">
        <w:rPr>
          <w:u w:val="single"/>
        </w:rPr>
        <w:t>affectation de matières et de mélanges corrosifs pour la peau aux groupes d</w:t>
      </w:r>
      <w:r w:rsidR="00CA5971" w:rsidRPr="00461898">
        <w:rPr>
          <w:u w:val="single"/>
        </w:rPr>
        <w:t>’</w:t>
      </w:r>
      <w:r w:rsidRPr="00461898">
        <w:rPr>
          <w:u w:val="single"/>
        </w:rPr>
        <w:t>emballage est déterminée au moyen des critères de la section 2.8.2. Une matière est corrosive pour la peau lorsqu</w:t>
      </w:r>
      <w:r w:rsidR="00CA5971" w:rsidRPr="00461898">
        <w:rPr>
          <w:u w:val="single"/>
        </w:rPr>
        <w:t>’</w:t>
      </w:r>
      <w:r w:rsidRPr="00461898">
        <w:rPr>
          <w:u w:val="single"/>
        </w:rPr>
        <w:t>elle entraîne la destruction du tissu cutané, c</w:t>
      </w:r>
      <w:r w:rsidR="00CA5971" w:rsidRPr="00461898">
        <w:rPr>
          <w:u w:val="single"/>
        </w:rPr>
        <w:t>’</w:t>
      </w:r>
      <w:r w:rsidRPr="00461898">
        <w:rPr>
          <w:u w:val="single"/>
        </w:rPr>
        <w:t>est-à-dire une nécrose visible traversant l</w:t>
      </w:r>
      <w:r w:rsidR="00CA5971" w:rsidRPr="00461898">
        <w:rPr>
          <w:u w:val="single"/>
        </w:rPr>
        <w:t>’</w:t>
      </w:r>
      <w:r w:rsidRPr="00461898">
        <w:rPr>
          <w:u w:val="single"/>
        </w:rPr>
        <w:t>épiderme et atteignant le derme, observée chez au moins un animal après une exposition d</w:t>
      </w:r>
      <w:r w:rsidR="00CA5971" w:rsidRPr="00461898">
        <w:rPr>
          <w:u w:val="single"/>
        </w:rPr>
        <w:t>’</w:t>
      </w:r>
      <w:r w:rsidRPr="00461898">
        <w:rPr>
          <w:u w:val="single"/>
        </w:rPr>
        <w:t>une durée allant jusqu</w:t>
      </w:r>
      <w:r w:rsidR="00CA5971" w:rsidRPr="00461898">
        <w:rPr>
          <w:u w:val="single"/>
        </w:rPr>
        <w:t>’</w:t>
      </w:r>
      <w:r w:rsidRPr="00461898">
        <w:rPr>
          <w:u w:val="single"/>
        </w:rPr>
        <w:t>à quatre heures. L</w:t>
      </w:r>
      <w:r w:rsidR="00CA5971" w:rsidRPr="00461898">
        <w:rPr>
          <w:u w:val="single"/>
        </w:rPr>
        <w:t>’</w:t>
      </w:r>
      <w:r w:rsidRPr="00461898">
        <w:rPr>
          <w:u w:val="single"/>
        </w:rPr>
        <w:t>affectation de matières aux groupes d</w:t>
      </w:r>
      <w:r w:rsidR="00CA5971" w:rsidRPr="00461898">
        <w:rPr>
          <w:u w:val="single"/>
        </w:rPr>
        <w:t>’</w:t>
      </w:r>
      <w:r w:rsidRPr="00461898">
        <w:rPr>
          <w:u w:val="single"/>
        </w:rPr>
        <w:t>emballages peut être effectuée selon les critères de la section 2.8.3, et celle des mélanges peut être réalisée conformément aux critères de la section 2.8.4.</w:t>
      </w:r>
    </w:p>
    <w:p w14:paraId="431083B8" w14:textId="1715201B" w:rsidR="00D15364" w:rsidRPr="00461898" w:rsidRDefault="00D15364" w:rsidP="00461898">
      <w:pPr>
        <w:pStyle w:val="SingleTxtG"/>
        <w:rPr>
          <w:u w:val="single"/>
        </w:rPr>
      </w:pPr>
      <w:r w:rsidRPr="00461898">
        <w:rPr>
          <w:u w:val="single"/>
        </w:rPr>
        <w:t xml:space="preserve">2.8.1.3 </w:t>
      </w:r>
      <w:r w:rsidRPr="00461898">
        <w:rPr>
          <w:u w:val="single"/>
        </w:rPr>
        <w:tab/>
        <w:t>Les matières liquides et solides susceptibles de fondre pendant le transport, qui ne sont pas considérées comme corrosives pour la peau, doivent quand même être considérées comme potentiellement corrosives pour certaines surfaces métalliques, conformément aux critères du paragraphe</w:t>
      </w:r>
      <w:r w:rsidR="00C56B97" w:rsidRPr="00461898">
        <w:rPr>
          <w:u w:val="single"/>
        </w:rPr>
        <w:t xml:space="preserve"> 2.8.2</w:t>
      </w:r>
      <w:r w:rsidR="003B6364" w:rsidRPr="00461898">
        <w:rPr>
          <w:u w:val="single"/>
        </w:rPr>
        <w:t>.1 (</w:t>
      </w:r>
      <w:r w:rsidRPr="00461898">
        <w:rPr>
          <w:u w:val="single"/>
        </w:rPr>
        <w:t>c</w:t>
      </w:r>
      <w:r w:rsidR="00C56B97" w:rsidRPr="00461898">
        <w:rPr>
          <w:u w:val="single"/>
        </w:rPr>
        <w:t>)</w:t>
      </w:r>
      <w:r w:rsidR="003B6364" w:rsidRPr="00461898">
        <w:rPr>
          <w:u w:val="single"/>
        </w:rPr>
        <w:t xml:space="preserve"> </w:t>
      </w:r>
      <w:r w:rsidRPr="00461898">
        <w:rPr>
          <w:u w:val="single"/>
        </w:rPr>
        <w:t>(ii).</w:t>
      </w:r>
    </w:p>
    <w:p w14:paraId="1B450BE7" w14:textId="7ACC140D" w:rsidR="00D15364" w:rsidRPr="00C631DF" w:rsidRDefault="00461898" w:rsidP="00C631DF">
      <w:pPr>
        <w:pStyle w:val="H1G"/>
        <w:rPr>
          <w:bCs/>
          <w:szCs w:val="23"/>
        </w:rPr>
      </w:pPr>
      <w:r>
        <w:tab/>
      </w:r>
      <w:r>
        <w:tab/>
      </w:r>
      <w:r w:rsidR="00D15364">
        <w:t>2.8.2</w:t>
      </w:r>
      <w:r w:rsidR="00D15364">
        <w:tab/>
      </w:r>
      <w:r w:rsidR="00FE08D7">
        <w:tab/>
      </w:r>
      <w:r w:rsidR="00D15364">
        <w:t>Affectation aux groupes d</w:t>
      </w:r>
      <w:r w:rsidR="00CA5971">
        <w:t>’</w:t>
      </w:r>
      <w:r w:rsidR="00D15364">
        <w:t>emballage</w:t>
      </w:r>
    </w:p>
    <w:p w14:paraId="42E661DA" w14:textId="27301773" w:rsidR="00D15364" w:rsidRPr="00781B4E" w:rsidRDefault="00D15364" w:rsidP="00C631DF">
      <w:pPr>
        <w:pStyle w:val="SingleTxtG"/>
        <w:rPr>
          <w:u w:val="single"/>
        </w:rPr>
      </w:pPr>
      <w:r w:rsidRPr="00C56B97">
        <w:t xml:space="preserve">2.8.2.1 </w:t>
      </w:r>
      <w:r w:rsidRPr="00C56B97">
        <w:tab/>
        <w:t>Les matières et les</w:t>
      </w:r>
      <w:r w:rsidRPr="00C56B97">
        <w:rPr>
          <w:strike/>
        </w:rPr>
        <w:t xml:space="preserve"> préparations</w:t>
      </w:r>
      <w:r w:rsidRPr="00C56B97">
        <w:t xml:space="preserve"> </w:t>
      </w:r>
      <w:r w:rsidRPr="00C56B97">
        <w:rPr>
          <w:u w:val="single"/>
        </w:rPr>
        <w:t>mélanges</w:t>
      </w:r>
      <w:r w:rsidRPr="00C56B97">
        <w:t xml:space="preserve"> de la classe 8 doivent être </w:t>
      </w:r>
      <w:proofErr w:type="gramStart"/>
      <w:r w:rsidRPr="00C56B97">
        <w:t>classés</w:t>
      </w:r>
      <w:proofErr w:type="gramEnd"/>
      <w:r w:rsidRPr="00C56B97">
        <w:t xml:space="preserve"> dans trois groupes d</w:t>
      </w:r>
      <w:r w:rsidR="00CA5971" w:rsidRPr="00C56B97">
        <w:t>’</w:t>
      </w:r>
      <w:r w:rsidRPr="00C56B97">
        <w:t>emballage, selon le degré de risque qu</w:t>
      </w:r>
      <w:r w:rsidR="00CA5971" w:rsidRPr="00C56B97">
        <w:t>’</w:t>
      </w:r>
      <w:r w:rsidRPr="00C56B97">
        <w:t>ils présentent pour le transport</w:t>
      </w:r>
      <w:r>
        <w:t xml:space="preserve">, </w:t>
      </w:r>
      <w:r w:rsidR="00C56B97" w:rsidRPr="00C56B97">
        <w:rPr>
          <w:u w:val="single"/>
        </w:rPr>
        <w:t>d’après les critères suivants</w:t>
      </w:r>
      <w:r w:rsidR="003D48F7">
        <w:rPr>
          <w:u w:val="single"/>
        </w:rPr>
        <w:t>:</w:t>
      </w:r>
      <w:r w:rsidR="00C56B97">
        <w:t> </w:t>
      </w:r>
      <w:r>
        <w:rPr>
          <w:strike/>
        </w:rPr>
        <w:t>comme suit </w:t>
      </w:r>
      <w:r w:rsidR="003D48F7">
        <w:rPr>
          <w:strike/>
        </w:rPr>
        <w:t>:</w:t>
      </w:r>
      <w:r w:rsidR="00C56B97">
        <w:rPr>
          <w:strike/>
        </w:rPr>
        <w:t xml:space="preserve"> </w:t>
      </w:r>
      <w:r>
        <w:rPr>
          <w:u w:val="single"/>
        </w:rPr>
        <w:t xml:space="preserve"> </w:t>
      </w:r>
    </w:p>
    <w:p w14:paraId="38759DB3" w14:textId="3F4E43A8" w:rsidR="00D15364" w:rsidRPr="00781B4E" w:rsidRDefault="00D15364" w:rsidP="00367EE6">
      <w:pPr>
        <w:pStyle w:val="SingleTxtG"/>
        <w:ind w:left="2268"/>
      </w:pPr>
      <w:r>
        <w:t>(a)</w:t>
      </w:r>
      <w:r>
        <w:tab/>
      </w:r>
      <w:r>
        <w:rPr>
          <w:i/>
        </w:rPr>
        <w:t>Groupe d</w:t>
      </w:r>
      <w:r w:rsidR="00CA5971">
        <w:rPr>
          <w:i/>
        </w:rPr>
        <w:t>’</w:t>
      </w:r>
      <w:r>
        <w:rPr>
          <w:i/>
        </w:rPr>
        <w:t>emballage I </w:t>
      </w:r>
      <w:r>
        <w:t>:</w:t>
      </w:r>
      <w:r>
        <w:rPr>
          <w:vertAlign w:val="subscript"/>
        </w:rPr>
        <w:t xml:space="preserve"> </w:t>
      </w:r>
      <w:r>
        <w:t xml:space="preserve">matières et </w:t>
      </w:r>
      <w:r w:rsidRPr="00C631DF">
        <w:rPr>
          <w:strike/>
        </w:rPr>
        <w:t>préparations</w:t>
      </w:r>
      <w:r w:rsidR="003D48F7" w:rsidRPr="00C631DF">
        <w:rPr>
          <w:strike/>
        </w:rPr>
        <w:t xml:space="preserve"> présentant un risque </w:t>
      </w:r>
      <w:r w:rsidR="00677221" w:rsidRPr="00677221">
        <w:tab/>
      </w:r>
      <w:r w:rsidR="003D48F7" w:rsidRPr="00C631DF">
        <w:rPr>
          <w:strike/>
        </w:rPr>
        <w:t>de corrosivité</w:t>
      </w:r>
      <w:r w:rsidR="00367EE6">
        <w:rPr>
          <w:strike/>
        </w:rPr>
        <w:t xml:space="preserve"> </w:t>
      </w:r>
      <w:r w:rsidR="003D48F7" w:rsidRPr="003D48F7">
        <w:rPr>
          <w:strike/>
        </w:rPr>
        <w:t>très grave;</w:t>
      </w:r>
      <w:r>
        <w:t xml:space="preserve"> </w:t>
      </w:r>
      <w:r w:rsidRPr="00C631DF">
        <w:rPr>
          <w:u w:val="single"/>
        </w:rPr>
        <w:t>mélanges qui causent la destruction du tissu cutané sur toute son épaisseur, au cours d</w:t>
      </w:r>
      <w:r w:rsidR="00CA5971" w:rsidRPr="00C631DF">
        <w:rPr>
          <w:u w:val="single"/>
        </w:rPr>
        <w:t>’</w:t>
      </w:r>
      <w:r w:rsidRPr="00C631DF">
        <w:rPr>
          <w:u w:val="single"/>
        </w:rPr>
        <w:t>une période d</w:t>
      </w:r>
      <w:r w:rsidR="00CA5971" w:rsidRPr="00C631DF">
        <w:rPr>
          <w:u w:val="single"/>
        </w:rPr>
        <w:t>’</w:t>
      </w:r>
      <w:r w:rsidRPr="00C631DF">
        <w:rPr>
          <w:u w:val="single"/>
        </w:rPr>
        <w:t>observation de 60 minutes, après une durée d</w:t>
      </w:r>
      <w:r w:rsidR="00CA5971" w:rsidRPr="00C631DF">
        <w:rPr>
          <w:u w:val="single"/>
        </w:rPr>
        <w:t>’</w:t>
      </w:r>
      <w:r w:rsidRPr="00C631DF">
        <w:rPr>
          <w:u w:val="single"/>
        </w:rPr>
        <w:t>exposition de trois (3) minutes ou moins;</w:t>
      </w:r>
      <w:r>
        <w:t xml:space="preserve"> </w:t>
      </w:r>
    </w:p>
    <w:p w14:paraId="28389922" w14:textId="327B3479" w:rsidR="00D15364" w:rsidRPr="00781B4E" w:rsidRDefault="00D15364" w:rsidP="00677221">
      <w:pPr>
        <w:pStyle w:val="SingleTxtG"/>
        <w:ind w:left="2268"/>
      </w:pPr>
      <w:r>
        <w:t xml:space="preserve">(b) </w:t>
      </w:r>
      <w:r>
        <w:tab/>
      </w:r>
      <w:r>
        <w:rPr>
          <w:i/>
        </w:rPr>
        <w:t>Groupe d</w:t>
      </w:r>
      <w:r w:rsidR="00CA5971">
        <w:rPr>
          <w:i/>
        </w:rPr>
        <w:t>’</w:t>
      </w:r>
      <w:r>
        <w:rPr>
          <w:i/>
        </w:rPr>
        <w:t>emballage II</w:t>
      </w:r>
      <w:r>
        <w:t xml:space="preserve"> : </w:t>
      </w:r>
      <w:r>
        <w:rPr>
          <w:u w:val="single"/>
        </w:rPr>
        <w:t xml:space="preserve">matières et </w:t>
      </w:r>
      <w:r w:rsidRPr="00677221">
        <w:rPr>
          <w:strike/>
        </w:rPr>
        <w:t>préparations</w:t>
      </w:r>
      <w:r w:rsidR="003D48F7" w:rsidRPr="00677221">
        <w:rPr>
          <w:strike/>
        </w:rPr>
        <w:t xml:space="preserve"> présentant un risque de corrosivité</w:t>
      </w:r>
      <w:r w:rsidR="00677221">
        <w:rPr>
          <w:strike/>
        </w:rPr>
        <w:t xml:space="preserve"> </w:t>
      </w:r>
      <w:r w:rsidR="003D48F7" w:rsidRPr="003D48F7">
        <w:rPr>
          <w:strike/>
        </w:rPr>
        <w:t>grave;</w:t>
      </w:r>
      <w:r>
        <w:rPr>
          <w:u w:val="single"/>
        </w:rPr>
        <w:t xml:space="preserve"> mélanges qui causent la destruction du tissu cutané sur toute son épaisseur, au cours d</w:t>
      </w:r>
      <w:r w:rsidR="00CA5971">
        <w:rPr>
          <w:u w:val="single"/>
        </w:rPr>
        <w:t>’</w:t>
      </w:r>
      <w:r>
        <w:rPr>
          <w:u w:val="single"/>
        </w:rPr>
        <w:t>une période d</w:t>
      </w:r>
      <w:r w:rsidR="00CA5971">
        <w:rPr>
          <w:u w:val="single"/>
        </w:rPr>
        <w:t>’</w:t>
      </w:r>
      <w:r>
        <w:rPr>
          <w:u w:val="single"/>
        </w:rPr>
        <w:t>observation de 14 jours, après une durée d</w:t>
      </w:r>
      <w:r w:rsidR="00CA5971">
        <w:rPr>
          <w:u w:val="single"/>
        </w:rPr>
        <w:t>’</w:t>
      </w:r>
      <w:r>
        <w:rPr>
          <w:u w:val="single"/>
        </w:rPr>
        <w:t>exposition de 3 à 60 minutes;</w:t>
      </w:r>
      <w:r>
        <w:t xml:space="preserve"> </w:t>
      </w:r>
    </w:p>
    <w:p w14:paraId="1BFED61A" w14:textId="65ADAB48" w:rsidR="00D15364" w:rsidRPr="00781B4E" w:rsidRDefault="00D15364" w:rsidP="00FC58BF">
      <w:pPr>
        <w:pStyle w:val="SingleTxtG"/>
        <w:ind w:left="2268"/>
        <w:rPr>
          <w:u w:val="single"/>
        </w:rPr>
      </w:pPr>
      <w:r>
        <w:t xml:space="preserve">(c) </w:t>
      </w:r>
      <w:r>
        <w:tab/>
      </w:r>
      <w:r>
        <w:rPr>
          <w:i/>
        </w:rPr>
        <w:t>Groupe d</w:t>
      </w:r>
      <w:r w:rsidR="00CA5971">
        <w:rPr>
          <w:i/>
        </w:rPr>
        <w:t>’</w:t>
      </w:r>
      <w:r>
        <w:rPr>
          <w:i/>
        </w:rPr>
        <w:t>emballage III</w:t>
      </w:r>
      <w:r>
        <w:rPr>
          <w:strike/>
        </w:rPr>
        <w:t> :</w:t>
      </w:r>
      <w:r>
        <w:t xml:space="preserve"> matières et </w:t>
      </w:r>
      <w:r>
        <w:rPr>
          <w:strike/>
        </w:rPr>
        <w:t>préparations</w:t>
      </w:r>
      <w:r w:rsidRPr="003D48F7">
        <w:t xml:space="preserve"> </w:t>
      </w:r>
      <w:r w:rsidRPr="003D48F7">
        <w:rPr>
          <w:u w:val="single"/>
        </w:rPr>
        <w:t>mélanges</w:t>
      </w:r>
      <w:r w:rsidRPr="003D48F7">
        <w:t xml:space="preserve"> </w:t>
      </w:r>
      <w:r w:rsidR="003D48F7" w:rsidRPr="003D48F7">
        <w:t>présentant un risque faible</w:t>
      </w:r>
      <w:r w:rsidRPr="003D48F7">
        <w:t>:</w:t>
      </w:r>
      <w:r>
        <w:rPr>
          <w:u w:val="single"/>
        </w:rPr>
        <w:t xml:space="preserve"> </w:t>
      </w:r>
    </w:p>
    <w:p w14:paraId="7873A8C2" w14:textId="7F4620BE" w:rsidR="00D15364" w:rsidRPr="009761B4" w:rsidRDefault="00FC58BF" w:rsidP="009761B4">
      <w:pPr>
        <w:pStyle w:val="SingleTxtG"/>
        <w:ind w:left="2835"/>
      </w:pPr>
      <w:r>
        <w:t>(i)</w:t>
      </w:r>
      <w:r>
        <w:tab/>
      </w:r>
      <w:r w:rsidR="00BB48DC" w:rsidRPr="00FC58BF">
        <w:rPr>
          <w:u w:val="single"/>
        </w:rPr>
        <w:t>peuvent</w:t>
      </w:r>
      <w:r w:rsidR="00D15364" w:rsidRPr="00FC58BF">
        <w:rPr>
          <w:u w:val="single"/>
        </w:rPr>
        <w:t xml:space="preserve"> causer la destruction du tissu cutané intact sur toute son épaisseur, au cours d</w:t>
      </w:r>
      <w:r w:rsidR="00CA5971" w:rsidRPr="00FC58BF">
        <w:rPr>
          <w:u w:val="single"/>
        </w:rPr>
        <w:t>’</w:t>
      </w:r>
      <w:r w:rsidR="00D15364" w:rsidRPr="00FC58BF">
        <w:rPr>
          <w:u w:val="single"/>
        </w:rPr>
        <w:t>une période d</w:t>
      </w:r>
      <w:r w:rsidR="00CA5971" w:rsidRPr="00FC58BF">
        <w:rPr>
          <w:u w:val="single"/>
        </w:rPr>
        <w:t>’</w:t>
      </w:r>
      <w:r w:rsidR="00D15364" w:rsidRPr="00FC58BF">
        <w:rPr>
          <w:u w:val="single"/>
        </w:rPr>
        <w:t>observation d</w:t>
      </w:r>
      <w:r w:rsidR="00CA5971" w:rsidRPr="00FC58BF">
        <w:rPr>
          <w:u w:val="single"/>
        </w:rPr>
        <w:t>’</w:t>
      </w:r>
      <w:r w:rsidR="00D15364" w:rsidRPr="00FC58BF">
        <w:rPr>
          <w:u w:val="single"/>
        </w:rPr>
        <w:t>un maximum de 14 jours, après une durée d</w:t>
      </w:r>
      <w:r w:rsidR="00CA5971" w:rsidRPr="00FC58BF">
        <w:rPr>
          <w:u w:val="single"/>
        </w:rPr>
        <w:t>’</w:t>
      </w:r>
      <w:r w:rsidR="00D15364" w:rsidRPr="00FC58BF">
        <w:rPr>
          <w:u w:val="single"/>
        </w:rPr>
        <w:t>exposition de 60 minutes à 4 heures;</w:t>
      </w:r>
    </w:p>
    <w:p w14:paraId="081E25B2" w14:textId="392D364C" w:rsidR="00D15364" w:rsidRPr="009761B4" w:rsidRDefault="00D15364" w:rsidP="009761B4">
      <w:pPr>
        <w:pStyle w:val="SingleTxtG"/>
        <w:ind w:left="2835"/>
        <w:rPr>
          <w:u w:val="single"/>
        </w:rPr>
      </w:pPr>
      <w:r w:rsidRPr="009761B4">
        <w:rPr>
          <w:u w:val="single"/>
        </w:rPr>
        <w:lastRenderedPageBreak/>
        <w:t xml:space="preserve">(ii) </w:t>
      </w:r>
      <w:r w:rsidRPr="009761B4">
        <w:rPr>
          <w:u w:val="single"/>
        </w:rPr>
        <w:tab/>
        <w:t>ne causent pas la destruction du tissu cutané intact sur toute son épaisseur, mais présentent une vitesse de corrosion supérieure à 6,25 mm par an sur des surfaces d</w:t>
      </w:r>
      <w:r w:rsidR="00CA5971" w:rsidRPr="009761B4">
        <w:rPr>
          <w:u w:val="single"/>
        </w:rPr>
        <w:t>’</w:t>
      </w:r>
      <w:r w:rsidRPr="009761B4">
        <w:rPr>
          <w:u w:val="single"/>
        </w:rPr>
        <w:t>acier ou d</w:t>
      </w:r>
      <w:r w:rsidR="00CA5971" w:rsidRPr="009761B4">
        <w:rPr>
          <w:u w:val="single"/>
        </w:rPr>
        <w:t>’</w:t>
      </w:r>
      <w:r w:rsidRPr="009761B4">
        <w:rPr>
          <w:u w:val="single"/>
        </w:rPr>
        <w:t>aluminium à la température d</w:t>
      </w:r>
      <w:r w:rsidR="00CA5971" w:rsidRPr="009761B4">
        <w:rPr>
          <w:u w:val="single"/>
        </w:rPr>
        <w:t>’</w:t>
      </w:r>
      <w:r w:rsidRPr="009761B4">
        <w:rPr>
          <w:u w:val="single"/>
        </w:rPr>
        <w:t>épreuve de 55 °C lors d</w:t>
      </w:r>
      <w:r w:rsidR="00CA5971" w:rsidRPr="009761B4">
        <w:rPr>
          <w:u w:val="single"/>
        </w:rPr>
        <w:t>’</w:t>
      </w:r>
      <w:r w:rsidRPr="009761B4">
        <w:rPr>
          <w:u w:val="single"/>
        </w:rPr>
        <w:t>essai sur les deux matières. Dans le cadre de ces épreuves, le type d</w:t>
      </w:r>
      <w:r w:rsidR="00CA5971" w:rsidRPr="009761B4">
        <w:rPr>
          <w:u w:val="single"/>
        </w:rPr>
        <w:t>’</w:t>
      </w:r>
      <w:r w:rsidRPr="009761B4">
        <w:rPr>
          <w:u w:val="single"/>
        </w:rPr>
        <w:t>acier S235JR+CR (1.0037, respectivement St 37-2), S275J2G3+CR (1.0144, respectivement St 44-3), ISO 3574 ou « Unified Numbering System » (UNS) G10200 ou un type d</w:t>
      </w:r>
      <w:r w:rsidR="00CA5971" w:rsidRPr="009761B4">
        <w:rPr>
          <w:u w:val="single"/>
        </w:rPr>
        <w:t>’</w:t>
      </w:r>
      <w:r w:rsidRPr="009761B4">
        <w:rPr>
          <w:u w:val="single"/>
        </w:rPr>
        <w:t>acier similaire, ou encore SAE 1020 doit être utilisé. Pour les épreuves sur l</w:t>
      </w:r>
      <w:r w:rsidR="00CA5971" w:rsidRPr="009761B4">
        <w:rPr>
          <w:u w:val="single"/>
        </w:rPr>
        <w:t>’</w:t>
      </w:r>
      <w:r w:rsidRPr="009761B4">
        <w:rPr>
          <w:u w:val="single"/>
        </w:rPr>
        <w:t>aluminium, le type non revêtu 7075–T6 ou AZ5GU-T6 doit être utilisé. Un essai acceptable est prescrit à la section 37 de la partie III du Manuel d</w:t>
      </w:r>
      <w:r w:rsidR="00CA5971" w:rsidRPr="009761B4">
        <w:rPr>
          <w:u w:val="single"/>
        </w:rPr>
        <w:t>’</w:t>
      </w:r>
      <w:r w:rsidRPr="009761B4">
        <w:rPr>
          <w:u w:val="single"/>
        </w:rPr>
        <w:t xml:space="preserve">épreuves et de critères. </w:t>
      </w:r>
    </w:p>
    <w:p w14:paraId="0F70832A" w14:textId="28421727" w:rsidR="00D15364" w:rsidRPr="00FE08D7" w:rsidRDefault="00FE08D7" w:rsidP="00FE08D7">
      <w:pPr>
        <w:pStyle w:val="SingleTxtG"/>
        <w:ind w:left="2835"/>
        <w:rPr>
          <w:i/>
          <w:iCs/>
          <w:u w:val="single"/>
        </w:rPr>
      </w:pPr>
      <w:r w:rsidRPr="00FE08D7">
        <w:rPr>
          <w:b/>
          <w:i/>
          <w:u w:val="single"/>
        </w:rPr>
        <w:t>REMARQUE</w:t>
      </w:r>
      <w:r w:rsidR="00D15364" w:rsidRPr="00FE08D7">
        <w:rPr>
          <w:b/>
          <w:i/>
          <w:u w:val="single"/>
        </w:rPr>
        <w:t xml:space="preserve">: </w:t>
      </w:r>
      <w:r w:rsidR="00D15364" w:rsidRPr="00FE08D7">
        <w:rPr>
          <w:i/>
          <w:u w:val="single"/>
        </w:rPr>
        <w:t>Lorsqu</w:t>
      </w:r>
      <w:r w:rsidR="00CA5971" w:rsidRPr="00FE08D7">
        <w:rPr>
          <w:i/>
          <w:u w:val="single"/>
        </w:rPr>
        <w:t>’</w:t>
      </w:r>
      <w:r w:rsidR="00D15364" w:rsidRPr="00FE08D7">
        <w:rPr>
          <w:i/>
          <w:u w:val="single"/>
        </w:rPr>
        <w:t>une épreuve initiale sur l</w:t>
      </w:r>
      <w:r w:rsidR="00CA5971" w:rsidRPr="00FE08D7">
        <w:rPr>
          <w:i/>
          <w:u w:val="single"/>
        </w:rPr>
        <w:t>’</w:t>
      </w:r>
      <w:r w:rsidR="00D15364" w:rsidRPr="00FE08D7">
        <w:rPr>
          <w:i/>
          <w:u w:val="single"/>
        </w:rPr>
        <w:t>acier ou l</w:t>
      </w:r>
      <w:r w:rsidR="00CA5971" w:rsidRPr="00FE08D7">
        <w:rPr>
          <w:i/>
          <w:u w:val="single"/>
        </w:rPr>
        <w:t>’</w:t>
      </w:r>
      <w:r w:rsidR="00D15364" w:rsidRPr="00FE08D7">
        <w:rPr>
          <w:i/>
          <w:u w:val="single"/>
        </w:rPr>
        <w:t>aluminium indique que la matière mise à l</w:t>
      </w:r>
      <w:r w:rsidR="00CA5971" w:rsidRPr="00FE08D7">
        <w:rPr>
          <w:i/>
          <w:u w:val="single"/>
        </w:rPr>
        <w:t>’</w:t>
      </w:r>
      <w:r w:rsidR="00D15364" w:rsidRPr="00FE08D7">
        <w:rPr>
          <w:i/>
          <w:u w:val="single"/>
        </w:rPr>
        <w:t>épreuve est corrosive, il est inutile de soumettre l</w:t>
      </w:r>
      <w:r w:rsidR="00CA5971" w:rsidRPr="00FE08D7">
        <w:rPr>
          <w:i/>
          <w:u w:val="single"/>
        </w:rPr>
        <w:t>’</w:t>
      </w:r>
      <w:r w:rsidR="00D15364" w:rsidRPr="00FE08D7">
        <w:rPr>
          <w:i/>
          <w:u w:val="single"/>
        </w:rPr>
        <w:t>autre métal à une épreuve de suivi.</w:t>
      </w:r>
    </w:p>
    <w:p w14:paraId="2F586467" w14:textId="77777777" w:rsidR="00D15364" w:rsidRPr="00386021" w:rsidRDefault="00D15364" w:rsidP="00FE08D7">
      <w:pPr>
        <w:pStyle w:val="H23G"/>
        <w:jc w:val="center"/>
        <w:rPr>
          <w:u w:val="single"/>
        </w:rPr>
      </w:pPr>
      <w:r w:rsidRPr="00386021">
        <w:rPr>
          <w:u w:val="single"/>
        </w:rPr>
        <w:t>Tableau  2.8.2.1 : Tableau résumant les critères du tableau 2.8.2.1</w:t>
      </w:r>
    </w:p>
    <w:p w14:paraId="6D108A13" w14:textId="77777777" w:rsidR="00D15364" w:rsidRPr="00781B4E" w:rsidRDefault="00D15364" w:rsidP="00D15364">
      <w:pPr>
        <w:ind w:left="1134"/>
        <w:jc w:val="center"/>
        <w:rPr>
          <w:b/>
          <w:color w:val="000000"/>
          <w:u w:val="single"/>
        </w:rPr>
      </w:pPr>
    </w:p>
    <w:tbl>
      <w:tblPr>
        <w:tblStyle w:val="TableGrid"/>
        <w:tblW w:w="0" w:type="auto"/>
        <w:tblInd w:w="1134" w:type="dxa"/>
        <w:tblLook w:val="04A0" w:firstRow="1" w:lastRow="0" w:firstColumn="1" w:lastColumn="0" w:noHBand="0" w:noVBand="1"/>
      </w:tblPr>
      <w:tblGrid>
        <w:gridCol w:w="1141"/>
        <w:gridCol w:w="1559"/>
        <w:gridCol w:w="1276"/>
        <w:gridCol w:w="4433"/>
      </w:tblGrid>
      <w:tr w:rsidR="00D15364" w:rsidRPr="00781B4E" w14:paraId="4E6BBB76" w14:textId="77777777" w:rsidTr="00CA5971">
        <w:tc>
          <w:tcPr>
            <w:tcW w:w="959" w:type="dxa"/>
          </w:tcPr>
          <w:p w14:paraId="2E8DDFC2" w14:textId="4EF8C234" w:rsidR="00D15364" w:rsidRPr="00781B4E" w:rsidRDefault="00D15364" w:rsidP="00CA5971">
            <w:pPr>
              <w:ind w:left="43" w:right="43"/>
              <w:jc w:val="center"/>
              <w:rPr>
                <w:b/>
                <w:color w:val="000000"/>
              </w:rPr>
            </w:pPr>
            <w:r>
              <w:rPr>
                <w:b/>
                <w:color w:val="000000"/>
              </w:rPr>
              <w:t>Groupe d</w:t>
            </w:r>
            <w:r w:rsidR="00CA5971">
              <w:rPr>
                <w:b/>
                <w:color w:val="000000"/>
              </w:rPr>
              <w:t>’</w:t>
            </w:r>
            <w:r>
              <w:rPr>
                <w:b/>
                <w:color w:val="000000"/>
              </w:rPr>
              <w:t>emballage</w:t>
            </w:r>
          </w:p>
        </w:tc>
        <w:tc>
          <w:tcPr>
            <w:tcW w:w="1559" w:type="dxa"/>
          </w:tcPr>
          <w:p w14:paraId="13CDDBD6" w14:textId="6BEED68C" w:rsidR="00D15364" w:rsidRPr="00781B4E" w:rsidRDefault="00D15364" w:rsidP="00CA5971">
            <w:pPr>
              <w:ind w:left="43" w:right="43"/>
              <w:jc w:val="center"/>
              <w:rPr>
                <w:b/>
                <w:color w:val="000000"/>
              </w:rPr>
            </w:pPr>
            <w:r>
              <w:rPr>
                <w:b/>
                <w:color w:val="000000"/>
              </w:rPr>
              <w:t xml:space="preserve">Durée </w:t>
            </w:r>
            <w:r>
              <w:rPr>
                <w:b/>
                <w:color w:val="000000"/>
              </w:rPr>
              <w:br/>
              <w:t>d</w:t>
            </w:r>
            <w:r w:rsidR="00CA5971">
              <w:rPr>
                <w:b/>
                <w:color w:val="000000"/>
              </w:rPr>
              <w:t>’</w:t>
            </w:r>
            <w:r>
              <w:rPr>
                <w:b/>
                <w:color w:val="000000"/>
              </w:rPr>
              <w:t>exposition</w:t>
            </w:r>
          </w:p>
        </w:tc>
        <w:tc>
          <w:tcPr>
            <w:tcW w:w="1276" w:type="dxa"/>
          </w:tcPr>
          <w:p w14:paraId="5B7769B9" w14:textId="3B928A90" w:rsidR="00D15364" w:rsidRPr="00781B4E" w:rsidRDefault="00D15364" w:rsidP="00CA5971">
            <w:pPr>
              <w:ind w:left="43" w:right="43"/>
              <w:jc w:val="center"/>
              <w:rPr>
                <w:b/>
                <w:color w:val="000000"/>
              </w:rPr>
            </w:pPr>
            <w:r>
              <w:rPr>
                <w:b/>
                <w:color w:val="000000"/>
              </w:rPr>
              <w:t>Période d</w:t>
            </w:r>
            <w:r w:rsidR="00CA5971">
              <w:rPr>
                <w:b/>
                <w:color w:val="000000"/>
              </w:rPr>
              <w:t>’</w:t>
            </w:r>
            <w:r>
              <w:rPr>
                <w:b/>
                <w:color w:val="000000"/>
              </w:rPr>
              <w:t>observation</w:t>
            </w:r>
          </w:p>
        </w:tc>
        <w:tc>
          <w:tcPr>
            <w:tcW w:w="4433" w:type="dxa"/>
          </w:tcPr>
          <w:p w14:paraId="0F1FB4E7" w14:textId="77777777" w:rsidR="00D15364" w:rsidRPr="00781B4E" w:rsidRDefault="00D15364" w:rsidP="00CA5971">
            <w:pPr>
              <w:ind w:left="43" w:right="43"/>
              <w:jc w:val="center"/>
              <w:rPr>
                <w:b/>
                <w:color w:val="000000"/>
              </w:rPr>
            </w:pPr>
            <w:r>
              <w:rPr>
                <w:b/>
                <w:color w:val="000000"/>
              </w:rPr>
              <w:t>Effet</w:t>
            </w:r>
          </w:p>
        </w:tc>
      </w:tr>
      <w:tr w:rsidR="00D15364" w:rsidRPr="00781B4E" w14:paraId="684A3AEE" w14:textId="77777777" w:rsidTr="00CA5971">
        <w:tc>
          <w:tcPr>
            <w:tcW w:w="959" w:type="dxa"/>
            <w:vAlign w:val="center"/>
          </w:tcPr>
          <w:p w14:paraId="16038AE4" w14:textId="77777777" w:rsidR="00D15364" w:rsidRPr="00781B4E" w:rsidRDefault="00D15364" w:rsidP="00CA5971">
            <w:pPr>
              <w:ind w:left="43" w:right="43"/>
              <w:jc w:val="center"/>
              <w:rPr>
                <w:color w:val="000000"/>
              </w:rPr>
            </w:pPr>
            <w:r>
              <w:rPr>
                <w:color w:val="000000"/>
              </w:rPr>
              <w:t>I</w:t>
            </w:r>
          </w:p>
        </w:tc>
        <w:tc>
          <w:tcPr>
            <w:tcW w:w="1559" w:type="dxa"/>
            <w:vAlign w:val="center"/>
          </w:tcPr>
          <w:p w14:paraId="20F40B52" w14:textId="77777777" w:rsidR="00D15364" w:rsidRPr="00781B4E" w:rsidRDefault="00D15364" w:rsidP="00CA5971">
            <w:pPr>
              <w:ind w:left="43" w:right="43"/>
              <w:jc w:val="center"/>
              <w:rPr>
                <w:color w:val="000000"/>
              </w:rPr>
            </w:pPr>
            <w:r>
              <w:rPr>
                <w:color w:val="000000"/>
              </w:rPr>
              <w:t>≤ 3 minutes</w:t>
            </w:r>
          </w:p>
        </w:tc>
        <w:tc>
          <w:tcPr>
            <w:tcW w:w="1276" w:type="dxa"/>
            <w:vAlign w:val="center"/>
          </w:tcPr>
          <w:p w14:paraId="4D630EFF" w14:textId="77777777" w:rsidR="00D15364" w:rsidRPr="00781B4E" w:rsidRDefault="00D15364" w:rsidP="00CA5971">
            <w:pPr>
              <w:ind w:left="43" w:right="43"/>
              <w:jc w:val="center"/>
              <w:rPr>
                <w:color w:val="000000"/>
              </w:rPr>
            </w:pPr>
            <w:r>
              <w:rPr>
                <w:color w:val="000000"/>
              </w:rPr>
              <w:t>≤ 60 minutes</w:t>
            </w:r>
          </w:p>
        </w:tc>
        <w:tc>
          <w:tcPr>
            <w:tcW w:w="4433" w:type="dxa"/>
          </w:tcPr>
          <w:p w14:paraId="6C432E0B" w14:textId="77777777" w:rsidR="00D15364" w:rsidRPr="00781B4E" w:rsidRDefault="00D15364" w:rsidP="00CA5971">
            <w:pPr>
              <w:ind w:left="43" w:right="43"/>
              <w:rPr>
                <w:color w:val="000000"/>
              </w:rPr>
            </w:pPr>
            <w:r>
              <w:rPr>
                <w:color w:val="000000"/>
              </w:rPr>
              <w:t>Destruction du tissu cutané intact sur toute son épaisseur</w:t>
            </w:r>
          </w:p>
        </w:tc>
      </w:tr>
      <w:tr w:rsidR="00D15364" w:rsidRPr="00781B4E" w14:paraId="1C4A096E" w14:textId="77777777" w:rsidTr="00CA5971">
        <w:tc>
          <w:tcPr>
            <w:tcW w:w="959" w:type="dxa"/>
            <w:vAlign w:val="center"/>
          </w:tcPr>
          <w:p w14:paraId="02C39BB3" w14:textId="77777777" w:rsidR="00D15364" w:rsidRPr="00781B4E" w:rsidRDefault="00D15364" w:rsidP="00CA5971">
            <w:pPr>
              <w:ind w:left="43" w:right="43"/>
              <w:jc w:val="center"/>
              <w:rPr>
                <w:color w:val="000000"/>
              </w:rPr>
            </w:pPr>
            <w:r>
              <w:rPr>
                <w:color w:val="000000"/>
              </w:rPr>
              <w:t>II</w:t>
            </w:r>
          </w:p>
        </w:tc>
        <w:tc>
          <w:tcPr>
            <w:tcW w:w="1559" w:type="dxa"/>
            <w:vAlign w:val="center"/>
          </w:tcPr>
          <w:p w14:paraId="2538D056" w14:textId="77777777" w:rsidR="00D15364" w:rsidRPr="00781B4E" w:rsidRDefault="00D15364" w:rsidP="00CA5971">
            <w:pPr>
              <w:ind w:left="43" w:right="43"/>
              <w:jc w:val="center"/>
              <w:rPr>
                <w:color w:val="000000"/>
              </w:rPr>
            </w:pPr>
            <w:r>
              <w:rPr>
                <w:color w:val="000000"/>
              </w:rPr>
              <w:t>&gt; 3 minutes ≤ 1 heure</w:t>
            </w:r>
          </w:p>
        </w:tc>
        <w:tc>
          <w:tcPr>
            <w:tcW w:w="1276" w:type="dxa"/>
            <w:vAlign w:val="center"/>
          </w:tcPr>
          <w:p w14:paraId="0F9D3077" w14:textId="77777777" w:rsidR="00D15364" w:rsidRPr="00781B4E" w:rsidRDefault="00D15364" w:rsidP="00CA5971">
            <w:pPr>
              <w:ind w:left="43" w:right="43"/>
              <w:jc w:val="center"/>
              <w:rPr>
                <w:color w:val="000000"/>
              </w:rPr>
            </w:pPr>
            <w:r>
              <w:rPr>
                <w:color w:val="000000"/>
              </w:rPr>
              <w:t>≤ 14 jours</w:t>
            </w:r>
          </w:p>
        </w:tc>
        <w:tc>
          <w:tcPr>
            <w:tcW w:w="4433" w:type="dxa"/>
          </w:tcPr>
          <w:p w14:paraId="1C58F8B5" w14:textId="77777777" w:rsidR="00D15364" w:rsidRPr="00781B4E" w:rsidRDefault="00D15364" w:rsidP="00CA5971">
            <w:pPr>
              <w:ind w:left="43" w:right="43"/>
              <w:rPr>
                <w:color w:val="000000"/>
              </w:rPr>
            </w:pPr>
            <w:r>
              <w:rPr>
                <w:color w:val="000000"/>
              </w:rPr>
              <w:t>Destruction du tissu cutané intact sur toute son épaisseur</w:t>
            </w:r>
          </w:p>
        </w:tc>
      </w:tr>
      <w:tr w:rsidR="00D15364" w:rsidRPr="00781B4E" w14:paraId="2C9F6213" w14:textId="77777777" w:rsidTr="00CA5971">
        <w:tc>
          <w:tcPr>
            <w:tcW w:w="959" w:type="dxa"/>
            <w:vAlign w:val="center"/>
          </w:tcPr>
          <w:p w14:paraId="5F5873FC" w14:textId="77777777" w:rsidR="00D15364" w:rsidRPr="00781B4E" w:rsidRDefault="00D15364" w:rsidP="00CA5971">
            <w:pPr>
              <w:ind w:left="43" w:right="43"/>
              <w:jc w:val="center"/>
              <w:rPr>
                <w:color w:val="000000"/>
              </w:rPr>
            </w:pPr>
            <w:r>
              <w:rPr>
                <w:color w:val="000000"/>
              </w:rPr>
              <w:t>III</w:t>
            </w:r>
          </w:p>
        </w:tc>
        <w:tc>
          <w:tcPr>
            <w:tcW w:w="1559" w:type="dxa"/>
            <w:vAlign w:val="center"/>
          </w:tcPr>
          <w:p w14:paraId="5F667F22" w14:textId="77777777" w:rsidR="00D15364" w:rsidRPr="00781B4E" w:rsidRDefault="00D15364" w:rsidP="00CA5971">
            <w:pPr>
              <w:ind w:left="43" w:right="43"/>
              <w:jc w:val="center"/>
              <w:rPr>
                <w:color w:val="000000"/>
              </w:rPr>
            </w:pPr>
            <w:r>
              <w:rPr>
                <w:color w:val="000000"/>
              </w:rPr>
              <w:t>&gt; 1 heure ≤ 4 heure</w:t>
            </w:r>
          </w:p>
        </w:tc>
        <w:tc>
          <w:tcPr>
            <w:tcW w:w="1276" w:type="dxa"/>
            <w:vAlign w:val="center"/>
          </w:tcPr>
          <w:p w14:paraId="7A282D77" w14:textId="77777777" w:rsidR="00D15364" w:rsidRPr="00781B4E" w:rsidRDefault="00D15364" w:rsidP="00CA5971">
            <w:pPr>
              <w:ind w:left="43" w:right="43"/>
              <w:jc w:val="center"/>
              <w:rPr>
                <w:color w:val="000000"/>
              </w:rPr>
            </w:pPr>
            <w:r>
              <w:rPr>
                <w:color w:val="000000"/>
              </w:rPr>
              <w:t>≤ 14 jours</w:t>
            </w:r>
          </w:p>
        </w:tc>
        <w:tc>
          <w:tcPr>
            <w:tcW w:w="4433" w:type="dxa"/>
          </w:tcPr>
          <w:p w14:paraId="72652091" w14:textId="77777777" w:rsidR="00D15364" w:rsidRPr="00781B4E" w:rsidRDefault="00D15364" w:rsidP="00CA5971">
            <w:pPr>
              <w:ind w:left="43" w:right="43"/>
              <w:rPr>
                <w:color w:val="000000"/>
              </w:rPr>
            </w:pPr>
            <w:r>
              <w:rPr>
                <w:color w:val="000000"/>
              </w:rPr>
              <w:t>Destruction du tissu cutané intact sur toute son épaisseur</w:t>
            </w:r>
          </w:p>
        </w:tc>
      </w:tr>
      <w:tr w:rsidR="00D15364" w:rsidRPr="00781B4E" w14:paraId="2315157A" w14:textId="77777777" w:rsidTr="00CA5971">
        <w:tc>
          <w:tcPr>
            <w:tcW w:w="959" w:type="dxa"/>
          </w:tcPr>
          <w:p w14:paraId="79822F11" w14:textId="77777777" w:rsidR="00D15364" w:rsidRPr="00781B4E" w:rsidRDefault="00D15364" w:rsidP="00CA5971">
            <w:pPr>
              <w:ind w:left="43" w:right="43"/>
              <w:jc w:val="center"/>
              <w:rPr>
                <w:color w:val="000000"/>
              </w:rPr>
            </w:pPr>
            <w:r>
              <w:rPr>
                <w:color w:val="000000"/>
              </w:rPr>
              <w:t>III</w:t>
            </w:r>
          </w:p>
        </w:tc>
        <w:tc>
          <w:tcPr>
            <w:tcW w:w="1559" w:type="dxa"/>
          </w:tcPr>
          <w:p w14:paraId="125499E9" w14:textId="77777777" w:rsidR="00D15364" w:rsidRPr="00781B4E" w:rsidRDefault="00D15364" w:rsidP="00CA5971">
            <w:pPr>
              <w:ind w:left="43" w:right="43"/>
              <w:jc w:val="center"/>
              <w:rPr>
                <w:color w:val="000000"/>
              </w:rPr>
            </w:pPr>
            <w:r>
              <w:rPr>
                <w:color w:val="000000"/>
              </w:rPr>
              <w:t>–</w:t>
            </w:r>
          </w:p>
        </w:tc>
        <w:tc>
          <w:tcPr>
            <w:tcW w:w="1276" w:type="dxa"/>
          </w:tcPr>
          <w:p w14:paraId="52A14780" w14:textId="77777777" w:rsidR="00D15364" w:rsidRPr="00781B4E" w:rsidRDefault="00D15364" w:rsidP="00CA5971">
            <w:pPr>
              <w:ind w:left="43" w:right="43"/>
              <w:jc w:val="center"/>
              <w:rPr>
                <w:color w:val="000000"/>
              </w:rPr>
            </w:pPr>
            <w:r>
              <w:rPr>
                <w:color w:val="000000"/>
              </w:rPr>
              <w:t>–</w:t>
            </w:r>
          </w:p>
        </w:tc>
        <w:tc>
          <w:tcPr>
            <w:tcW w:w="4433" w:type="dxa"/>
          </w:tcPr>
          <w:p w14:paraId="1040DAC3" w14:textId="60E0D90A" w:rsidR="00D15364" w:rsidRPr="00781B4E" w:rsidRDefault="00D15364" w:rsidP="00BB48DC">
            <w:pPr>
              <w:ind w:left="43" w:right="43"/>
              <w:jc w:val="both"/>
              <w:rPr>
                <w:color w:val="000000"/>
              </w:rPr>
            </w:pPr>
            <w:r>
              <w:rPr>
                <w:color w:val="000000"/>
              </w:rPr>
              <w:t>Vitesse de corrosion supérieure à 6,25 mm par an sur des surfaces d</w:t>
            </w:r>
            <w:r w:rsidR="00CA5971">
              <w:rPr>
                <w:color w:val="000000"/>
              </w:rPr>
              <w:t>’</w:t>
            </w:r>
            <w:r>
              <w:rPr>
                <w:color w:val="000000"/>
              </w:rPr>
              <w:t>acier ou d</w:t>
            </w:r>
            <w:r w:rsidR="00CA5971">
              <w:rPr>
                <w:color w:val="000000"/>
              </w:rPr>
              <w:t>’</w:t>
            </w:r>
            <w:r>
              <w:rPr>
                <w:color w:val="000000"/>
              </w:rPr>
              <w:t>aluminium à la température d</w:t>
            </w:r>
            <w:r w:rsidR="00CA5971">
              <w:rPr>
                <w:color w:val="000000"/>
              </w:rPr>
              <w:t>’</w:t>
            </w:r>
            <w:r>
              <w:rPr>
                <w:color w:val="000000"/>
              </w:rPr>
              <w:t>épreuve de</w:t>
            </w:r>
            <w:r w:rsidR="00BB48DC">
              <w:rPr>
                <w:color w:val="000000"/>
              </w:rPr>
              <w:t xml:space="preserve"> 5</w:t>
            </w:r>
            <w:r>
              <w:rPr>
                <w:color w:val="000000"/>
              </w:rPr>
              <w:t>5 ºC lors d</w:t>
            </w:r>
            <w:r w:rsidR="00CA5971">
              <w:rPr>
                <w:color w:val="000000"/>
              </w:rPr>
              <w:t>’</w:t>
            </w:r>
            <w:r>
              <w:rPr>
                <w:color w:val="000000"/>
              </w:rPr>
              <w:t>essai sur les deux matières</w:t>
            </w:r>
          </w:p>
        </w:tc>
      </w:tr>
    </w:tbl>
    <w:p w14:paraId="57C5585F" w14:textId="47598BF2" w:rsidR="00D15364" w:rsidRPr="00570429" w:rsidRDefault="00D15364" w:rsidP="00FE08D7">
      <w:pPr>
        <w:pStyle w:val="SingleTxtG"/>
        <w:spacing w:before="120"/>
      </w:pPr>
      <w:r>
        <w:t xml:space="preserve">2.8.2.2 </w:t>
      </w:r>
      <w:r>
        <w:tab/>
      </w:r>
      <w:r w:rsidR="003D48F7" w:rsidRPr="003D48F7">
        <w:t>Le classement des matières de la Liste des marchandises dangereuses du chapitre 3.2 dans les</w:t>
      </w:r>
      <w:r w:rsidR="00FE08D7">
        <w:t xml:space="preserve"> </w:t>
      </w:r>
      <w:r w:rsidR="003D48F7" w:rsidRPr="003D48F7">
        <w:t>groupes d'emballage de la classe 8 est fondé sur l'expérience acquise et tient compte de facteurs supplémentaires</w:t>
      </w:r>
      <w:r w:rsidR="003D48F7">
        <w:t xml:space="preserve"> </w:t>
      </w:r>
      <w:r w:rsidR="003D48F7" w:rsidRPr="003D48F7">
        <w:t xml:space="preserve">tels que le risque d'inhalation </w:t>
      </w:r>
      <w:r w:rsidRPr="00570429">
        <w:t>(voir 2.8.2.</w:t>
      </w:r>
      <w:r w:rsidRPr="00570429">
        <w:rPr>
          <w:strike/>
        </w:rPr>
        <w:t>3</w:t>
      </w:r>
      <w:r w:rsidRPr="00570429">
        <w:t xml:space="preserve">4) et </w:t>
      </w:r>
      <w:r w:rsidR="003D48F7">
        <w:t>l’</w:t>
      </w:r>
      <w:proofErr w:type="spellStart"/>
      <w:r w:rsidR="003D48F7">
        <w:t>hydroréactivité</w:t>
      </w:r>
      <w:proofErr w:type="spellEnd"/>
      <w:r w:rsidRPr="00570429">
        <w:t xml:space="preserve"> (y compris la formation de produits de décomposition présentant un danger). </w:t>
      </w:r>
    </w:p>
    <w:p w14:paraId="40444028" w14:textId="1D815417" w:rsidR="00D15364" w:rsidRPr="00570429" w:rsidRDefault="00D15364" w:rsidP="00FE08D7">
      <w:pPr>
        <w:pStyle w:val="SingleTxtG"/>
        <w:rPr>
          <w:strike/>
        </w:rPr>
      </w:pPr>
      <w:r w:rsidRPr="00570429">
        <w:rPr>
          <w:u w:val="single"/>
        </w:rPr>
        <w:t>2.8.2.3</w:t>
      </w:r>
      <w:r w:rsidRPr="00570429">
        <w:tab/>
      </w:r>
      <w:r w:rsidR="00FE08D7">
        <w:tab/>
      </w:r>
      <w:r w:rsidR="00600A3E">
        <w:t>On peut classes les matières nouvelles, y compris les mélanges, dans les groupes d’emballage, sur la base du temps contact nécessaire pour provoquer une destruction de la peau humaine sur toute son épaisseur selon les critères du 2.8.2.4</w:t>
      </w:r>
      <w:r w:rsidRPr="00570429">
        <w:t xml:space="preserve">; </w:t>
      </w:r>
      <w:r w:rsidRPr="00570429">
        <w:rPr>
          <w:u w:val="single"/>
        </w:rPr>
        <w:t>les critères énoncés au paragraphe 2.8.3 s</w:t>
      </w:r>
      <w:r w:rsidR="00CA5971" w:rsidRPr="00570429">
        <w:rPr>
          <w:u w:val="single"/>
        </w:rPr>
        <w:t>’</w:t>
      </w:r>
      <w:r w:rsidRPr="00570429">
        <w:rPr>
          <w:u w:val="single"/>
        </w:rPr>
        <w:t>appliquent aux matières, et ceux du paragraphe 2.8.4. s</w:t>
      </w:r>
      <w:r w:rsidR="00CA5971" w:rsidRPr="00570429">
        <w:rPr>
          <w:u w:val="single"/>
        </w:rPr>
        <w:t>’</w:t>
      </w:r>
      <w:r w:rsidRPr="00570429">
        <w:rPr>
          <w:u w:val="single"/>
        </w:rPr>
        <w:t>appliquent aux mélanges.</w:t>
      </w:r>
      <w:r w:rsidR="003D48F7" w:rsidRPr="003D48F7">
        <w:t xml:space="preserve"> </w:t>
      </w:r>
      <w:r w:rsidR="003D48F7" w:rsidRPr="003D48F7">
        <w:rPr>
          <w:strike/>
        </w:rPr>
        <w:t>Pour les liquides et les solides susceptibles de</w:t>
      </w:r>
      <w:r w:rsidR="00FE08D7">
        <w:rPr>
          <w:strike/>
        </w:rPr>
        <w:t xml:space="preserve"> </w:t>
      </w:r>
      <w:r w:rsidR="003D48F7" w:rsidRPr="003D48F7">
        <w:rPr>
          <w:strike/>
        </w:rPr>
        <w:t>fondre lors du transport dont on juge qu'ils ne provoquent pas une destruction de la peau humaine sur toute</w:t>
      </w:r>
      <w:r w:rsidR="00FE08D7">
        <w:rPr>
          <w:strike/>
        </w:rPr>
        <w:t xml:space="preserve"> </w:t>
      </w:r>
      <w:r w:rsidR="003D48F7" w:rsidRPr="003D48F7">
        <w:rPr>
          <w:strike/>
        </w:rPr>
        <w:t>son épaisseur, il faut néanmoins considérer leur capacité de provoquer la corrosion de certaines surfaces</w:t>
      </w:r>
      <w:r w:rsidR="00FE08D7">
        <w:rPr>
          <w:strike/>
        </w:rPr>
        <w:t xml:space="preserve"> </w:t>
      </w:r>
      <w:r w:rsidR="003D48F7" w:rsidRPr="003D48F7">
        <w:rPr>
          <w:strike/>
        </w:rPr>
        <w:t>métalliques, conformément aux critères du 2.8.2.5 c) ii).</w:t>
      </w:r>
    </w:p>
    <w:p w14:paraId="55558C22" w14:textId="4F03E0FC" w:rsidR="00D15364" w:rsidRPr="00570429" w:rsidRDefault="00D15364" w:rsidP="00FE08D7">
      <w:pPr>
        <w:pStyle w:val="SingleTxtG"/>
      </w:pPr>
      <w:r w:rsidRPr="00570429">
        <w:t>2.8.2.</w:t>
      </w:r>
      <w:r w:rsidRPr="00570429">
        <w:rPr>
          <w:strike/>
        </w:rPr>
        <w:t>3</w:t>
      </w:r>
      <w:r w:rsidRPr="00570429">
        <w:rPr>
          <w:u w:val="single"/>
        </w:rPr>
        <w:t>4</w:t>
      </w:r>
      <w:r w:rsidRPr="00570429">
        <w:t xml:space="preserve"> </w:t>
      </w:r>
      <w:r w:rsidRPr="00570429">
        <w:tab/>
        <w:t xml:space="preserve">Une matière ou </w:t>
      </w:r>
      <w:r w:rsidRPr="00570429">
        <w:rPr>
          <w:strike/>
        </w:rPr>
        <w:t>une préparation</w:t>
      </w:r>
      <w:r w:rsidRPr="00570429">
        <w:t xml:space="preserve"> </w:t>
      </w:r>
      <w:r w:rsidRPr="003D48F7">
        <w:rPr>
          <w:u w:val="single"/>
        </w:rPr>
        <w:t xml:space="preserve">un </w:t>
      </w:r>
      <w:r w:rsidRPr="00570429">
        <w:rPr>
          <w:u w:val="single"/>
        </w:rPr>
        <w:t>mélange</w:t>
      </w:r>
      <w:r w:rsidRPr="00570429">
        <w:t xml:space="preserve"> </w:t>
      </w:r>
      <w:r w:rsidR="003D48F7" w:rsidRPr="003D48F7">
        <w:t>dont la toxicité à l'inhalation de poussières et brouillards (CL</w:t>
      </w:r>
      <w:r w:rsidR="003D48F7" w:rsidRPr="003D48F7">
        <w:rPr>
          <w:vertAlign w:val="subscript"/>
        </w:rPr>
        <w:t>50</w:t>
      </w:r>
      <w:r w:rsidR="003D48F7" w:rsidRPr="003D48F7">
        <w:t>)</w:t>
      </w:r>
      <w:r w:rsidR="003D48F7">
        <w:t xml:space="preserve"> </w:t>
      </w:r>
      <w:r w:rsidR="003D48F7" w:rsidRPr="003D48F7">
        <w:t>correspond au groupe d'emballage I, mais dont la toxicité à l'ingestion et à l'absorption cutanée ne correspond</w:t>
      </w:r>
      <w:r w:rsidR="003D48F7">
        <w:t xml:space="preserve"> </w:t>
      </w:r>
      <w:r w:rsidR="003D48F7" w:rsidRPr="003D48F7">
        <w:t>qu'au groupe d'emballage III ou qui présente un degré de toxicité moins élevé, doit être affectée à la classe 8</w:t>
      </w:r>
      <w:r w:rsidR="003D48F7">
        <w:t xml:space="preserve"> </w:t>
      </w:r>
      <w:r w:rsidR="003D48F7" w:rsidRPr="003D48F7">
        <w:t>(voir Nota au 2.6.2.2.4.1).</w:t>
      </w:r>
    </w:p>
    <w:p w14:paraId="77CF0DE4" w14:textId="77777777" w:rsidR="00A0212E" w:rsidRDefault="00A0212E">
      <w:pPr>
        <w:suppressAutoHyphens w:val="0"/>
        <w:spacing w:line="240" w:lineRule="auto"/>
      </w:pPr>
      <w:r>
        <w:br w:type="page"/>
      </w:r>
    </w:p>
    <w:p w14:paraId="606DBA48" w14:textId="154AF614" w:rsidR="00D15364" w:rsidRDefault="00D15364" w:rsidP="00FE08D7">
      <w:pPr>
        <w:pStyle w:val="SingleTxtG"/>
      </w:pPr>
      <w:r w:rsidRPr="00570429">
        <w:lastRenderedPageBreak/>
        <w:t>2.8.2.</w:t>
      </w:r>
      <w:r w:rsidRPr="00570429">
        <w:rPr>
          <w:strike/>
        </w:rPr>
        <w:t>4</w:t>
      </w:r>
      <w:r w:rsidRPr="00570429">
        <w:rPr>
          <w:u w:val="single"/>
        </w:rPr>
        <w:t>5</w:t>
      </w:r>
      <w:r w:rsidRPr="00570429">
        <w:t xml:space="preserve"> </w:t>
      </w:r>
      <w:r w:rsidRPr="00570429">
        <w:tab/>
      </w:r>
      <w:r w:rsidR="003D48F7" w:rsidRPr="003D48F7">
        <w:t>Pour classer une matière dans un groupe d'emballage conformément au</w:t>
      </w:r>
      <w:r w:rsidRPr="00570429">
        <w:t> 2.8.2.</w:t>
      </w:r>
      <w:r w:rsidRPr="00570429">
        <w:rPr>
          <w:strike/>
        </w:rPr>
        <w:t>2</w:t>
      </w:r>
      <w:r w:rsidRPr="00570429">
        <w:rPr>
          <w:u w:val="single"/>
        </w:rPr>
        <w:t>3</w:t>
      </w:r>
      <w:r w:rsidRPr="00570429">
        <w:t xml:space="preserve">, </w:t>
      </w:r>
      <w:r w:rsidR="003D48F7" w:rsidRPr="003D48F7">
        <w:t>il y a lieu de tenir</w:t>
      </w:r>
      <w:r w:rsidR="003D48F7">
        <w:t xml:space="preserve"> </w:t>
      </w:r>
      <w:r w:rsidR="003D48F7" w:rsidRPr="003D48F7">
        <w:t>compte de l'expérience acquise à l'occasion d'expositions accidentelles. En l'absence d'une telle expérience, le</w:t>
      </w:r>
      <w:r w:rsidR="003D48F7">
        <w:t xml:space="preserve"> </w:t>
      </w:r>
      <w:r w:rsidR="003D48F7" w:rsidRPr="003D48F7">
        <w:t>classement doit se faire sur la base des résultats de l'expérimentation conformément à la Ligne directrice</w:t>
      </w:r>
      <w:r w:rsidRPr="00570429">
        <w:t> 404</w:t>
      </w:r>
      <w:r w:rsidRPr="00570429">
        <w:rPr>
          <w:rStyle w:val="FootnoteReference"/>
          <w:sz w:val="20"/>
        </w:rPr>
        <w:footnoteReference w:id="3"/>
      </w:r>
      <w:r w:rsidRPr="00570429">
        <w:t xml:space="preserve"> ou 435</w:t>
      </w:r>
      <w:r w:rsidRPr="00570429">
        <w:rPr>
          <w:rStyle w:val="FootnoteReference"/>
          <w:sz w:val="20"/>
        </w:rPr>
        <w:footnoteReference w:id="4"/>
      </w:r>
      <w:r w:rsidR="003D48F7">
        <w:t xml:space="preserve"> de l’OCDE</w:t>
      </w:r>
      <w:r w:rsidRPr="00570429">
        <w:t xml:space="preserve">. </w:t>
      </w:r>
      <w:r w:rsidR="003D48F7" w:rsidRPr="003D48F7">
        <w:t>Aux fins du présent Règlement, une matière définie comme n’étant pas corrosive</w:t>
      </w:r>
      <w:r w:rsidR="003D48F7">
        <w:t xml:space="preserve"> </w:t>
      </w:r>
      <w:r w:rsidR="003D48F7" w:rsidRPr="003D48F7">
        <w:t xml:space="preserve">conformément à la Ligne directrice </w:t>
      </w:r>
      <w:r w:rsidRPr="00570429">
        <w:t>430</w:t>
      </w:r>
      <w:r w:rsidRPr="00570429">
        <w:rPr>
          <w:rStyle w:val="FootnoteReference"/>
          <w:sz w:val="20"/>
        </w:rPr>
        <w:footnoteReference w:id="5"/>
      </w:r>
      <w:r w:rsidRPr="00570429">
        <w:t xml:space="preserve"> ou 431</w:t>
      </w:r>
      <w:r w:rsidRPr="00570429">
        <w:rPr>
          <w:rStyle w:val="FootnoteReference"/>
          <w:sz w:val="20"/>
        </w:rPr>
        <w:footnoteReference w:id="6"/>
      </w:r>
      <w:r w:rsidRPr="00570429">
        <w:t xml:space="preserve"> </w:t>
      </w:r>
      <w:r w:rsidR="003D48F7" w:rsidRPr="003D48F7">
        <w:t>de l’OCDE est considérée comme n’étant pas corrosive pour la</w:t>
      </w:r>
      <w:r w:rsidR="003D48F7">
        <w:t xml:space="preserve"> </w:t>
      </w:r>
      <w:r w:rsidR="003D48F7" w:rsidRPr="003D48F7">
        <w:t>peau sans qu’il soit nécessaire de réaliser d’autres épreuves.</w:t>
      </w:r>
    </w:p>
    <w:p w14:paraId="6C904341" w14:textId="525EB8CA" w:rsidR="00D15364" w:rsidRPr="00F15000" w:rsidRDefault="00D15364" w:rsidP="00F15000">
      <w:pPr>
        <w:pStyle w:val="SingleTxtG"/>
        <w:rPr>
          <w:strike/>
          <w:lang w:val="fr-CA"/>
        </w:rPr>
      </w:pPr>
      <w:r w:rsidRPr="00F15000">
        <w:rPr>
          <w:strike/>
          <w:lang w:val="fr-CA"/>
        </w:rPr>
        <w:t>2.8.2.5</w:t>
      </w:r>
      <w:r w:rsidRPr="00F15000">
        <w:rPr>
          <w:strike/>
          <w:lang w:val="fr-CA"/>
        </w:rPr>
        <w:tab/>
      </w:r>
      <w:r w:rsidR="00F15000" w:rsidRPr="00F15000">
        <w:rPr>
          <w:strike/>
          <w:lang w:val="fr-CA"/>
        </w:rPr>
        <w:tab/>
      </w:r>
      <w:r w:rsidR="003D48F7" w:rsidRPr="00F15000">
        <w:rPr>
          <w:strike/>
          <w:lang w:val="fr-CA"/>
        </w:rPr>
        <w:t>Les matières sont classées dans les groupes d'emballage d'après les critères suivants:</w:t>
      </w:r>
    </w:p>
    <w:p w14:paraId="0DDC6BD0" w14:textId="3165AD98" w:rsidR="00D15364" w:rsidRPr="00F15000" w:rsidRDefault="00D15364" w:rsidP="00F15000">
      <w:pPr>
        <w:pStyle w:val="SingleTxtG"/>
        <w:ind w:left="2268"/>
        <w:rPr>
          <w:strike/>
          <w:lang w:val="fr-CA"/>
        </w:rPr>
      </w:pPr>
      <w:r w:rsidRPr="00F15000">
        <w:rPr>
          <w:strike/>
          <w:lang w:val="fr-CA"/>
        </w:rPr>
        <w:t>(a)</w:t>
      </w:r>
      <w:r w:rsidRPr="00F15000">
        <w:rPr>
          <w:strike/>
          <w:lang w:val="fr-CA"/>
        </w:rPr>
        <w:tab/>
      </w:r>
      <w:r w:rsidR="003D48F7" w:rsidRPr="00F15000">
        <w:rPr>
          <w:i/>
          <w:strike/>
          <w:lang w:val="fr-CA"/>
        </w:rPr>
        <w:t xml:space="preserve">dans le groupe d'emballage I </w:t>
      </w:r>
      <w:r w:rsidR="003D48F7" w:rsidRPr="00F15000">
        <w:rPr>
          <w:strike/>
          <w:lang w:val="fr-CA"/>
        </w:rPr>
        <w:t>sont classées les matières qui provoquent une destruction du</w:t>
      </w:r>
      <w:r w:rsidR="00F15000">
        <w:rPr>
          <w:strike/>
          <w:lang w:val="fr-CA"/>
        </w:rPr>
        <w:t xml:space="preserve"> </w:t>
      </w:r>
      <w:r w:rsidR="003D48F7" w:rsidRPr="00F15000">
        <w:rPr>
          <w:strike/>
          <w:lang w:val="fr-CA"/>
        </w:rPr>
        <w:t>tissu cutané intact sur toute son épaisseur, sur une période d'observation de 60 minutes</w:t>
      </w:r>
      <w:r w:rsidR="00F15000">
        <w:rPr>
          <w:strike/>
          <w:lang w:val="fr-CA"/>
        </w:rPr>
        <w:t xml:space="preserve"> </w:t>
      </w:r>
      <w:r w:rsidR="003D48F7" w:rsidRPr="00F15000">
        <w:rPr>
          <w:strike/>
          <w:lang w:val="fr-CA"/>
        </w:rPr>
        <w:t>commençant immédiatement après la durée d'application de 3 minutes ou moins;</w:t>
      </w:r>
    </w:p>
    <w:p w14:paraId="72A82EF4" w14:textId="0153ED2B" w:rsidR="00D15364" w:rsidRPr="00F15000" w:rsidRDefault="00D15364" w:rsidP="00F15000">
      <w:pPr>
        <w:pStyle w:val="SingleTxtG"/>
        <w:ind w:left="2268"/>
        <w:rPr>
          <w:strike/>
          <w:lang w:val="fr-CA"/>
        </w:rPr>
      </w:pPr>
      <w:r w:rsidRPr="00F15000">
        <w:rPr>
          <w:strike/>
          <w:lang w:val="fr-CA"/>
        </w:rPr>
        <w:t>(b)</w:t>
      </w:r>
      <w:r w:rsidRPr="00F15000">
        <w:rPr>
          <w:strike/>
          <w:lang w:val="fr-CA"/>
        </w:rPr>
        <w:tab/>
      </w:r>
      <w:r w:rsidR="003D48F7" w:rsidRPr="00F15000">
        <w:rPr>
          <w:i/>
          <w:strike/>
          <w:lang w:val="fr-CA"/>
        </w:rPr>
        <w:t xml:space="preserve">dans le groupe d'emballage II </w:t>
      </w:r>
      <w:r w:rsidR="003D48F7" w:rsidRPr="00F15000">
        <w:rPr>
          <w:strike/>
          <w:lang w:val="fr-CA"/>
        </w:rPr>
        <w:t>sont classées les matières qui provoquent une destruction</w:t>
      </w:r>
      <w:r w:rsidR="00F15000">
        <w:rPr>
          <w:strike/>
          <w:lang w:val="fr-CA"/>
        </w:rPr>
        <w:t xml:space="preserve"> </w:t>
      </w:r>
      <w:r w:rsidR="003D48F7" w:rsidRPr="00F15000">
        <w:rPr>
          <w:strike/>
          <w:lang w:val="fr-CA"/>
        </w:rPr>
        <w:t>du tissu cutané intact sur toute son épaisseur, sur une période d'observation de 14 jours</w:t>
      </w:r>
      <w:r w:rsidR="00F15000">
        <w:rPr>
          <w:strike/>
          <w:lang w:val="fr-CA"/>
        </w:rPr>
        <w:t xml:space="preserve"> </w:t>
      </w:r>
      <w:r w:rsidR="003D48F7" w:rsidRPr="00F15000">
        <w:rPr>
          <w:strike/>
          <w:lang w:val="fr-CA"/>
        </w:rPr>
        <w:t>commençant immédiatement après la durée d'application de 3 minutes mais de moins</w:t>
      </w:r>
      <w:r w:rsidR="00F15000">
        <w:rPr>
          <w:strike/>
          <w:lang w:val="fr-CA"/>
        </w:rPr>
        <w:t xml:space="preserve"> </w:t>
      </w:r>
      <w:r w:rsidR="003D48F7" w:rsidRPr="00F15000">
        <w:rPr>
          <w:strike/>
          <w:lang w:val="fr-CA"/>
        </w:rPr>
        <w:t>de 60 minutes;</w:t>
      </w:r>
    </w:p>
    <w:p w14:paraId="56888122" w14:textId="32C3A621" w:rsidR="00D15364" w:rsidRPr="00F15000" w:rsidRDefault="00D15364" w:rsidP="00F15000">
      <w:pPr>
        <w:pStyle w:val="SingleTxtG"/>
        <w:ind w:left="2268"/>
        <w:rPr>
          <w:strike/>
          <w:lang w:val="fr-CA"/>
        </w:rPr>
      </w:pPr>
      <w:r w:rsidRPr="00F15000">
        <w:rPr>
          <w:strike/>
          <w:lang w:val="fr-CA"/>
        </w:rPr>
        <w:t xml:space="preserve">(c) </w:t>
      </w:r>
      <w:r w:rsidRPr="00F15000">
        <w:rPr>
          <w:strike/>
          <w:lang w:val="fr-CA"/>
        </w:rPr>
        <w:tab/>
      </w:r>
      <w:r w:rsidR="003D48F7" w:rsidRPr="00F15000">
        <w:rPr>
          <w:i/>
          <w:strike/>
          <w:lang w:val="fr-CA"/>
        </w:rPr>
        <w:t xml:space="preserve">dans le groupe d'emballage III </w:t>
      </w:r>
      <w:r w:rsidR="003D48F7" w:rsidRPr="00F15000">
        <w:rPr>
          <w:strike/>
          <w:lang w:val="fr-CA"/>
        </w:rPr>
        <w:t>sont classées</w:t>
      </w:r>
      <w:r w:rsidR="003D48F7" w:rsidRPr="00F15000">
        <w:rPr>
          <w:i/>
          <w:strike/>
          <w:lang w:val="fr-CA"/>
        </w:rPr>
        <w:t>:</w:t>
      </w:r>
    </w:p>
    <w:p w14:paraId="7D36379D" w14:textId="137264C6" w:rsidR="00D15364" w:rsidRPr="00386021" w:rsidRDefault="001B5232" w:rsidP="00386021">
      <w:pPr>
        <w:pStyle w:val="SingleTxtG"/>
        <w:ind w:left="2835"/>
        <w:rPr>
          <w:strike/>
          <w:lang w:val="en-CA"/>
        </w:rPr>
      </w:pPr>
      <w:r w:rsidRPr="001B5232">
        <w:rPr>
          <w:strike/>
          <w:lang w:val="en-CA"/>
        </w:rPr>
        <w:t>(</w:t>
      </w:r>
      <w:proofErr w:type="spellStart"/>
      <w:r w:rsidRPr="001B5232">
        <w:rPr>
          <w:strike/>
          <w:lang w:val="en-CA"/>
        </w:rPr>
        <w:t>i</w:t>
      </w:r>
      <w:proofErr w:type="spellEnd"/>
      <w:r w:rsidRPr="001B5232">
        <w:rPr>
          <w:strike/>
          <w:lang w:val="en-CA"/>
        </w:rPr>
        <w:t>)</w:t>
      </w:r>
      <w:r w:rsidRPr="001B5232">
        <w:rPr>
          <w:strike/>
          <w:lang w:val="en-CA"/>
        </w:rPr>
        <w:tab/>
      </w:r>
      <w:r w:rsidR="003D48F7" w:rsidRPr="001B5232">
        <w:rPr>
          <w:strike/>
          <w:lang w:val="en-CA"/>
        </w:rPr>
        <w:t xml:space="preserve">les </w:t>
      </w:r>
      <w:proofErr w:type="spellStart"/>
      <w:r w:rsidR="003D48F7" w:rsidRPr="001B5232">
        <w:rPr>
          <w:strike/>
          <w:lang w:val="en-CA"/>
        </w:rPr>
        <w:t>matières</w:t>
      </w:r>
      <w:proofErr w:type="spellEnd"/>
      <w:r w:rsidR="003D48F7" w:rsidRPr="001B5232">
        <w:rPr>
          <w:strike/>
          <w:lang w:val="en-CA"/>
        </w:rPr>
        <w:t xml:space="preserve"> qui provoquent une destruction du tissu cutané intact sur toute son épaisseur, sur une période d'observation de 14 jours commençant immédiatement après une durée d'application de plus de 60 minutes mais </w:t>
      </w:r>
      <w:proofErr w:type="spellStart"/>
      <w:r w:rsidR="003D48F7" w:rsidRPr="001B5232">
        <w:rPr>
          <w:strike/>
          <w:lang w:val="en-CA"/>
        </w:rPr>
        <w:t>moins</w:t>
      </w:r>
      <w:proofErr w:type="spellEnd"/>
      <w:r w:rsidR="003D48F7" w:rsidRPr="001B5232">
        <w:rPr>
          <w:strike/>
          <w:lang w:val="en-CA"/>
        </w:rPr>
        <w:t xml:space="preserve"> de 4 </w:t>
      </w:r>
      <w:proofErr w:type="spellStart"/>
      <w:r w:rsidR="003D48F7" w:rsidRPr="001B5232">
        <w:rPr>
          <w:strike/>
          <w:lang w:val="en-CA"/>
        </w:rPr>
        <w:t>heures</w:t>
      </w:r>
      <w:proofErr w:type="spellEnd"/>
      <w:r w:rsidR="003D48F7" w:rsidRPr="001B5232">
        <w:rPr>
          <w:strike/>
          <w:lang w:val="en-CA"/>
        </w:rPr>
        <w:t xml:space="preserve">; </w:t>
      </w:r>
      <w:proofErr w:type="spellStart"/>
      <w:r w:rsidR="003D48F7" w:rsidRPr="001B5232">
        <w:rPr>
          <w:strike/>
          <w:lang w:val="en-CA"/>
        </w:rPr>
        <w:t>ou</w:t>
      </w:r>
      <w:proofErr w:type="spellEnd"/>
    </w:p>
    <w:p w14:paraId="40130C9E" w14:textId="00A3E4D9" w:rsidR="00D15364" w:rsidRPr="001B5232" w:rsidRDefault="001B5232" w:rsidP="001B5232">
      <w:pPr>
        <w:pStyle w:val="SingleTxtG"/>
        <w:ind w:left="2835"/>
        <w:rPr>
          <w:strike/>
          <w:lang w:val="en-CA"/>
        </w:rPr>
      </w:pPr>
      <w:r w:rsidRPr="001B5232">
        <w:rPr>
          <w:strike/>
          <w:lang w:val="en-CA"/>
        </w:rPr>
        <w:t>(ii)</w:t>
      </w:r>
      <w:r w:rsidRPr="001B5232">
        <w:rPr>
          <w:strike/>
          <w:lang w:val="en-CA"/>
        </w:rPr>
        <w:tab/>
      </w:r>
      <w:r w:rsidR="003D48F7" w:rsidRPr="001B5232">
        <w:rPr>
          <w:strike/>
          <w:lang w:val="en-CA"/>
        </w:rPr>
        <w:t xml:space="preserve">les </w:t>
      </w:r>
      <w:proofErr w:type="spellStart"/>
      <w:r w:rsidR="003D48F7" w:rsidRPr="001B5232">
        <w:rPr>
          <w:strike/>
          <w:lang w:val="en-CA"/>
        </w:rPr>
        <w:t>matières</w:t>
      </w:r>
      <w:proofErr w:type="spellEnd"/>
      <w:r w:rsidR="003D48F7" w:rsidRPr="001B5232">
        <w:rPr>
          <w:strike/>
          <w:lang w:val="en-CA"/>
        </w:rPr>
        <w:t xml:space="preserve"> </w:t>
      </w:r>
      <w:proofErr w:type="spellStart"/>
      <w:r w:rsidR="003D48F7" w:rsidRPr="001B5232">
        <w:rPr>
          <w:strike/>
          <w:lang w:val="en-CA"/>
        </w:rPr>
        <w:t>dont</w:t>
      </w:r>
      <w:proofErr w:type="spellEnd"/>
      <w:r w:rsidR="003D48F7" w:rsidRPr="001B5232">
        <w:rPr>
          <w:strike/>
          <w:lang w:val="en-CA"/>
        </w:rPr>
        <w:t xml:space="preserve"> on </w:t>
      </w:r>
      <w:proofErr w:type="spellStart"/>
      <w:r w:rsidR="003D48F7" w:rsidRPr="001B5232">
        <w:rPr>
          <w:strike/>
          <w:lang w:val="en-CA"/>
        </w:rPr>
        <w:t>juge</w:t>
      </w:r>
      <w:proofErr w:type="spellEnd"/>
      <w:r w:rsidR="003D48F7" w:rsidRPr="001B5232">
        <w:rPr>
          <w:strike/>
          <w:lang w:val="en-CA"/>
        </w:rPr>
        <w:t xml:space="preserve"> qu'elles ne provoquent pas une destruction du tissu cutané intact sur toute son épaisseur, mais dont la vitesse de corrosion sur des surfaces soit en acier soit en aluminium dépasse 6,25 mm par an à la température d'épreuve de 55 °C, lorsque les épreuves sont réalisées sur ces deux matériaux. Pour les épreuves sur l'acier, on doit utiliser les types S235JR+CR (1.0037, respectivement St 37-2), S275J2G3+CR (1.0144, respectivement St 44-3), ISO 3574, "Unified Numbering System" (UNS) G10200 ou SAE 1020, </w:t>
      </w:r>
      <w:proofErr w:type="gramStart"/>
      <w:r w:rsidR="003D48F7" w:rsidRPr="001B5232">
        <w:rPr>
          <w:strike/>
          <w:lang w:val="en-CA"/>
        </w:rPr>
        <w:t>et</w:t>
      </w:r>
      <w:proofErr w:type="gramEnd"/>
      <w:r w:rsidR="003D48F7" w:rsidRPr="001B5232">
        <w:rPr>
          <w:strike/>
          <w:lang w:val="en-CA"/>
        </w:rPr>
        <w:t xml:space="preserve"> pour les épreuves sur l'aluminium les types non revêtus 7075-T6 ou AZ5GU-T6. Une épreuve acceptable est décrite </w:t>
      </w:r>
      <w:proofErr w:type="spellStart"/>
      <w:r w:rsidR="003D48F7" w:rsidRPr="001B5232">
        <w:rPr>
          <w:strike/>
          <w:lang w:val="en-CA"/>
        </w:rPr>
        <w:t>dans</w:t>
      </w:r>
      <w:proofErr w:type="spellEnd"/>
      <w:r w:rsidR="003D48F7" w:rsidRPr="001B5232">
        <w:rPr>
          <w:strike/>
          <w:lang w:val="en-CA"/>
        </w:rPr>
        <w:t xml:space="preserve"> le Manuel </w:t>
      </w:r>
      <w:proofErr w:type="spellStart"/>
      <w:r w:rsidR="003D48F7" w:rsidRPr="001B5232">
        <w:rPr>
          <w:strike/>
          <w:lang w:val="en-CA"/>
        </w:rPr>
        <w:t>d'épreuves</w:t>
      </w:r>
      <w:proofErr w:type="spellEnd"/>
      <w:r w:rsidR="003D48F7" w:rsidRPr="001B5232">
        <w:rPr>
          <w:strike/>
          <w:lang w:val="en-CA"/>
        </w:rPr>
        <w:t xml:space="preserve"> et de </w:t>
      </w:r>
      <w:proofErr w:type="spellStart"/>
      <w:proofErr w:type="gramStart"/>
      <w:r w:rsidR="003D48F7" w:rsidRPr="001B5232">
        <w:rPr>
          <w:strike/>
          <w:lang w:val="en-CA"/>
        </w:rPr>
        <w:t>critères</w:t>
      </w:r>
      <w:proofErr w:type="spellEnd"/>
      <w:r w:rsidR="003D48F7" w:rsidRPr="001B5232">
        <w:rPr>
          <w:strike/>
          <w:lang w:val="en-CA"/>
        </w:rPr>
        <w:t xml:space="preserve"> ,</w:t>
      </w:r>
      <w:proofErr w:type="gramEnd"/>
      <w:r w:rsidR="003D48F7" w:rsidRPr="001B5232">
        <w:rPr>
          <w:strike/>
          <w:lang w:val="en-CA"/>
        </w:rPr>
        <w:t xml:space="preserve"> </w:t>
      </w:r>
      <w:proofErr w:type="spellStart"/>
      <w:r w:rsidR="003D48F7" w:rsidRPr="001B5232">
        <w:rPr>
          <w:strike/>
          <w:lang w:val="en-CA"/>
        </w:rPr>
        <w:t>Partie</w:t>
      </w:r>
      <w:proofErr w:type="spellEnd"/>
      <w:r w:rsidR="003D48F7" w:rsidRPr="001B5232">
        <w:rPr>
          <w:strike/>
          <w:lang w:val="en-CA"/>
        </w:rPr>
        <w:t xml:space="preserve"> III, section 37.</w:t>
      </w:r>
    </w:p>
    <w:p w14:paraId="364F4BAB" w14:textId="4E703202" w:rsidR="00D15364" w:rsidRPr="003D48F7" w:rsidRDefault="003D48F7" w:rsidP="001B5232">
      <w:pPr>
        <w:pStyle w:val="SingleTxtG"/>
        <w:ind w:left="2835"/>
        <w:rPr>
          <w:i/>
          <w:strike/>
          <w:lang w:val="en-CA"/>
        </w:rPr>
      </w:pPr>
      <w:r w:rsidRPr="001B5232">
        <w:rPr>
          <w:b/>
          <w:i/>
          <w:strike/>
          <w:lang w:val="fr-CA"/>
        </w:rPr>
        <w:t xml:space="preserve">NOTA: </w:t>
      </w:r>
      <w:r w:rsidRPr="001B5232">
        <w:rPr>
          <w:i/>
          <w:strike/>
          <w:lang w:val="fr-CA"/>
        </w:rPr>
        <w:t>Lorsqu’une première épreuve sur l’acier ou l’aluminium indique que la matière testée est corrosive, l’épreuve suivante sur l’autre métal n’est pas</w:t>
      </w:r>
      <w:r w:rsidR="001B5232">
        <w:rPr>
          <w:i/>
          <w:strike/>
          <w:lang w:val="fr-CA"/>
        </w:rPr>
        <w:t xml:space="preserve"> </w:t>
      </w:r>
      <w:proofErr w:type="spellStart"/>
      <w:r w:rsidRPr="003D48F7">
        <w:rPr>
          <w:i/>
          <w:strike/>
          <w:lang w:val="en-CA"/>
        </w:rPr>
        <w:t>obligatoire</w:t>
      </w:r>
      <w:proofErr w:type="spellEnd"/>
      <w:r w:rsidRPr="003D48F7">
        <w:rPr>
          <w:i/>
          <w:strike/>
          <w:lang w:val="en-CA"/>
        </w:rPr>
        <w:t>.</w:t>
      </w:r>
    </w:p>
    <w:p w14:paraId="79ABB42D" w14:textId="77777777" w:rsidR="003D48F7" w:rsidRPr="00570429" w:rsidRDefault="003D48F7" w:rsidP="003D48F7">
      <w:pPr>
        <w:pStyle w:val="Default"/>
        <w:ind w:left="3240"/>
        <w:rPr>
          <w:b/>
          <w:sz w:val="20"/>
          <w:szCs w:val="20"/>
          <w:lang w:val="en-CA"/>
        </w:rPr>
      </w:pPr>
    </w:p>
    <w:p w14:paraId="1B16B9C9" w14:textId="4C012CAA" w:rsidR="00D15364" w:rsidRPr="001B5232" w:rsidRDefault="003D48F7" w:rsidP="001B5232">
      <w:pPr>
        <w:pStyle w:val="H23G"/>
        <w:jc w:val="center"/>
        <w:rPr>
          <w:strike/>
          <w:lang w:val="fr-CA"/>
        </w:rPr>
      </w:pPr>
      <w:r w:rsidRPr="001B5232">
        <w:rPr>
          <w:strike/>
          <w:lang w:val="fr-CA"/>
        </w:rPr>
        <w:lastRenderedPageBreak/>
        <w:t>Tableau 2.8.2.5: Tableau résumant les critères du 2.8.2.5</w:t>
      </w:r>
    </w:p>
    <w:tbl>
      <w:tblPr>
        <w:tblStyle w:val="TableGrid"/>
        <w:tblW w:w="0" w:type="auto"/>
        <w:tblInd w:w="1134" w:type="dxa"/>
        <w:tblLook w:val="04A0" w:firstRow="1" w:lastRow="0" w:firstColumn="1" w:lastColumn="0" w:noHBand="0" w:noVBand="1"/>
      </w:tblPr>
      <w:tblGrid>
        <w:gridCol w:w="1055"/>
        <w:gridCol w:w="1559"/>
        <w:gridCol w:w="1276"/>
        <w:gridCol w:w="4433"/>
      </w:tblGrid>
      <w:tr w:rsidR="00D15364" w:rsidRPr="00781B4E" w14:paraId="6AD59896" w14:textId="77777777" w:rsidTr="000E2EAC">
        <w:tc>
          <w:tcPr>
            <w:tcW w:w="1055" w:type="dxa"/>
          </w:tcPr>
          <w:p w14:paraId="7343B1FB" w14:textId="77777777" w:rsidR="003D48F7" w:rsidRPr="003D48F7" w:rsidRDefault="003D48F7" w:rsidP="003D48F7">
            <w:pPr>
              <w:jc w:val="center"/>
              <w:rPr>
                <w:b/>
                <w:strike/>
                <w:color w:val="000000"/>
              </w:rPr>
            </w:pPr>
            <w:r w:rsidRPr="003D48F7">
              <w:rPr>
                <w:b/>
                <w:strike/>
                <w:color w:val="000000"/>
              </w:rPr>
              <w:t>Groupe</w:t>
            </w:r>
          </w:p>
          <w:p w14:paraId="51E2259E" w14:textId="070FCD3E" w:rsidR="00D15364" w:rsidRPr="00781B4E" w:rsidRDefault="003D48F7" w:rsidP="003D48F7">
            <w:pPr>
              <w:jc w:val="center"/>
              <w:rPr>
                <w:b/>
                <w:strike/>
                <w:color w:val="000000"/>
              </w:rPr>
            </w:pPr>
            <w:r w:rsidRPr="003D48F7">
              <w:rPr>
                <w:b/>
                <w:strike/>
                <w:color w:val="000000"/>
              </w:rPr>
              <w:t>d’emballage</w:t>
            </w:r>
          </w:p>
        </w:tc>
        <w:tc>
          <w:tcPr>
            <w:tcW w:w="1559" w:type="dxa"/>
          </w:tcPr>
          <w:p w14:paraId="726629E4" w14:textId="77777777" w:rsidR="003D48F7" w:rsidRPr="003D48F7" w:rsidRDefault="003D48F7" w:rsidP="003D48F7">
            <w:pPr>
              <w:jc w:val="center"/>
              <w:rPr>
                <w:b/>
                <w:strike/>
                <w:color w:val="000000"/>
              </w:rPr>
            </w:pPr>
            <w:r w:rsidRPr="003D48F7">
              <w:rPr>
                <w:b/>
                <w:strike/>
                <w:color w:val="000000"/>
              </w:rPr>
              <w:t>Durée</w:t>
            </w:r>
          </w:p>
          <w:p w14:paraId="6BC9F0D1" w14:textId="54620E75" w:rsidR="00D15364" w:rsidRPr="00781B4E" w:rsidRDefault="003D48F7" w:rsidP="003D48F7">
            <w:pPr>
              <w:jc w:val="center"/>
              <w:rPr>
                <w:b/>
                <w:strike/>
                <w:color w:val="000000"/>
              </w:rPr>
            </w:pPr>
            <w:r w:rsidRPr="003D48F7">
              <w:rPr>
                <w:b/>
                <w:strike/>
                <w:color w:val="000000"/>
              </w:rPr>
              <w:t>d’application</w:t>
            </w:r>
          </w:p>
        </w:tc>
        <w:tc>
          <w:tcPr>
            <w:tcW w:w="1276" w:type="dxa"/>
          </w:tcPr>
          <w:p w14:paraId="5B54C1F0" w14:textId="77777777" w:rsidR="003D48F7" w:rsidRPr="003D48F7" w:rsidRDefault="003D48F7" w:rsidP="003D48F7">
            <w:pPr>
              <w:jc w:val="center"/>
              <w:rPr>
                <w:b/>
                <w:strike/>
                <w:color w:val="000000"/>
              </w:rPr>
            </w:pPr>
            <w:r w:rsidRPr="003D48F7">
              <w:rPr>
                <w:b/>
                <w:strike/>
                <w:color w:val="000000"/>
              </w:rPr>
              <w:t>Période</w:t>
            </w:r>
          </w:p>
          <w:p w14:paraId="3D287AA3" w14:textId="5DA102DB" w:rsidR="00D15364" w:rsidRPr="00781B4E" w:rsidRDefault="003D48F7" w:rsidP="003D48F7">
            <w:pPr>
              <w:jc w:val="center"/>
              <w:rPr>
                <w:b/>
                <w:strike/>
                <w:color w:val="000000"/>
              </w:rPr>
            </w:pPr>
            <w:r w:rsidRPr="003D48F7">
              <w:rPr>
                <w:b/>
                <w:strike/>
                <w:color w:val="000000"/>
              </w:rPr>
              <w:t>d’observation</w:t>
            </w:r>
          </w:p>
        </w:tc>
        <w:tc>
          <w:tcPr>
            <w:tcW w:w="4433" w:type="dxa"/>
          </w:tcPr>
          <w:p w14:paraId="54F58AAB" w14:textId="76A64553" w:rsidR="00D15364" w:rsidRPr="00781B4E" w:rsidRDefault="003D48F7" w:rsidP="00CA5971">
            <w:pPr>
              <w:jc w:val="center"/>
              <w:rPr>
                <w:b/>
                <w:strike/>
                <w:color w:val="000000"/>
              </w:rPr>
            </w:pPr>
            <w:r w:rsidRPr="003D48F7">
              <w:rPr>
                <w:b/>
                <w:strike/>
                <w:color w:val="000000"/>
              </w:rPr>
              <w:t>Effet</w:t>
            </w:r>
          </w:p>
        </w:tc>
      </w:tr>
      <w:tr w:rsidR="00D15364" w:rsidRPr="003D48F7" w14:paraId="642C8D28" w14:textId="77777777" w:rsidTr="000E2EAC">
        <w:tc>
          <w:tcPr>
            <w:tcW w:w="1055" w:type="dxa"/>
            <w:vAlign w:val="center"/>
          </w:tcPr>
          <w:p w14:paraId="1F4BA3DC" w14:textId="77777777" w:rsidR="00D15364" w:rsidRPr="00781B4E" w:rsidRDefault="00D15364" w:rsidP="00CA5971">
            <w:pPr>
              <w:jc w:val="center"/>
              <w:rPr>
                <w:strike/>
                <w:color w:val="000000"/>
              </w:rPr>
            </w:pPr>
            <w:r>
              <w:rPr>
                <w:strike/>
                <w:color w:val="000000"/>
              </w:rPr>
              <w:t>I</w:t>
            </w:r>
          </w:p>
        </w:tc>
        <w:tc>
          <w:tcPr>
            <w:tcW w:w="1559" w:type="dxa"/>
            <w:vAlign w:val="center"/>
          </w:tcPr>
          <w:p w14:paraId="33DA0205" w14:textId="77777777" w:rsidR="00D15364" w:rsidRPr="00781B4E" w:rsidRDefault="00D15364" w:rsidP="00CA5971">
            <w:pPr>
              <w:jc w:val="center"/>
              <w:rPr>
                <w:strike/>
                <w:color w:val="000000"/>
              </w:rPr>
            </w:pPr>
            <w:r>
              <w:rPr>
                <w:strike/>
                <w:color w:val="000000"/>
              </w:rPr>
              <w:t>≤ 3 min</w:t>
            </w:r>
          </w:p>
        </w:tc>
        <w:tc>
          <w:tcPr>
            <w:tcW w:w="1276" w:type="dxa"/>
            <w:vAlign w:val="center"/>
          </w:tcPr>
          <w:p w14:paraId="4D8C3E27" w14:textId="77777777" w:rsidR="00D15364" w:rsidRPr="00781B4E" w:rsidRDefault="00D15364" w:rsidP="00CA5971">
            <w:pPr>
              <w:jc w:val="center"/>
              <w:rPr>
                <w:strike/>
                <w:color w:val="000000"/>
              </w:rPr>
            </w:pPr>
            <w:r>
              <w:rPr>
                <w:strike/>
                <w:color w:val="000000"/>
              </w:rPr>
              <w:t>≤ 60 min</w:t>
            </w:r>
          </w:p>
        </w:tc>
        <w:tc>
          <w:tcPr>
            <w:tcW w:w="4433" w:type="dxa"/>
          </w:tcPr>
          <w:p w14:paraId="18392AD3" w14:textId="640B15D4" w:rsidR="00D15364" w:rsidRPr="003D48F7" w:rsidRDefault="003D48F7" w:rsidP="00CA5971">
            <w:pPr>
              <w:rPr>
                <w:strike/>
                <w:color w:val="000000"/>
                <w:lang w:val="fr-CA"/>
              </w:rPr>
            </w:pPr>
            <w:r w:rsidRPr="003D48F7">
              <w:rPr>
                <w:strike/>
                <w:color w:val="000000"/>
                <w:lang w:val="fr-CA"/>
              </w:rPr>
              <w:t>Destruction du tissu cutané intact sur toute son épaisseur</w:t>
            </w:r>
          </w:p>
        </w:tc>
      </w:tr>
      <w:tr w:rsidR="000E2EAC" w:rsidRPr="000E2EAC" w14:paraId="19B113A0" w14:textId="77777777" w:rsidTr="000E2EAC">
        <w:tc>
          <w:tcPr>
            <w:tcW w:w="1055" w:type="dxa"/>
            <w:vAlign w:val="center"/>
          </w:tcPr>
          <w:p w14:paraId="1C3033B1" w14:textId="77777777" w:rsidR="000E2EAC" w:rsidRPr="00781B4E" w:rsidRDefault="000E2EAC" w:rsidP="000E2EAC">
            <w:pPr>
              <w:jc w:val="center"/>
              <w:rPr>
                <w:strike/>
                <w:color w:val="000000"/>
              </w:rPr>
            </w:pPr>
            <w:r>
              <w:rPr>
                <w:strike/>
                <w:color w:val="000000"/>
              </w:rPr>
              <w:t>II</w:t>
            </w:r>
          </w:p>
        </w:tc>
        <w:tc>
          <w:tcPr>
            <w:tcW w:w="1559" w:type="dxa"/>
            <w:vAlign w:val="center"/>
          </w:tcPr>
          <w:p w14:paraId="003BBFF5" w14:textId="77777777" w:rsidR="000E2EAC" w:rsidRPr="00781B4E" w:rsidRDefault="000E2EAC" w:rsidP="000E2EAC">
            <w:pPr>
              <w:jc w:val="center"/>
              <w:rPr>
                <w:strike/>
                <w:color w:val="000000"/>
              </w:rPr>
            </w:pPr>
            <w:r>
              <w:rPr>
                <w:strike/>
                <w:color w:val="000000"/>
              </w:rPr>
              <w:t>&gt; 3 min ≤ 1 h</w:t>
            </w:r>
          </w:p>
        </w:tc>
        <w:tc>
          <w:tcPr>
            <w:tcW w:w="1276" w:type="dxa"/>
            <w:vAlign w:val="center"/>
          </w:tcPr>
          <w:p w14:paraId="0F3FC564" w14:textId="77777777" w:rsidR="000E2EAC" w:rsidRPr="00781B4E" w:rsidRDefault="000E2EAC" w:rsidP="000E2EAC">
            <w:pPr>
              <w:jc w:val="center"/>
              <w:rPr>
                <w:strike/>
                <w:color w:val="000000"/>
              </w:rPr>
            </w:pPr>
            <w:r>
              <w:rPr>
                <w:strike/>
                <w:color w:val="000000"/>
              </w:rPr>
              <w:t>≤ 14 d</w:t>
            </w:r>
          </w:p>
        </w:tc>
        <w:tc>
          <w:tcPr>
            <w:tcW w:w="4433" w:type="dxa"/>
          </w:tcPr>
          <w:p w14:paraId="1C844754" w14:textId="78CAC0A2" w:rsidR="000E2EAC" w:rsidRPr="000E2EAC" w:rsidRDefault="000E2EAC" w:rsidP="000E2EAC">
            <w:pPr>
              <w:rPr>
                <w:strike/>
                <w:color w:val="000000"/>
                <w:lang w:val="fr-CA"/>
              </w:rPr>
            </w:pPr>
            <w:r w:rsidRPr="00920398">
              <w:rPr>
                <w:strike/>
                <w:color w:val="000000"/>
                <w:lang w:val="fr-CA"/>
              </w:rPr>
              <w:t>Destruction du tissu cutané intact sur toute son épaisseur</w:t>
            </w:r>
          </w:p>
        </w:tc>
      </w:tr>
      <w:tr w:rsidR="000E2EAC" w:rsidRPr="000E2EAC" w14:paraId="4CB8E874" w14:textId="77777777" w:rsidTr="000E2EAC">
        <w:tc>
          <w:tcPr>
            <w:tcW w:w="1055" w:type="dxa"/>
            <w:vAlign w:val="center"/>
          </w:tcPr>
          <w:p w14:paraId="394AB053" w14:textId="77777777" w:rsidR="000E2EAC" w:rsidRPr="00781B4E" w:rsidRDefault="000E2EAC" w:rsidP="000E2EAC">
            <w:pPr>
              <w:jc w:val="center"/>
              <w:rPr>
                <w:strike/>
                <w:color w:val="000000"/>
              </w:rPr>
            </w:pPr>
            <w:r>
              <w:rPr>
                <w:strike/>
                <w:color w:val="000000"/>
              </w:rPr>
              <w:t>III</w:t>
            </w:r>
          </w:p>
        </w:tc>
        <w:tc>
          <w:tcPr>
            <w:tcW w:w="1559" w:type="dxa"/>
            <w:vAlign w:val="center"/>
          </w:tcPr>
          <w:p w14:paraId="015B39C5" w14:textId="77777777" w:rsidR="000E2EAC" w:rsidRPr="00781B4E" w:rsidRDefault="000E2EAC" w:rsidP="000E2EAC">
            <w:pPr>
              <w:jc w:val="center"/>
              <w:rPr>
                <w:strike/>
                <w:color w:val="000000"/>
              </w:rPr>
            </w:pPr>
            <w:r>
              <w:rPr>
                <w:strike/>
                <w:color w:val="000000"/>
              </w:rPr>
              <w:t>&gt; 1 h ≤ 4 h</w:t>
            </w:r>
          </w:p>
        </w:tc>
        <w:tc>
          <w:tcPr>
            <w:tcW w:w="1276" w:type="dxa"/>
            <w:vAlign w:val="center"/>
          </w:tcPr>
          <w:p w14:paraId="23C3F756" w14:textId="77777777" w:rsidR="000E2EAC" w:rsidRPr="00781B4E" w:rsidRDefault="000E2EAC" w:rsidP="000E2EAC">
            <w:pPr>
              <w:jc w:val="center"/>
              <w:rPr>
                <w:strike/>
                <w:color w:val="000000"/>
              </w:rPr>
            </w:pPr>
            <w:r>
              <w:rPr>
                <w:strike/>
                <w:color w:val="000000"/>
              </w:rPr>
              <w:t>≤ 14 d</w:t>
            </w:r>
          </w:p>
        </w:tc>
        <w:tc>
          <w:tcPr>
            <w:tcW w:w="4433" w:type="dxa"/>
          </w:tcPr>
          <w:p w14:paraId="2FF45DA2" w14:textId="488D04F7" w:rsidR="000E2EAC" w:rsidRPr="000E2EAC" w:rsidRDefault="000E2EAC" w:rsidP="000E2EAC">
            <w:pPr>
              <w:rPr>
                <w:strike/>
                <w:color w:val="000000"/>
                <w:lang w:val="fr-CA"/>
              </w:rPr>
            </w:pPr>
            <w:r w:rsidRPr="00920398">
              <w:rPr>
                <w:strike/>
                <w:color w:val="000000"/>
                <w:lang w:val="fr-CA"/>
              </w:rPr>
              <w:t>Destruction du tissu cutané intact sur toute son épaisseur</w:t>
            </w:r>
          </w:p>
        </w:tc>
      </w:tr>
      <w:tr w:rsidR="00D15364" w:rsidRPr="000E2EAC" w14:paraId="0B3AD1D0" w14:textId="77777777" w:rsidTr="000E2EAC">
        <w:tc>
          <w:tcPr>
            <w:tcW w:w="1055" w:type="dxa"/>
          </w:tcPr>
          <w:p w14:paraId="6CBA8F1B" w14:textId="77777777" w:rsidR="00D15364" w:rsidRPr="00781B4E" w:rsidRDefault="00D15364" w:rsidP="00CA5971">
            <w:pPr>
              <w:jc w:val="center"/>
              <w:rPr>
                <w:strike/>
                <w:color w:val="000000"/>
              </w:rPr>
            </w:pPr>
            <w:r>
              <w:rPr>
                <w:strike/>
                <w:color w:val="000000"/>
              </w:rPr>
              <w:t>III</w:t>
            </w:r>
          </w:p>
        </w:tc>
        <w:tc>
          <w:tcPr>
            <w:tcW w:w="1559" w:type="dxa"/>
          </w:tcPr>
          <w:p w14:paraId="4C10E29D" w14:textId="77777777" w:rsidR="00D15364" w:rsidRPr="00781B4E" w:rsidRDefault="00D15364" w:rsidP="00CA5971">
            <w:pPr>
              <w:jc w:val="center"/>
              <w:rPr>
                <w:strike/>
                <w:color w:val="000000"/>
              </w:rPr>
            </w:pPr>
            <w:r>
              <w:rPr>
                <w:strike/>
                <w:color w:val="000000"/>
              </w:rPr>
              <w:t>-</w:t>
            </w:r>
          </w:p>
        </w:tc>
        <w:tc>
          <w:tcPr>
            <w:tcW w:w="1276" w:type="dxa"/>
          </w:tcPr>
          <w:p w14:paraId="3ED278C7" w14:textId="77777777" w:rsidR="00D15364" w:rsidRPr="00781B4E" w:rsidRDefault="00D15364" w:rsidP="00CA5971">
            <w:pPr>
              <w:jc w:val="center"/>
              <w:rPr>
                <w:strike/>
                <w:color w:val="000000"/>
              </w:rPr>
            </w:pPr>
            <w:r>
              <w:rPr>
                <w:strike/>
                <w:color w:val="000000"/>
              </w:rPr>
              <w:t>-</w:t>
            </w:r>
          </w:p>
        </w:tc>
        <w:tc>
          <w:tcPr>
            <w:tcW w:w="4433" w:type="dxa"/>
          </w:tcPr>
          <w:p w14:paraId="2B7038AB" w14:textId="39520B59" w:rsidR="00D15364" w:rsidRPr="000E2EAC" w:rsidRDefault="000E2EAC" w:rsidP="000E2EAC">
            <w:pPr>
              <w:jc w:val="both"/>
              <w:rPr>
                <w:strike/>
                <w:color w:val="000000"/>
                <w:lang w:val="fr-CA"/>
              </w:rPr>
            </w:pPr>
            <w:r w:rsidRPr="000E2EAC">
              <w:rPr>
                <w:strike/>
                <w:color w:val="000000"/>
                <w:lang w:val="fr-CA"/>
              </w:rPr>
              <w:t>Vitesse de corrosion sur des surfaces soit en acier soit en</w:t>
            </w:r>
            <w:r>
              <w:rPr>
                <w:strike/>
                <w:color w:val="000000"/>
                <w:lang w:val="fr-CA"/>
              </w:rPr>
              <w:t xml:space="preserve"> </w:t>
            </w:r>
            <w:r w:rsidRPr="000E2EAC">
              <w:rPr>
                <w:strike/>
                <w:color w:val="000000"/>
                <w:lang w:val="fr-CA"/>
              </w:rPr>
              <w:t>aluminium dépassant 6,25 mm par an à la température</w:t>
            </w:r>
            <w:r>
              <w:rPr>
                <w:strike/>
                <w:color w:val="000000"/>
                <w:lang w:val="fr-CA"/>
              </w:rPr>
              <w:t xml:space="preserve"> </w:t>
            </w:r>
            <w:r w:rsidRPr="000E2EAC">
              <w:rPr>
                <w:strike/>
                <w:color w:val="000000"/>
                <w:lang w:val="fr-CA"/>
              </w:rPr>
              <w:t>d’épreuve de 55 °C, lorsque les épreuves sont réalisées sur</w:t>
            </w:r>
            <w:r>
              <w:rPr>
                <w:strike/>
                <w:color w:val="000000"/>
                <w:lang w:val="fr-CA"/>
              </w:rPr>
              <w:t xml:space="preserve"> </w:t>
            </w:r>
            <w:r w:rsidRPr="000E2EAC">
              <w:rPr>
                <w:strike/>
                <w:color w:val="000000"/>
                <w:lang w:val="fr-CA"/>
              </w:rPr>
              <w:t>ces deux matériaux</w:t>
            </w:r>
          </w:p>
        </w:tc>
      </w:tr>
    </w:tbl>
    <w:p w14:paraId="1184E501" w14:textId="3186FA90" w:rsidR="00D15364" w:rsidRPr="00D15364" w:rsidRDefault="00E157A4" w:rsidP="00E157A4">
      <w:pPr>
        <w:pStyle w:val="H1G"/>
        <w:rPr>
          <w:bCs/>
          <w:szCs w:val="23"/>
        </w:rPr>
      </w:pPr>
      <w:r>
        <w:tab/>
      </w:r>
      <w:r>
        <w:tab/>
      </w:r>
      <w:r w:rsidR="00D15364" w:rsidRPr="00E157A4">
        <w:rPr>
          <w:u w:val="single"/>
        </w:rPr>
        <w:t>2.8.</w:t>
      </w:r>
      <w:r w:rsidR="00D15364" w:rsidRPr="00BE69E5">
        <w:rPr>
          <w:u w:val="single"/>
        </w:rPr>
        <w:t xml:space="preserve">3 </w:t>
      </w:r>
      <w:r w:rsidR="00D15364" w:rsidRPr="00BE69E5">
        <w:rPr>
          <w:u w:val="single"/>
        </w:rPr>
        <w:tab/>
      </w:r>
      <w:r w:rsidRPr="00BE69E5">
        <w:rPr>
          <w:u w:val="single"/>
        </w:rPr>
        <w:tab/>
      </w:r>
      <w:r w:rsidR="00D15364" w:rsidRPr="00E157A4">
        <w:rPr>
          <w:u w:val="single"/>
        </w:rPr>
        <w:t>Affectation aux groupes d</w:t>
      </w:r>
      <w:r w:rsidR="00CA5971" w:rsidRPr="00E157A4">
        <w:rPr>
          <w:u w:val="single"/>
        </w:rPr>
        <w:t>’</w:t>
      </w:r>
      <w:r w:rsidR="00D15364" w:rsidRPr="00E157A4">
        <w:rPr>
          <w:u w:val="single"/>
        </w:rPr>
        <w:t>emballage des matières corrosives pour la peau</w:t>
      </w:r>
    </w:p>
    <w:p w14:paraId="325203CC" w14:textId="2B9AB0B2" w:rsidR="00D15364" w:rsidRPr="00D15364" w:rsidRDefault="00E157A4" w:rsidP="00E157A4">
      <w:pPr>
        <w:pStyle w:val="H23G"/>
        <w:rPr>
          <w:u w:color="7F7F7F" w:themeColor="text1" w:themeTint="80"/>
        </w:rPr>
      </w:pPr>
      <w:r>
        <w:rPr>
          <w:u w:color="7F7F7F" w:themeColor="text1" w:themeTint="80"/>
        </w:rPr>
        <w:tab/>
      </w:r>
      <w:r>
        <w:rPr>
          <w:u w:color="7F7F7F" w:themeColor="text1" w:themeTint="80"/>
        </w:rPr>
        <w:tab/>
      </w:r>
      <w:r w:rsidR="00D15364" w:rsidRPr="00E157A4">
        <w:rPr>
          <w:u w:val="single"/>
        </w:rPr>
        <w:t>2.8.3.1</w:t>
      </w:r>
      <w:r w:rsidR="00D15364">
        <w:tab/>
      </w:r>
      <w:r>
        <w:tab/>
      </w:r>
      <w:r w:rsidR="00D15364" w:rsidRPr="00E157A4">
        <w:rPr>
          <w:u w:val="single"/>
        </w:rPr>
        <w:t xml:space="preserve">Classification fondée sur des données expérimentales </w:t>
      </w:r>
    </w:p>
    <w:p w14:paraId="0F6877F0" w14:textId="44EADBC4" w:rsidR="00D15364" w:rsidRPr="00781B4E" w:rsidRDefault="00D15364" w:rsidP="00FA4216">
      <w:pPr>
        <w:pStyle w:val="SingleTxtG"/>
        <w:rPr>
          <w:u w:color="7F7F7F" w:themeColor="text1" w:themeTint="80"/>
        </w:rPr>
      </w:pPr>
      <w:r w:rsidRPr="00FA4216">
        <w:rPr>
          <w:u w:val="single"/>
        </w:rPr>
        <w:t>2.8.3.1.1</w:t>
      </w:r>
      <w:r>
        <w:tab/>
      </w:r>
      <w:r w:rsidRPr="00FA4216">
        <w:rPr>
          <w:u w:val="single"/>
        </w:rPr>
        <w:t>Une matière est corrosive pour la peau et affectée au groupe d</w:t>
      </w:r>
      <w:r w:rsidR="00CA5971" w:rsidRPr="00FA4216">
        <w:rPr>
          <w:u w:val="single"/>
        </w:rPr>
        <w:t>’</w:t>
      </w:r>
      <w:r w:rsidRPr="00FA4216">
        <w:rPr>
          <w:u w:val="single"/>
        </w:rPr>
        <w:t>emballage approprié lorsqu</w:t>
      </w:r>
      <w:r w:rsidR="00CA5971" w:rsidRPr="00FA4216">
        <w:rPr>
          <w:u w:val="single"/>
        </w:rPr>
        <w:t>’</w:t>
      </w:r>
      <w:r w:rsidRPr="00FA4216">
        <w:rPr>
          <w:u w:val="single"/>
        </w:rPr>
        <w:t>elle cause la destruction irréversible du tissu cutané à la suite de l</w:t>
      </w:r>
      <w:r w:rsidR="00CA5971" w:rsidRPr="00FA4216">
        <w:rPr>
          <w:u w:val="single"/>
        </w:rPr>
        <w:t>’</w:t>
      </w:r>
      <w:r w:rsidRPr="00FA4216">
        <w:rPr>
          <w:u w:val="single"/>
        </w:rPr>
        <w:t>application de la matière pour une durée allant jusqu</w:t>
      </w:r>
      <w:r w:rsidR="00CA5971" w:rsidRPr="00FA4216">
        <w:rPr>
          <w:u w:val="single"/>
        </w:rPr>
        <w:t>’</w:t>
      </w:r>
      <w:r w:rsidRPr="00FA4216">
        <w:rPr>
          <w:u w:val="single"/>
        </w:rPr>
        <w:t>à quatre heures en fonction des critères de la section 2.8.2.1.</w:t>
      </w:r>
    </w:p>
    <w:p w14:paraId="35CDE8F6" w14:textId="7E52B21C" w:rsidR="00D15364" w:rsidRPr="00781B4E" w:rsidRDefault="00FA4216" w:rsidP="00FA4216">
      <w:pPr>
        <w:pStyle w:val="SingleTxtG"/>
        <w:rPr>
          <w:u w:color="7F7F7F" w:themeColor="text1" w:themeTint="80"/>
        </w:rPr>
      </w:pPr>
      <w:r>
        <w:rPr>
          <w:u w:val="single"/>
        </w:rPr>
        <w:t>2.8.3.1.2</w:t>
      </w:r>
      <w:r w:rsidR="00D15364">
        <w:tab/>
      </w:r>
      <w:r w:rsidR="00D15364" w:rsidRPr="00FA4216">
        <w:rPr>
          <w:u w:val="single"/>
        </w:rPr>
        <w:t>L</w:t>
      </w:r>
      <w:r w:rsidR="00CA5971" w:rsidRPr="00FA4216">
        <w:rPr>
          <w:u w:val="single"/>
        </w:rPr>
        <w:t>’</w:t>
      </w:r>
      <w:r w:rsidR="00D15364" w:rsidRPr="00FA4216">
        <w:rPr>
          <w:u w:val="single"/>
        </w:rPr>
        <w:t>existence de données animales et humaines, y compris les renseignements sur une exposition unique ou répétée, représente la première ligne d</w:t>
      </w:r>
      <w:r w:rsidR="00CA5971" w:rsidRPr="00FA4216">
        <w:rPr>
          <w:u w:val="single"/>
        </w:rPr>
        <w:t>’</w:t>
      </w:r>
      <w:r w:rsidR="00D15364" w:rsidRPr="00FA4216">
        <w:rPr>
          <w:u w:val="single"/>
        </w:rPr>
        <w:t>évaluation, car ces renseignements concernent directement les effets sur la peau.</w:t>
      </w:r>
    </w:p>
    <w:p w14:paraId="376EF6BD" w14:textId="3C030D06" w:rsidR="00D15364" w:rsidRPr="00781B4E" w:rsidRDefault="00D15364" w:rsidP="00FA4216">
      <w:pPr>
        <w:pStyle w:val="SingleTxtG"/>
        <w:rPr>
          <w:szCs w:val="22"/>
          <w:u w:color="7F7F7F" w:themeColor="text1" w:themeTint="80"/>
        </w:rPr>
      </w:pPr>
      <w:r w:rsidRPr="00FA4216">
        <w:rPr>
          <w:u w:val="single"/>
        </w:rPr>
        <w:t>2.8.3.1.3</w:t>
      </w:r>
      <w:r>
        <w:tab/>
      </w:r>
      <w:r w:rsidRPr="00FA4216">
        <w:rPr>
          <w:u w:val="single"/>
        </w:rPr>
        <w:t>Les autres options </w:t>
      </w:r>
      <w:r w:rsidRPr="00FA4216">
        <w:rPr>
          <w:i/>
          <w:u w:val="single"/>
        </w:rPr>
        <w:t>in vitro</w:t>
      </w:r>
      <w:r w:rsidRPr="00FA4216">
        <w:rPr>
          <w:u w:val="single"/>
        </w:rPr>
        <w:t xml:space="preserve"> qui ont été validées et acceptées peuvent être utilisées pour prendre des décisions en matière de classification et d</w:t>
      </w:r>
      <w:r w:rsidR="00CA5971" w:rsidRPr="00FA4216">
        <w:rPr>
          <w:u w:val="single"/>
        </w:rPr>
        <w:t>’</w:t>
      </w:r>
      <w:r w:rsidRPr="00FA4216">
        <w:rPr>
          <w:u w:val="single"/>
        </w:rPr>
        <w:t>affectation aux groupes d</w:t>
      </w:r>
      <w:r w:rsidR="00CA5971" w:rsidRPr="00FA4216">
        <w:rPr>
          <w:u w:val="single"/>
        </w:rPr>
        <w:t>’</w:t>
      </w:r>
      <w:r w:rsidRPr="00FA4216">
        <w:rPr>
          <w:u w:val="single"/>
        </w:rPr>
        <w:t>emballage, pourvu que la méthode d</w:t>
      </w:r>
      <w:r w:rsidR="00CA5971" w:rsidRPr="00FA4216">
        <w:rPr>
          <w:u w:val="single"/>
        </w:rPr>
        <w:t>’</w:t>
      </w:r>
      <w:r w:rsidRPr="00FA4216">
        <w:rPr>
          <w:u w:val="single"/>
        </w:rPr>
        <w:t xml:space="preserve">essai </w:t>
      </w:r>
      <w:r w:rsidRPr="00FA4216">
        <w:rPr>
          <w:i/>
          <w:u w:val="single"/>
        </w:rPr>
        <w:t>in vitro</w:t>
      </w:r>
      <w:r w:rsidRPr="00FA4216">
        <w:rPr>
          <w:u w:val="single"/>
        </w:rPr>
        <w:t xml:space="preserve"> soit appropriée. Des méthodes d</w:t>
      </w:r>
      <w:r w:rsidR="00CA5971" w:rsidRPr="00FA4216">
        <w:rPr>
          <w:u w:val="single"/>
        </w:rPr>
        <w:t>’</w:t>
      </w:r>
      <w:r w:rsidRPr="00FA4216">
        <w:rPr>
          <w:u w:val="single"/>
        </w:rPr>
        <w:t>essai validées et acceptées à l</w:t>
      </w:r>
      <w:r w:rsidR="00CA5971" w:rsidRPr="00FA4216">
        <w:rPr>
          <w:u w:val="single"/>
        </w:rPr>
        <w:t>’</w:t>
      </w:r>
      <w:r w:rsidRPr="00FA4216">
        <w:rPr>
          <w:u w:val="single"/>
        </w:rPr>
        <w:t>échelle internationale sur la corrosion de la peau sont présentées à la section 2.8.2.5.</w:t>
      </w:r>
    </w:p>
    <w:p w14:paraId="36FC948A" w14:textId="4A38DEA2" w:rsidR="00D15364" w:rsidRPr="00781B4E" w:rsidRDefault="004624EA" w:rsidP="00FA4216">
      <w:pPr>
        <w:pStyle w:val="SingleTxtG"/>
        <w:rPr>
          <w:szCs w:val="22"/>
          <w:u w:color="7F7F7F" w:themeColor="text1" w:themeTint="80"/>
        </w:rPr>
      </w:pPr>
      <w:r w:rsidRPr="00FA4216">
        <w:rPr>
          <w:u w:val="single"/>
        </w:rPr>
        <w:t>2.8.3.1.4</w:t>
      </w:r>
      <w:r>
        <w:tab/>
      </w:r>
      <w:r w:rsidRPr="00FA4216">
        <w:rPr>
          <w:u w:val="single"/>
        </w:rPr>
        <w:t>Dans certains cas, des renseignements suffisants peuvent être disponibles à partir de matière à la structure connexe pour prendre des décisions de classification conformément au document d</w:t>
      </w:r>
      <w:r w:rsidR="00CA5971" w:rsidRPr="00FA4216">
        <w:rPr>
          <w:u w:val="single"/>
        </w:rPr>
        <w:t>’</w:t>
      </w:r>
      <w:r w:rsidRPr="00FA4216">
        <w:rPr>
          <w:u w:val="single"/>
        </w:rPr>
        <w:t>orientation de l</w:t>
      </w:r>
      <w:r w:rsidR="00CA5971" w:rsidRPr="00FA4216">
        <w:rPr>
          <w:u w:val="single"/>
        </w:rPr>
        <w:t>’</w:t>
      </w:r>
      <w:r w:rsidRPr="00FA4216">
        <w:rPr>
          <w:u w:val="single"/>
        </w:rPr>
        <w:t xml:space="preserve">OCDE intitulé </w:t>
      </w:r>
      <w:r w:rsidRPr="00FA4216">
        <w:rPr>
          <w:i/>
          <w:u w:val="single"/>
        </w:rPr>
        <w:t>Guidance on Grouping of Chemicals</w:t>
      </w:r>
      <w:r w:rsidRPr="00FA4216">
        <w:rPr>
          <w:u w:val="single"/>
        </w:rPr>
        <w:t xml:space="preserve"> (directives sur le regroupement de produits chimiques)</w:t>
      </w:r>
      <w:r>
        <w:rPr>
          <w:rStyle w:val="FootnoteReference"/>
          <w:u w:val="single" w:color="7F7F7F" w:themeColor="text1" w:themeTint="80"/>
        </w:rPr>
        <w:footnoteReference w:id="7"/>
      </w:r>
      <w:r>
        <w:rPr>
          <w:u w:color="7F7F7F" w:themeColor="text1" w:themeTint="80"/>
        </w:rPr>
        <w:t>.</w:t>
      </w:r>
    </w:p>
    <w:p w14:paraId="12DB50D8" w14:textId="2010E8A0" w:rsidR="00D15364" w:rsidRPr="00BE69E5" w:rsidRDefault="00BE69E5" w:rsidP="00BE69E5">
      <w:pPr>
        <w:pStyle w:val="H1G"/>
        <w:rPr>
          <w:bCs/>
          <w:szCs w:val="23"/>
          <w:u w:val="single"/>
        </w:rPr>
      </w:pPr>
      <w:r>
        <w:tab/>
      </w:r>
      <w:r>
        <w:tab/>
      </w:r>
      <w:r w:rsidR="00D15364" w:rsidRPr="00BE69E5">
        <w:rPr>
          <w:u w:val="single"/>
        </w:rPr>
        <w:t xml:space="preserve">2.8.4 </w:t>
      </w:r>
      <w:r w:rsidR="00D15364" w:rsidRPr="00BE69E5">
        <w:rPr>
          <w:u w:val="single"/>
        </w:rPr>
        <w:tab/>
      </w:r>
      <w:r>
        <w:rPr>
          <w:u w:val="single"/>
        </w:rPr>
        <w:tab/>
      </w:r>
      <w:r w:rsidR="00D15364" w:rsidRPr="00BE69E5">
        <w:rPr>
          <w:u w:val="single"/>
        </w:rPr>
        <w:t>Procédure d</w:t>
      </w:r>
      <w:r w:rsidR="00CA5971" w:rsidRPr="00BE69E5">
        <w:rPr>
          <w:u w:val="single"/>
        </w:rPr>
        <w:t>’</w:t>
      </w:r>
      <w:r w:rsidR="00D15364" w:rsidRPr="00BE69E5">
        <w:rPr>
          <w:u w:val="single"/>
        </w:rPr>
        <w:t>affectation aux groupes d</w:t>
      </w:r>
      <w:r w:rsidR="00CA5971" w:rsidRPr="00BE69E5">
        <w:rPr>
          <w:u w:val="single"/>
        </w:rPr>
        <w:t>’</w:t>
      </w:r>
      <w:r w:rsidR="00D15364" w:rsidRPr="00BE69E5">
        <w:rPr>
          <w:u w:val="single"/>
        </w:rPr>
        <w:t>emballage des mélanges corrosifs pour la peau : une approche graduelle</w:t>
      </w:r>
    </w:p>
    <w:p w14:paraId="16C1EB46" w14:textId="1BBDB7CC" w:rsidR="00D15364" w:rsidRPr="004624EA" w:rsidRDefault="00D15364" w:rsidP="00BA57B1">
      <w:pPr>
        <w:pStyle w:val="SingleTxtG"/>
        <w:rPr>
          <w:bCs/>
        </w:rPr>
      </w:pPr>
      <w:r w:rsidRPr="00BA57B1">
        <w:rPr>
          <w:u w:val="single"/>
        </w:rPr>
        <w:t>2.8.4.1</w:t>
      </w:r>
      <w:r>
        <w:t xml:space="preserve"> </w:t>
      </w:r>
      <w:r w:rsidR="00BA57B1">
        <w:tab/>
      </w:r>
      <w:r w:rsidRPr="00BA57B1">
        <w:rPr>
          <w:i/>
          <w:u w:val="single"/>
        </w:rPr>
        <w:t>Dispositions générales</w:t>
      </w:r>
    </w:p>
    <w:p w14:paraId="436549F9" w14:textId="5840BCB0" w:rsidR="004624EA" w:rsidRPr="00BA57B1" w:rsidRDefault="00D15364" w:rsidP="00BA57B1">
      <w:pPr>
        <w:pStyle w:val="SingleTxtG"/>
        <w:rPr>
          <w:u w:val="single"/>
        </w:rPr>
      </w:pPr>
      <w:r w:rsidRPr="00BA57B1">
        <w:rPr>
          <w:u w:val="single"/>
        </w:rPr>
        <w:t xml:space="preserve">2.8.4.1.1 </w:t>
      </w:r>
      <w:r w:rsidR="00BA57B1">
        <w:rPr>
          <w:u w:val="single"/>
        </w:rPr>
        <w:tab/>
      </w:r>
      <w:r w:rsidRPr="00BA57B1">
        <w:rPr>
          <w:u w:val="single"/>
        </w:rPr>
        <w:t>Lorsque des données de classification suffisantes, tirées d</w:t>
      </w:r>
      <w:r w:rsidR="00CA5971" w:rsidRPr="00BA57B1">
        <w:rPr>
          <w:u w:val="single"/>
        </w:rPr>
        <w:t>’</w:t>
      </w:r>
      <w:r w:rsidRPr="00BA57B1">
        <w:rPr>
          <w:u w:val="single"/>
        </w:rPr>
        <w:t xml:space="preserve">essais </w:t>
      </w:r>
      <w:r w:rsidRPr="00BA57B1">
        <w:rPr>
          <w:i/>
          <w:u w:val="single"/>
        </w:rPr>
        <w:t>in vivo</w:t>
      </w:r>
      <w:r w:rsidRPr="00BA57B1">
        <w:rPr>
          <w:u w:val="single"/>
        </w:rPr>
        <w:t xml:space="preserve"> ou </w:t>
      </w:r>
      <w:r w:rsidRPr="00BA57B1">
        <w:rPr>
          <w:i/>
          <w:u w:val="single"/>
        </w:rPr>
        <w:t>in vitro</w:t>
      </w:r>
      <w:r w:rsidRPr="00BA57B1">
        <w:rPr>
          <w:u w:val="single"/>
        </w:rPr>
        <w:t>, sont accessibles, le mélange doit être classé en fonction des critères pour les matières de la section 2.8.2.1, comme il est illustré au tableau 2.8.2.1.</w:t>
      </w:r>
    </w:p>
    <w:p w14:paraId="140A8A0A" w14:textId="6F966F57" w:rsidR="00D15364" w:rsidRPr="00DE0263" w:rsidRDefault="004624EA" w:rsidP="00DE0263">
      <w:pPr>
        <w:pStyle w:val="SingleTxtG"/>
        <w:rPr>
          <w:u w:val="single"/>
        </w:rPr>
      </w:pPr>
      <w:r w:rsidRPr="00DE0263">
        <w:rPr>
          <w:u w:val="single"/>
        </w:rPr>
        <w:lastRenderedPageBreak/>
        <w:t xml:space="preserve">2.8.4.1.2 </w:t>
      </w:r>
      <w:r w:rsidR="00DE0263">
        <w:rPr>
          <w:u w:val="single"/>
        </w:rPr>
        <w:tab/>
      </w:r>
      <w:r w:rsidRPr="00DE0263">
        <w:rPr>
          <w:u w:val="single"/>
        </w:rPr>
        <w:t>En ce qui concerne les mélanges, il est nécessaire d</w:t>
      </w:r>
      <w:r w:rsidR="00CA5971" w:rsidRPr="00DE0263">
        <w:rPr>
          <w:u w:val="single"/>
        </w:rPr>
        <w:t>’</w:t>
      </w:r>
      <w:r w:rsidRPr="00DE0263">
        <w:rPr>
          <w:u w:val="single"/>
        </w:rPr>
        <w:t>obtenir des renseignements qui permettent d</w:t>
      </w:r>
      <w:r w:rsidR="00CA5971" w:rsidRPr="00DE0263">
        <w:rPr>
          <w:u w:val="single"/>
        </w:rPr>
        <w:t>’</w:t>
      </w:r>
      <w:r w:rsidRPr="00DE0263">
        <w:rPr>
          <w:u w:val="single"/>
        </w:rPr>
        <w:t>appliquer les critères à ces mélanges aux fins de classification et d</w:t>
      </w:r>
      <w:r w:rsidR="00CA5971" w:rsidRPr="00DE0263">
        <w:rPr>
          <w:u w:val="single"/>
        </w:rPr>
        <w:t>’</w:t>
      </w:r>
      <w:r w:rsidRPr="00DE0263">
        <w:rPr>
          <w:u w:val="single"/>
        </w:rPr>
        <w:t>affectation aux groupes d</w:t>
      </w:r>
      <w:r w:rsidR="00CA5971" w:rsidRPr="00DE0263">
        <w:rPr>
          <w:u w:val="single"/>
        </w:rPr>
        <w:t>’</w:t>
      </w:r>
      <w:r w:rsidRPr="00DE0263">
        <w:rPr>
          <w:u w:val="single"/>
        </w:rPr>
        <w:t>emballage. La démarche relative à la classification et à l</w:t>
      </w:r>
      <w:r w:rsidR="00CA5971" w:rsidRPr="00DE0263">
        <w:rPr>
          <w:u w:val="single"/>
        </w:rPr>
        <w:t>’</w:t>
      </w:r>
      <w:r w:rsidRPr="00DE0263">
        <w:rPr>
          <w:u w:val="single"/>
        </w:rPr>
        <w:t>affectation aux groupes d</w:t>
      </w:r>
      <w:r w:rsidR="00CA5971" w:rsidRPr="00DE0263">
        <w:rPr>
          <w:u w:val="single"/>
        </w:rPr>
        <w:t>’</w:t>
      </w:r>
      <w:r w:rsidRPr="00DE0263">
        <w:rPr>
          <w:u w:val="single"/>
        </w:rPr>
        <w:t>emballage est progressive et dépend de la quantité de renseignements accessibles sur le mélange, sur des mélanges similaires ou sur ses ingrédients. L</w:t>
      </w:r>
      <w:r w:rsidR="00CA5971" w:rsidRPr="00DE0263">
        <w:rPr>
          <w:u w:val="single"/>
        </w:rPr>
        <w:t>’</w:t>
      </w:r>
      <w:r w:rsidRPr="00DE0263">
        <w:rPr>
          <w:u w:val="single"/>
        </w:rPr>
        <w:t>organigramme de la figure 2.8.4.1 présente le processus à suivre.</w:t>
      </w:r>
    </w:p>
    <w:p w14:paraId="0519432B" w14:textId="1C8D907D" w:rsidR="00D15364" w:rsidRPr="00DE0263" w:rsidRDefault="00DE0263" w:rsidP="00DE0263">
      <w:pPr>
        <w:pStyle w:val="H23G"/>
        <w:jc w:val="center"/>
        <w:rPr>
          <w:u w:val="single"/>
        </w:rPr>
      </w:pPr>
      <w:r w:rsidRPr="00DE0263">
        <w:tab/>
      </w:r>
      <w:r w:rsidRPr="00DE0263">
        <w:tab/>
      </w:r>
      <w:r w:rsidR="00D15364" w:rsidRPr="00DE0263">
        <w:rPr>
          <w:u w:val="single"/>
        </w:rPr>
        <w:t>Figure 2.8.4.1: Approche graduelle en matière de classification et d</w:t>
      </w:r>
      <w:r w:rsidR="00CA5971" w:rsidRPr="00DE0263">
        <w:rPr>
          <w:u w:val="single"/>
        </w:rPr>
        <w:t>’</w:t>
      </w:r>
      <w:r w:rsidR="00D15364" w:rsidRPr="00DE0263">
        <w:rPr>
          <w:u w:val="single"/>
        </w:rPr>
        <w:t>affectation de mélanges corrosifs aux groupes d</w:t>
      </w:r>
      <w:r w:rsidR="00CA5971" w:rsidRPr="00DE0263">
        <w:rPr>
          <w:u w:val="single"/>
        </w:rPr>
        <w:t>’</w:t>
      </w:r>
      <w:r w:rsidR="00D15364" w:rsidRPr="00DE0263">
        <w:rPr>
          <w:u w:val="single"/>
        </w:rPr>
        <w:t>emballage</w:t>
      </w:r>
    </w:p>
    <w:p w14:paraId="35326C83" w14:textId="0E0DA7BF" w:rsidR="00D15364" w:rsidRPr="00781B4E" w:rsidRDefault="000E2EAC" w:rsidP="00E36DAF">
      <w:pPr>
        <w:pStyle w:val="SingleTxtG"/>
        <w:ind w:left="0" w:right="0"/>
        <w:jc w:val="center"/>
        <w:rPr>
          <w:u w:val="single"/>
        </w:rPr>
      </w:pPr>
      <w:r>
        <w:rPr>
          <w:noProof/>
          <w:u w:val="single"/>
          <w:lang w:val="en-GB" w:eastAsia="en-GB" w:bidi="ar-SA"/>
        </w:rPr>
        <w:drawing>
          <wp:inline distT="0" distB="0" distL="0" distR="0" wp14:anchorId="0C724313" wp14:editId="242F43AE">
            <wp:extent cx="5212183" cy="2492821"/>
            <wp:effectExtent l="0" t="0" r="762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8539" cy="2500643"/>
                    </a:xfrm>
                    <a:prstGeom prst="rect">
                      <a:avLst/>
                    </a:prstGeom>
                    <a:noFill/>
                  </pic:spPr>
                </pic:pic>
              </a:graphicData>
            </a:graphic>
          </wp:inline>
        </w:drawing>
      </w:r>
    </w:p>
    <w:p w14:paraId="6A79B7A7" w14:textId="52C821CA" w:rsidR="00D15364" w:rsidRPr="000E2EAC" w:rsidRDefault="00D15364" w:rsidP="0098044E">
      <w:pPr>
        <w:pStyle w:val="Default"/>
        <w:tabs>
          <w:tab w:val="left" w:pos="1080"/>
        </w:tabs>
        <w:spacing w:before="240" w:after="120" w:line="300" w:lineRule="auto"/>
        <w:ind w:left="1080"/>
        <w:jc w:val="both"/>
        <w:rPr>
          <w:sz w:val="20"/>
          <w:szCs w:val="20"/>
          <w:u w:val="single"/>
        </w:rPr>
      </w:pPr>
      <w:r w:rsidRPr="000E2EAC">
        <w:rPr>
          <w:sz w:val="20"/>
          <w:u w:val="single"/>
        </w:rPr>
        <w:t>2.8.4.2</w:t>
      </w:r>
      <w:r w:rsidRPr="000E2EAC">
        <w:rPr>
          <w:u w:val="single"/>
        </w:rPr>
        <w:tab/>
      </w:r>
      <w:r w:rsidR="0098044E">
        <w:rPr>
          <w:u w:val="single"/>
        </w:rPr>
        <w:tab/>
      </w:r>
      <w:r w:rsidRPr="000E2EAC">
        <w:rPr>
          <w:i/>
          <w:sz w:val="20"/>
          <w:u w:val="single"/>
        </w:rPr>
        <w:t>Principes d</w:t>
      </w:r>
      <w:r w:rsidR="00CA5971" w:rsidRPr="000E2EAC">
        <w:rPr>
          <w:i/>
          <w:sz w:val="20"/>
          <w:u w:val="single"/>
        </w:rPr>
        <w:t>’</w:t>
      </w:r>
      <w:r w:rsidRPr="000E2EAC">
        <w:rPr>
          <w:i/>
          <w:sz w:val="20"/>
          <w:u w:val="single"/>
        </w:rPr>
        <w:t>extrapolation</w:t>
      </w:r>
    </w:p>
    <w:p w14:paraId="5A87683E" w14:textId="018B016A" w:rsidR="00D15364" w:rsidRPr="00DE0263" w:rsidRDefault="00D15364" w:rsidP="00DE0263">
      <w:pPr>
        <w:pStyle w:val="SingleTxtG"/>
        <w:rPr>
          <w:u w:val="single"/>
        </w:rPr>
      </w:pPr>
      <w:r w:rsidRPr="00DE0263">
        <w:rPr>
          <w:u w:val="single"/>
        </w:rPr>
        <w:t>2.8.4.2.1</w:t>
      </w:r>
      <w:r w:rsidRPr="00DE0263">
        <w:rPr>
          <w:u w:val="single"/>
        </w:rPr>
        <w:tab/>
        <w:t>Lorsqu</w:t>
      </w:r>
      <w:r w:rsidR="00CA5971" w:rsidRPr="00DE0263">
        <w:rPr>
          <w:u w:val="single"/>
        </w:rPr>
        <w:t>’</w:t>
      </w:r>
      <w:r w:rsidRPr="00DE0263">
        <w:rPr>
          <w:u w:val="single"/>
        </w:rPr>
        <w:t>un mélange n</w:t>
      </w:r>
      <w:r w:rsidR="00CA5971" w:rsidRPr="00DE0263">
        <w:rPr>
          <w:u w:val="single"/>
        </w:rPr>
        <w:t>’</w:t>
      </w:r>
      <w:r w:rsidRPr="00DE0263">
        <w:rPr>
          <w:u w:val="single"/>
        </w:rPr>
        <w:t xml:space="preserve">a pas été testé pour ce qui est de sa </w:t>
      </w:r>
      <w:r w:rsidR="00AA4BAD" w:rsidRPr="00DE0263">
        <w:rPr>
          <w:u w:val="single"/>
        </w:rPr>
        <w:t>corrosion cutanée</w:t>
      </w:r>
      <w:r w:rsidRPr="00DE0263">
        <w:rPr>
          <w:u w:val="single"/>
        </w:rPr>
        <w:t>, mais que l</w:t>
      </w:r>
      <w:r w:rsidR="00CA5971" w:rsidRPr="00DE0263">
        <w:rPr>
          <w:u w:val="single"/>
        </w:rPr>
        <w:t>’</w:t>
      </w:r>
      <w:r w:rsidRPr="00DE0263">
        <w:rPr>
          <w:u w:val="single"/>
        </w:rPr>
        <w:t>on dispose, pour le classer de façon adaptée, de suffisamment de données sur chacune de ses composantes et sur des mélanges similaires testés, les données en question peuvent être utilisées conformément aux principes d</w:t>
      </w:r>
      <w:r w:rsidR="00CA5971" w:rsidRPr="00DE0263">
        <w:rPr>
          <w:u w:val="single"/>
        </w:rPr>
        <w:t>’</w:t>
      </w:r>
      <w:r w:rsidRPr="00DE0263">
        <w:rPr>
          <w:u w:val="single"/>
        </w:rPr>
        <w:t>extrapolation qui suivent. Cela permet de s</w:t>
      </w:r>
      <w:r w:rsidR="00CA5971" w:rsidRPr="00DE0263">
        <w:rPr>
          <w:u w:val="single"/>
        </w:rPr>
        <w:t>’</w:t>
      </w:r>
      <w:r w:rsidRPr="00DE0263">
        <w:rPr>
          <w:u w:val="single"/>
        </w:rPr>
        <w:t>assurer que le processus de classification utilise les données accessibles dans la mesure du possible en caractérisant les dangers du mélange.</w:t>
      </w:r>
    </w:p>
    <w:p w14:paraId="17B705EA" w14:textId="4208E3A7" w:rsidR="00D15364" w:rsidRPr="0098044E" w:rsidRDefault="00D15364" w:rsidP="0098044E">
      <w:pPr>
        <w:pStyle w:val="SingleTxtG"/>
        <w:ind w:left="2268"/>
        <w:rPr>
          <w:u w:val="single"/>
        </w:rPr>
      </w:pPr>
      <w:r w:rsidRPr="0098044E">
        <w:rPr>
          <w:u w:val="single"/>
        </w:rPr>
        <w:t>(a)</w:t>
      </w:r>
      <w:r w:rsidRPr="0098044E">
        <w:rPr>
          <w:u w:val="single"/>
        </w:rPr>
        <w:tab/>
      </w:r>
      <w:r w:rsidR="0098044E" w:rsidRPr="0098044E">
        <w:rPr>
          <w:b/>
          <w:u w:val="single"/>
        </w:rPr>
        <w:t>Dilution</w:t>
      </w:r>
      <w:r w:rsidRPr="0098044E">
        <w:rPr>
          <w:u w:val="single"/>
        </w:rPr>
        <w:t>: À moins que des effets synergiques ou antagonistes n</w:t>
      </w:r>
      <w:r w:rsidR="00CA5971" w:rsidRPr="0098044E">
        <w:rPr>
          <w:u w:val="single"/>
        </w:rPr>
        <w:t>’</w:t>
      </w:r>
      <w:r w:rsidRPr="0098044E">
        <w:rPr>
          <w:u w:val="single"/>
        </w:rPr>
        <w:t xml:space="preserve">indiquent le contraire, si un mélange testé est dilué avec un diluant qui ne </w:t>
      </w:r>
      <w:r w:rsidR="00383C0D" w:rsidRPr="0098044E">
        <w:rPr>
          <w:u w:val="single"/>
        </w:rPr>
        <w:t>satisfait</w:t>
      </w:r>
      <w:r w:rsidRPr="0098044E">
        <w:rPr>
          <w:u w:val="single"/>
        </w:rPr>
        <w:t xml:space="preserve"> pas les critères de la classe 8 et qui n</w:t>
      </w:r>
      <w:r w:rsidR="00CA5971" w:rsidRPr="0098044E">
        <w:rPr>
          <w:u w:val="single"/>
        </w:rPr>
        <w:t>’</w:t>
      </w:r>
      <w:r w:rsidRPr="0098044E">
        <w:rPr>
          <w:u w:val="single"/>
        </w:rPr>
        <w:t>a aucune incidence sur le groupe d</w:t>
      </w:r>
      <w:r w:rsidR="00CA5971" w:rsidRPr="0098044E">
        <w:rPr>
          <w:u w:val="single"/>
        </w:rPr>
        <w:t>’</w:t>
      </w:r>
      <w:r w:rsidRPr="0098044E">
        <w:rPr>
          <w:u w:val="single"/>
        </w:rPr>
        <w:t>emballage d</w:t>
      </w:r>
      <w:r w:rsidR="00CA5971" w:rsidRPr="0098044E">
        <w:rPr>
          <w:u w:val="single"/>
        </w:rPr>
        <w:t>’</w:t>
      </w:r>
      <w:r w:rsidRPr="0098044E">
        <w:rPr>
          <w:u w:val="single"/>
        </w:rPr>
        <w:t>autres composantes, on peut affecter le nouveau mélange dilué au même groupe d</w:t>
      </w:r>
      <w:r w:rsidR="00CA5971" w:rsidRPr="0098044E">
        <w:rPr>
          <w:u w:val="single"/>
        </w:rPr>
        <w:t>’</w:t>
      </w:r>
      <w:r w:rsidRPr="0098044E">
        <w:rPr>
          <w:u w:val="single"/>
        </w:rPr>
        <w:t>emballage que le mélange initial testé.</w:t>
      </w:r>
    </w:p>
    <w:p w14:paraId="636AB15B" w14:textId="59B74A4C" w:rsidR="00D15364" w:rsidRPr="0098044E" w:rsidRDefault="00D15364" w:rsidP="0098044E">
      <w:pPr>
        <w:pStyle w:val="SingleTxtG"/>
        <w:ind w:left="2268"/>
        <w:rPr>
          <w:u w:val="single"/>
        </w:rPr>
      </w:pPr>
      <w:r w:rsidRPr="0098044E">
        <w:rPr>
          <w:u w:val="single"/>
        </w:rPr>
        <w:t>(b)</w:t>
      </w:r>
      <w:r w:rsidRPr="0098044E">
        <w:rPr>
          <w:u w:val="single"/>
        </w:rPr>
        <w:tab/>
      </w:r>
      <w:r w:rsidR="0098044E" w:rsidRPr="0098044E">
        <w:rPr>
          <w:b/>
          <w:u w:val="single"/>
        </w:rPr>
        <w:t>Production en lots</w:t>
      </w:r>
      <w:r w:rsidRPr="0098044E">
        <w:rPr>
          <w:u w:val="single"/>
        </w:rPr>
        <w:t>:  Le pouvoir de corrosion cutanée d</w:t>
      </w:r>
      <w:r w:rsidR="00CA5971" w:rsidRPr="0098044E">
        <w:rPr>
          <w:u w:val="single"/>
        </w:rPr>
        <w:t>’</w:t>
      </w:r>
      <w:r w:rsidRPr="0098044E">
        <w:rPr>
          <w:u w:val="single"/>
        </w:rPr>
        <w:t>un lot de production de mélange ayant fait l</w:t>
      </w:r>
      <w:r w:rsidR="00CA5971" w:rsidRPr="0098044E">
        <w:rPr>
          <w:u w:val="single"/>
        </w:rPr>
        <w:t>’</w:t>
      </w:r>
      <w:r w:rsidRPr="0098044E">
        <w:rPr>
          <w:u w:val="single"/>
        </w:rPr>
        <w:t>objet d</w:t>
      </w:r>
      <w:r w:rsidR="00CA5971" w:rsidRPr="0098044E">
        <w:rPr>
          <w:u w:val="single"/>
        </w:rPr>
        <w:t>’</w:t>
      </w:r>
      <w:r w:rsidRPr="0098044E">
        <w:rPr>
          <w:u w:val="single"/>
        </w:rPr>
        <w:t>épreuves peut être considéré comme foncièrement équivalent à celui d</w:t>
      </w:r>
      <w:r w:rsidR="00CA5971" w:rsidRPr="0098044E">
        <w:rPr>
          <w:u w:val="single"/>
        </w:rPr>
        <w:t>’</w:t>
      </w:r>
      <w:r w:rsidRPr="0098044E">
        <w:rPr>
          <w:u w:val="single"/>
        </w:rPr>
        <w:t xml:space="preserve">un autre lot de production non testé du même produit commercial, sous réserve que le même fabricant en assure ou en supervise la fabrication, et à moins de soupçonner une différence significative entraînant une modification de la </w:t>
      </w:r>
      <w:r w:rsidR="00AA4BAD" w:rsidRPr="0098044E">
        <w:rPr>
          <w:u w:val="single"/>
        </w:rPr>
        <w:t>corrosion cutanée</w:t>
      </w:r>
      <w:r w:rsidRPr="0098044E">
        <w:rPr>
          <w:u w:val="single"/>
        </w:rPr>
        <w:t xml:space="preserve"> du lot non testé, dans lequel cas, une nouvelle classification sera requise.</w:t>
      </w:r>
    </w:p>
    <w:p w14:paraId="0F22D79D" w14:textId="07C12B35" w:rsidR="00D15364" w:rsidRPr="0098044E" w:rsidRDefault="00D15364" w:rsidP="0098044E">
      <w:pPr>
        <w:pStyle w:val="SingleTxtG"/>
        <w:ind w:left="2268"/>
        <w:rPr>
          <w:u w:val="single"/>
        </w:rPr>
      </w:pPr>
      <w:r w:rsidRPr="0098044E">
        <w:rPr>
          <w:u w:val="single"/>
        </w:rPr>
        <w:t>(c)</w:t>
      </w:r>
      <w:r w:rsidRPr="0098044E">
        <w:rPr>
          <w:u w:val="single"/>
        </w:rPr>
        <w:tab/>
      </w:r>
      <w:r w:rsidRPr="0098044E">
        <w:rPr>
          <w:b/>
          <w:u w:val="single"/>
        </w:rPr>
        <w:t>Concentration des mélanges du groupe d</w:t>
      </w:r>
      <w:r w:rsidR="00CA5971" w:rsidRPr="0098044E">
        <w:rPr>
          <w:b/>
          <w:u w:val="single"/>
        </w:rPr>
        <w:t>’</w:t>
      </w:r>
      <w:r w:rsidR="0098044E" w:rsidRPr="0098044E">
        <w:rPr>
          <w:b/>
          <w:u w:val="single"/>
        </w:rPr>
        <w:t>emballage I</w:t>
      </w:r>
      <w:r w:rsidR="00715A98" w:rsidRPr="0098044E">
        <w:rPr>
          <w:u w:val="single"/>
        </w:rPr>
        <w:t xml:space="preserve">: </w:t>
      </w:r>
      <w:r w:rsidRPr="0098044E">
        <w:rPr>
          <w:u w:val="single"/>
        </w:rPr>
        <w:t>Si un mélange testé qui respecte les critères d</w:t>
      </w:r>
      <w:r w:rsidR="00CA5971" w:rsidRPr="0098044E">
        <w:rPr>
          <w:u w:val="single"/>
        </w:rPr>
        <w:t>’</w:t>
      </w:r>
      <w:r w:rsidRPr="0098044E">
        <w:rPr>
          <w:u w:val="single"/>
        </w:rPr>
        <w:t>inclusion du groupe d</w:t>
      </w:r>
      <w:r w:rsidR="00CA5971" w:rsidRPr="0098044E">
        <w:rPr>
          <w:u w:val="single"/>
        </w:rPr>
        <w:t>’</w:t>
      </w:r>
      <w:r w:rsidRPr="0098044E">
        <w:rPr>
          <w:u w:val="single"/>
        </w:rPr>
        <w:t>emballage I est un concentré, le mélange le plus concentré non testé peut être affecté au groupe d</w:t>
      </w:r>
      <w:r w:rsidR="00CA5971" w:rsidRPr="0098044E">
        <w:rPr>
          <w:u w:val="single"/>
        </w:rPr>
        <w:t>’</w:t>
      </w:r>
      <w:r w:rsidRPr="0098044E">
        <w:rPr>
          <w:u w:val="single"/>
        </w:rPr>
        <w:t>emballage I sans essai supplémentaire.</w:t>
      </w:r>
    </w:p>
    <w:p w14:paraId="46B6568F" w14:textId="0A417E1F" w:rsidR="00D15364" w:rsidRPr="007332D2" w:rsidRDefault="00D15364" w:rsidP="007332D2">
      <w:pPr>
        <w:pStyle w:val="SingleTxtG"/>
        <w:ind w:left="2268"/>
        <w:rPr>
          <w:u w:val="single"/>
        </w:rPr>
      </w:pPr>
      <w:r w:rsidRPr="007332D2">
        <w:rPr>
          <w:u w:val="single"/>
        </w:rPr>
        <w:lastRenderedPageBreak/>
        <w:t>(d)</w:t>
      </w:r>
      <w:r w:rsidRPr="007332D2">
        <w:rPr>
          <w:u w:val="single"/>
        </w:rPr>
        <w:tab/>
      </w:r>
      <w:r w:rsidRPr="007332D2">
        <w:rPr>
          <w:b/>
          <w:u w:val="single"/>
        </w:rPr>
        <w:t>Interpolation au sein d</w:t>
      </w:r>
      <w:r w:rsidR="00CA5971" w:rsidRPr="007332D2">
        <w:rPr>
          <w:b/>
          <w:u w:val="single"/>
        </w:rPr>
        <w:t>’</w:t>
      </w:r>
      <w:r w:rsidRPr="007332D2">
        <w:rPr>
          <w:b/>
          <w:u w:val="single"/>
        </w:rPr>
        <w:t>un même groupe d</w:t>
      </w:r>
      <w:r w:rsidR="00CA5971" w:rsidRPr="007332D2">
        <w:rPr>
          <w:b/>
          <w:u w:val="single"/>
        </w:rPr>
        <w:t>’</w:t>
      </w:r>
      <w:r w:rsidRPr="007332D2">
        <w:rPr>
          <w:b/>
          <w:u w:val="single"/>
        </w:rPr>
        <w:t>emballage </w:t>
      </w:r>
      <w:r w:rsidR="00715A98" w:rsidRPr="007332D2">
        <w:rPr>
          <w:u w:val="single"/>
        </w:rPr>
        <w:t xml:space="preserve">: </w:t>
      </w:r>
      <w:r w:rsidRPr="007332D2">
        <w:rPr>
          <w:u w:val="single"/>
        </w:rPr>
        <w:t>Dans le cas de trois mélanges (X, Y et Z) aux composantes identiques, où les mélanges X et Y ont fait l</w:t>
      </w:r>
      <w:r w:rsidR="00CA5971" w:rsidRPr="007332D2">
        <w:rPr>
          <w:u w:val="single"/>
        </w:rPr>
        <w:t>’</w:t>
      </w:r>
      <w:r w:rsidRPr="007332D2">
        <w:rPr>
          <w:u w:val="single"/>
        </w:rPr>
        <w:t>objet d</w:t>
      </w:r>
      <w:r w:rsidR="00CA5971" w:rsidRPr="007332D2">
        <w:rPr>
          <w:u w:val="single"/>
        </w:rPr>
        <w:t>’</w:t>
      </w:r>
      <w:r w:rsidRPr="007332D2">
        <w:rPr>
          <w:u w:val="single"/>
        </w:rPr>
        <w:t>épreuves et relèvent du même groupe d</w:t>
      </w:r>
      <w:r w:rsidR="00CA5971" w:rsidRPr="007332D2">
        <w:rPr>
          <w:u w:val="single"/>
        </w:rPr>
        <w:t>’</w:t>
      </w:r>
      <w:r w:rsidRPr="007332D2">
        <w:rPr>
          <w:u w:val="single"/>
        </w:rPr>
        <w:t>emballage en raison de leur pouvoir de corrosion cutanée, et supposant que le mélange non testé Z contienne les mêmes principes actifs que les mélanges X et Y, mais a des concentrations intermédiaires à ceux-ci, on estime que le mélange Z relève du même groupe d</w:t>
      </w:r>
      <w:r w:rsidR="00CA5971" w:rsidRPr="007332D2">
        <w:rPr>
          <w:u w:val="single"/>
        </w:rPr>
        <w:t>’</w:t>
      </w:r>
      <w:r w:rsidRPr="007332D2">
        <w:rPr>
          <w:u w:val="single"/>
        </w:rPr>
        <w:t xml:space="preserve">emballage que X et Y. </w:t>
      </w:r>
    </w:p>
    <w:p w14:paraId="5C239273" w14:textId="577F30E9" w:rsidR="00D15364" w:rsidRPr="000E2EAC" w:rsidRDefault="00D15364" w:rsidP="007332D2">
      <w:pPr>
        <w:pStyle w:val="SingleTxtG"/>
        <w:ind w:left="2268"/>
      </w:pPr>
      <w:r w:rsidRPr="007332D2">
        <w:rPr>
          <w:u w:val="single"/>
        </w:rPr>
        <w:t>(e)</w:t>
      </w:r>
      <w:r w:rsidRPr="007332D2">
        <w:rPr>
          <w:u w:val="single"/>
        </w:rPr>
        <w:tab/>
      </w:r>
      <w:r w:rsidRPr="007332D2">
        <w:rPr>
          <w:b/>
          <w:u w:val="single"/>
        </w:rPr>
        <w:t>Mélanges essentiellement similaires</w:t>
      </w:r>
      <w:r w:rsidRPr="007332D2">
        <w:rPr>
          <w:u w:val="single"/>
        </w:rPr>
        <w:t>, soit:</w:t>
      </w:r>
    </w:p>
    <w:p w14:paraId="5BB63232" w14:textId="6D4886B5" w:rsidR="00D15364" w:rsidRPr="00386021" w:rsidRDefault="00D15364" w:rsidP="00386021">
      <w:pPr>
        <w:pStyle w:val="SingleTxtG"/>
        <w:ind w:left="2268" w:firstLine="567"/>
        <w:rPr>
          <w:u w:val="single"/>
        </w:rPr>
      </w:pPr>
      <w:r w:rsidRPr="00386021">
        <w:rPr>
          <w:u w:val="single"/>
        </w:rPr>
        <w:t>(i)</w:t>
      </w:r>
      <w:r w:rsidRPr="00386021">
        <w:rPr>
          <w:u w:val="single"/>
        </w:rPr>
        <w:tab/>
      </w:r>
      <w:r w:rsidR="00715A98" w:rsidRPr="00386021">
        <w:rPr>
          <w:u w:val="single"/>
        </w:rPr>
        <w:t xml:space="preserve">Deux mélanges : </w:t>
      </w:r>
      <w:r w:rsidRPr="00386021">
        <w:rPr>
          <w:u w:val="single"/>
        </w:rPr>
        <w:t>(X + Y) et (Z + Y);</w:t>
      </w:r>
    </w:p>
    <w:p w14:paraId="77B0A1FF" w14:textId="77777777" w:rsidR="00D15364" w:rsidRPr="007332D2" w:rsidRDefault="00D15364" w:rsidP="007332D2">
      <w:pPr>
        <w:pStyle w:val="SingleTxtG"/>
        <w:ind w:left="2835"/>
        <w:rPr>
          <w:u w:val="single"/>
        </w:rPr>
      </w:pPr>
      <w:r w:rsidRPr="007332D2">
        <w:rPr>
          <w:u w:val="single"/>
        </w:rPr>
        <w:t>(ii)</w:t>
      </w:r>
      <w:r w:rsidRPr="007332D2">
        <w:rPr>
          <w:u w:val="single"/>
        </w:rPr>
        <w:tab/>
        <w:t>La concentration de la composante Y est la même dans les deux mélanges;</w:t>
      </w:r>
    </w:p>
    <w:p w14:paraId="4E439AD0" w14:textId="77777777" w:rsidR="00D15364" w:rsidRPr="007332D2" w:rsidRDefault="00D15364" w:rsidP="007332D2">
      <w:pPr>
        <w:pStyle w:val="SingleTxtG"/>
        <w:ind w:left="2835"/>
        <w:rPr>
          <w:u w:val="single"/>
        </w:rPr>
      </w:pPr>
      <w:r w:rsidRPr="007332D2">
        <w:rPr>
          <w:u w:val="single"/>
        </w:rPr>
        <w:t>La concentration de la composante X dans le mélange (X + Y) est égale à la concentration de la composante Z dans le mélange (Z + Y);</w:t>
      </w:r>
    </w:p>
    <w:p w14:paraId="1296FC0D" w14:textId="08995098" w:rsidR="00D15364" w:rsidRPr="007332D2" w:rsidRDefault="00D15364" w:rsidP="007332D2">
      <w:pPr>
        <w:pStyle w:val="SingleTxtG"/>
        <w:ind w:left="2835"/>
        <w:rPr>
          <w:u w:val="single"/>
        </w:rPr>
      </w:pPr>
      <w:r w:rsidRPr="007332D2">
        <w:rPr>
          <w:u w:val="single"/>
        </w:rPr>
        <w:t>(iv)</w:t>
      </w:r>
      <w:r w:rsidRPr="007332D2">
        <w:rPr>
          <w:u w:val="single"/>
        </w:rPr>
        <w:tab/>
        <w:t>Des données sur la corrosivité des composantes X et Z sont disponibles et substantiellement équivalentes (c.-à-d. celles-ci relèvent du même groupe d</w:t>
      </w:r>
      <w:r w:rsidR="00CA5971" w:rsidRPr="007332D2">
        <w:rPr>
          <w:u w:val="single"/>
        </w:rPr>
        <w:t>’</w:t>
      </w:r>
      <w:r w:rsidRPr="007332D2">
        <w:rPr>
          <w:u w:val="single"/>
        </w:rPr>
        <w:t>emballage et n</w:t>
      </w:r>
      <w:r w:rsidR="00CA5971" w:rsidRPr="007332D2">
        <w:rPr>
          <w:u w:val="single"/>
        </w:rPr>
        <w:t>’</w:t>
      </w:r>
      <w:r w:rsidRPr="007332D2">
        <w:rPr>
          <w:u w:val="single"/>
        </w:rPr>
        <w:t>ont aucune incidence sur le pouvoir de corrosion cutanée de la composante Y).</w:t>
      </w:r>
    </w:p>
    <w:p w14:paraId="45503412" w14:textId="7CEECC1C" w:rsidR="00D15364" w:rsidRPr="007332D2" w:rsidRDefault="00D15364" w:rsidP="007332D2">
      <w:pPr>
        <w:pStyle w:val="SingleTxtG"/>
        <w:ind w:left="2835"/>
        <w:rPr>
          <w:u w:val="single"/>
        </w:rPr>
      </w:pPr>
      <w:r w:rsidRPr="007332D2">
        <w:rPr>
          <w:u w:val="single"/>
        </w:rPr>
        <w:t>Si l</w:t>
      </w:r>
      <w:r w:rsidR="00CA5971" w:rsidRPr="007332D2">
        <w:rPr>
          <w:u w:val="single"/>
        </w:rPr>
        <w:t>’</w:t>
      </w:r>
      <w:r w:rsidRPr="007332D2">
        <w:rPr>
          <w:u w:val="single"/>
        </w:rPr>
        <w:t>un des mélanges (X + Y) ou (Z + Y) a déjà été classé sur la base de données d</w:t>
      </w:r>
      <w:r w:rsidR="00CA5971" w:rsidRPr="007332D2">
        <w:rPr>
          <w:u w:val="single"/>
        </w:rPr>
        <w:t>’</w:t>
      </w:r>
      <w:r w:rsidRPr="007332D2">
        <w:rPr>
          <w:u w:val="single"/>
        </w:rPr>
        <w:t>épreuves, l</w:t>
      </w:r>
      <w:r w:rsidR="00CA5971" w:rsidRPr="007332D2">
        <w:rPr>
          <w:u w:val="single"/>
        </w:rPr>
        <w:t>’</w:t>
      </w:r>
      <w:r w:rsidRPr="007332D2">
        <w:rPr>
          <w:u w:val="single"/>
        </w:rPr>
        <w:t>autre mélange peut être affecté au même groupe d</w:t>
      </w:r>
      <w:r w:rsidR="00CA5971" w:rsidRPr="007332D2">
        <w:rPr>
          <w:u w:val="single"/>
        </w:rPr>
        <w:t>’</w:t>
      </w:r>
      <w:r w:rsidRPr="007332D2">
        <w:rPr>
          <w:u w:val="single"/>
        </w:rPr>
        <w:t>emballage.</w:t>
      </w:r>
    </w:p>
    <w:p w14:paraId="2EC8F52F" w14:textId="218602A2" w:rsidR="00D15364" w:rsidRPr="007332D2" w:rsidRDefault="00D15364" w:rsidP="007332D2">
      <w:pPr>
        <w:pStyle w:val="SingleTxtG"/>
        <w:rPr>
          <w:bCs/>
          <w:i/>
          <w:u w:val="single"/>
        </w:rPr>
      </w:pPr>
      <w:r w:rsidRPr="007332D2">
        <w:rPr>
          <w:i/>
          <w:u w:val="single"/>
        </w:rPr>
        <w:t>2.8.4.3</w:t>
      </w:r>
      <w:r w:rsidRPr="007332D2">
        <w:rPr>
          <w:i/>
          <w:u w:val="single"/>
        </w:rPr>
        <w:tab/>
      </w:r>
      <w:r w:rsidR="007332D2" w:rsidRPr="007332D2">
        <w:rPr>
          <w:i/>
          <w:u w:val="single"/>
        </w:rPr>
        <w:tab/>
      </w:r>
      <w:r w:rsidRPr="007332D2">
        <w:rPr>
          <w:i/>
          <w:u w:val="single"/>
        </w:rPr>
        <w:t>Méthode de calcul fondée sur la classification des matières</w:t>
      </w:r>
    </w:p>
    <w:p w14:paraId="4894D78F" w14:textId="309A2B8E" w:rsidR="00D15364" w:rsidRPr="007332D2" w:rsidRDefault="00D15364" w:rsidP="007332D2">
      <w:pPr>
        <w:pStyle w:val="SingleTxtG"/>
        <w:rPr>
          <w:u w:val="single"/>
        </w:rPr>
      </w:pPr>
      <w:r w:rsidRPr="007332D2">
        <w:rPr>
          <w:u w:val="single"/>
        </w:rPr>
        <w:t xml:space="preserve">2.8.4.3.1 </w:t>
      </w:r>
      <w:r w:rsidRPr="007332D2">
        <w:rPr>
          <w:u w:val="single"/>
        </w:rPr>
        <w:tab/>
        <w:t>Lorsqu</w:t>
      </w:r>
      <w:r w:rsidR="00CA5971" w:rsidRPr="007332D2">
        <w:rPr>
          <w:u w:val="single"/>
        </w:rPr>
        <w:t>’</w:t>
      </w:r>
      <w:r w:rsidRPr="007332D2">
        <w:rPr>
          <w:u w:val="single"/>
        </w:rPr>
        <w:t>un mélange n</w:t>
      </w:r>
      <w:r w:rsidR="00CA5971" w:rsidRPr="007332D2">
        <w:rPr>
          <w:u w:val="single"/>
        </w:rPr>
        <w:t>’</w:t>
      </w:r>
      <w:r w:rsidRPr="007332D2">
        <w:rPr>
          <w:u w:val="single"/>
        </w:rPr>
        <w:t>a pas été tes</w:t>
      </w:r>
      <w:r w:rsidR="00715A98" w:rsidRPr="007332D2">
        <w:rPr>
          <w:u w:val="single"/>
        </w:rPr>
        <w:t>té pour ce qui est de sa corrosion</w:t>
      </w:r>
      <w:r w:rsidRPr="007332D2">
        <w:rPr>
          <w:u w:val="single"/>
        </w:rPr>
        <w:t xml:space="preserve"> cutanée et que les données sur les mélanges similaires sont insuffisantes, les propriétés corrosives des matières du mélange doivent être prises en considération aux fins de classification et d</w:t>
      </w:r>
      <w:r w:rsidR="00CA5971" w:rsidRPr="007332D2">
        <w:rPr>
          <w:u w:val="single"/>
        </w:rPr>
        <w:t>’</w:t>
      </w:r>
      <w:r w:rsidRPr="007332D2">
        <w:rPr>
          <w:u w:val="single"/>
        </w:rPr>
        <w:t>affectation aux groupes d</w:t>
      </w:r>
      <w:r w:rsidR="00CA5971" w:rsidRPr="007332D2">
        <w:rPr>
          <w:u w:val="single"/>
        </w:rPr>
        <w:t>’</w:t>
      </w:r>
      <w:r w:rsidRPr="007332D2">
        <w:rPr>
          <w:u w:val="single"/>
        </w:rPr>
        <w:t>emballage. Cela est possible lorsque toutes les matières corrosives du mélange, qui ont une concentration supérieure à 1 %, sont prises en considération aux fins de classification conformément au chapitre 2.</w:t>
      </w:r>
    </w:p>
    <w:p w14:paraId="56F72316" w14:textId="38312E78" w:rsidR="00D15364" w:rsidRPr="007332D2" w:rsidRDefault="00D15364" w:rsidP="007332D2">
      <w:pPr>
        <w:pStyle w:val="SingleTxtG"/>
        <w:rPr>
          <w:u w:val="single"/>
        </w:rPr>
      </w:pPr>
      <w:r w:rsidRPr="007332D2">
        <w:rPr>
          <w:u w:val="single"/>
        </w:rPr>
        <w:t>L</w:t>
      </w:r>
      <w:r w:rsidR="00CA5971" w:rsidRPr="007332D2">
        <w:rPr>
          <w:u w:val="single"/>
        </w:rPr>
        <w:t>’</w:t>
      </w:r>
      <w:r w:rsidRPr="007332D2">
        <w:rPr>
          <w:u w:val="single"/>
        </w:rPr>
        <w:t>utilisation de la méthode de calcul n</w:t>
      </w:r>
      <w:r w:rsidR="00CA5971" w:rsidRPr="007332D2">
        <w:rPr>
          <w:u w:val="single"/>
        </w:rPr>
        <w:t>’</w:t>
      </w:r>
      <w:r w:rsidRPr="007332D2">
        <w:rPr>
          <w:u w:val="single"/>
        </w:rPr>
        <w:t>est autorisée que si des effets synergiques connus rendent le mélange plus corrosif que la somme de ses matières. Cette restriction s</w:t>
      </w:r>
      <w:r w:rsidR="00CA5971" w:rsidRPr="007332D2">
        <w:rPr>
          <w:u w:val="single"/>
        </w:rPr>
        <w:t>’</w:t>
      </w:r>
      <w:r w:rsidRPr="007332D2">
        <w:rPr>
          <w:u w:val="single"/>
        </w:rPr>
        <w:t>applique uniquement si le mélange est affecté au groupe d</w:t>
      </w:r>
      <w:r w:rsidR="00CA5971" w:rsidRPr="007332D2">
        <w:rPr>
          <w:u w:val="single"/>
        </w:rPr>
        <w:t>’</w:t>
      </w:r>
      <w:r w:rsidRPr="007332D2">
        <w:rPr>
          <w:u w:val="single"/>
        </w:rPr>
        <w:t>emballage II ou III.</w:t>
      </w:r>
    </w:p>
    <w:p w14:paraId="31A2CF72" w14:textId="447FC12A" w:rsidR="00D15364" w:rsidRPr="007332D2" w:rsidRDefault="00D15364" w:rsidP="007332D2">
      <w:pPr>
        <w:pStyle w:val="SingleTxtG"/>
        <w:rPr>
          <w:u w:val="single"/>
        </w:rPr>
      </w:pPr>
      <w:r w:rsidRPr="007332D2">
        <w:rPr>
          <w:u w:val="single"/>
        </w:rPr>
        <w:t>2.8.4.3.2</w:t>
      </w:r>
      <w:r w:rsidRPr="007332D2">
        <w:rPr>
          <w:u w:val="single"/>
        </w:rPr>
        <w:tab/>
        <w:t>La valeur seuil générique des matières corrosives qui doit être prise en considération correspond à 1 % ou à &lt; 1 % s</w:t>
      </w:r>
      <w:r w:rsidR="00CA5971" w:rsidRPr="007332D2">
        <w:rPr>
          <w:u w:val="single"/>
        </w:rPr>
        <w:t>’</w:t>
      </w:r>
      <w:r w:rsidRPr="007332D2">
        <w:rPr>
          <w:u w:val="single"/>
        </w:rPr>
        <w:t>il est présumé que les ingrédients dont la concentration est de &lt; 1 % sont toujours pertinents aux fins de classification du mélange potentiellement corrosif pour la peau.</w:t>
      </w:r>
    </w:p>
    <w:p w14:paraId="0179FBEA" w14:textId="4003092B" w:rsidR="00D15364" w:rsidRPr="007332D2" w:rsidRDefault="00D15364" w:rsidP="007332D2">
      <w:pPr>
        <w:pStyle w:val="SingleTxtG"/>
        <w:rPr>
          <w:u w:val="single"/>
        </w:rPr>
      </w:pPr>
      <w:r w:rsidRPr="007332D2">
        <w:rPr>
          <w:u w:val="single"/>
        </w:rPr>
        <w:t>2.8.4.3.3</w:t>
      </w:r>
      <w:r w:rsidRPr="007332D2">
        <w:rPr>
          <w:u w:val="single"/>
        </w:rPr>
        <w:tab/>
        <w:t>Pour déterminer si un mélange contenant des substances corrosives doit être considéré comme un mélange corrosif et être affecté à un groupe d</w:t>
      </w:r>
      <w:r w:rsidR="00CA5971" w:rsidRPr="007332D2">
        <w:rPr>
          <w:u w:val="single"/>
        </w:rPr>
        <w:t>’</w:t>
      </w:r>
      <w:r w:rsidRPr="007332D2">
        <w:rPr>
          <w:u w:val="single"/>
        </w:rPr>
        <w:t>emballage, la méthode de calcul de l</w:t>
      </w:r>
      <w:r w:rsidR="00CA5971" w:rsidRPr="007332D2">
        <w:rPr>
          <w:u w:val="single"/>
        </w:rPr>
        <w:t>’</w:t>
      </w:r>
      <w:r w:rsidRPr="007332D2">
        <w:rPr>
          <w:u w:val="single"/>
        </w:rPr>
        <w:t>organigramme de la figure 2.8.4.3 doit être utilisée. Lorsqu</w:t>
      </w:r>
      <w:r w:rsidR="00CA5971" w:rsidRPr="007332D2">
        <w:rPr>
          <w:u w:val="single"/>
        </w:rPr>
        <w:t>’</w:t>
      </w:r>
      <w:r w:rsidRPr="007332D2">
        <w:rPr>
          <w:u w:val="single"/>
        </w:rPr>
        <w:t>une limite de concentration précise est attribuée à une matière à la suite de son intégration à la Liste des marchandises dangereuses ou à une disposition spéciale, cette limite doit être utilisée en remplacement des limites génériques de la figure 2.8.4.3.</w:t>
      </w:r>
    </w:p>
    <w:p w14:paraId="34A368B2" w14:textId="77777777" w:rsidR="007332D2" w:rsidRDefault="007332D2">
      <w:pPr>
        <w:suppressAutoHyphens w:val="0"/>
        <w:spacing w:line="240" w:lineRule="auto"/>
        <w:rPr>
          <w:rFonts w:eastAsiaTheme="minorHAnsi"/>
          <w:b/>
          <w:color w:val="000000"/>
          <w:szCs w:val="24"/>
          <w:u w:val="single"/>
        </w:rPr>
      </w:pPr>
      <w:r>
        <w:rPr>
          <w:b/>
          <w:u w:val="single"/>
        </w:rPr>
        <w:br w:type="page"/>
      </w:r>
    </w:p>
    <w:p w14:paraId="0B8791AD" w14:textId="2D1FB65A" w:rsidR="00D15364" w:rsidRDefault="00D15364" w:rsidP="007332D2">
      <w:pPr>
        <w:pStyle w:val="Default"/>
        <w:spacing w:before="120" w:after="240"/>
        <w:ind w:left="1134"/>
        <w:rPr>
          <w:noProof/>
          <w:u w:val="single"/>
        </w:rPr>
      </w:pPr>
      <w:r w:rsidRPr="002C7EE4">
        <w:rPr>
          <w:b/>
          <w:sz w:val="20"/>
          <w:u w:val="single"/>
        </w:rPr>
        <w:lastRenderedPageBreak/>
        <w:t>Figure 2.8.4.3</w:t>
      </w:r>
      <w:r>
        <w:rPr>
          <w:b/>
          <w:sz w:val="20"/>
          <w:u w:val="single"/>
        </w:rPr>
        <w:t> : Méthode de calcul</w:t>
      </w:r>
      <w:r>
        <w:rPr>
          <w:noProof/>
          <w:u w:val="single"/>
        </w:rPr>
        <w:t xml:space="preserve"> </w:t>
      </w:r>
    </w:p>
    <w:p w14:paraId="607BEAF4" w14:textId="0023CA26" w:rsidR="00FC7A5C" w:rsidRPr="00781B4E" w:rsidRDefault="00FC7A5C" w:rsidP="00FC7A5C">
      <w:pPr>
        <w:pStyle w:val="Default"/>
        <w:rPr>
          <w:b/>
          <w:sz w:val="20"/>
          <w:szCs w:val="20"/>
          <w:u w:val="single"/>
        </w:rPr>
      </w:pPr>
      <w:r>
        <w:rPr>
          <w:b/>
          <w:noProof/>
          <w:sz w:val="20"/>
          <w:szCs w:val="20"/>
          <w:u w:val="single"/>
          <w:lang w:val="en-GB" w:eastAsia="en-GB" w:bidi="ar-SA"/>
        </w:rPr>
        <w:drawing>
          <wp:inline distT="0" distB="0" distL="0" distR="0" wp14:anchorId="27CF7A58" wp14:editId="70B54E32">
            <wp:extent cx="6134972" cy="25173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67941" cy="2530877"/>
                    </a:xfrm>
                    <a:prstGeom prst="rect">
                      <a:avLst/>
                    </a:prstGeom>
                    <a:noFill/>
                  </pic:spPr>
                </pic:pic>
              </a:graphicData>
            </a:graphic>
          </wp:inline>
        </w:drawing>
      </w:r>
    </w:p>
    <w:p w14:paraId="398E63B3" w14:textId="62237FE2" w:rsidR="00D15364" w:rsidRPr="0048596A" w:rsidRDefault="007332D2" w:rsidP="007332D2">
      <w:pPr>
        <w:pStyle w:val="H1G"/>
        <w:rPr>
          <w:bCs/>
          <w:szCs w:val="22"/>
        </w:rPr>
      </w:pPr>
      <w:r w:rsidRPr="007332D2">
        <w:tab/>
      </w:r>
      <w:r w:rsidRPr="007332D2">
        <w:tab/>
      </w:r>
      <w:r w:rsidR="00D15364">
        <w:rPr>
          <w:strike/>
        </w:rPr>
        <w:t>2.8.3</w:t>
      </w:r>
      <w:r w:rsidR="00D15364">
        <w:rPr>
          <w:u w:val="single"/>
        </w:rPr>
        <w:t>2.8.5</w:t>
      </w:r>
      <w:r w:rsidR="00D15364">
        <w:t xml:space="preserve"> </w:t>
      </w:r>
      <w:r w:rsidR="00D15364">
        <w:tab/>
        <w:t>Matières refusées pour le transport</w:t>
      </w:r>
    </w:p>
    <w:p w14:paraId="06E305C4" w14:textId="6FF1EA54" w:rsidR="00D15364" w:rsidRPr="00781B4E" w:rsidRDefault="00D15364" w:rsidP="007332D2">
      <w:pPr>
        <w:pStyle w:val="SingleTxtG"/>
        <w:rPr>
          <w:bCs/>
        </w:rPr>
      </w:pPr>
      <w:r>
        <w:t>Les matières instables chimiquement de la classe 8 ne doivent pas être acceptées pour le transport, à moins de prendre les précautions requises pour empêcher le risque d</w:t>
      </w:r>
      <w:r w:rsidR="00CA5971">
        <w:t>’</w:t>
      </w:r>
      <w:r>
        <w:t>une décomposition dangereuse ou qu</w:t>
      </w:r>
      <w:r w:rsidR="00CA5971">
        <w:t>’</w:t>
      </w:r>
      <w:r>
        <w:t>une polymérisation ne survienne dans des conditions normales de transport. Pour connaître les précautions nécessaires afin d</w:t>
      </w:r>
      <w:r w:rsidR="00CA5971">
        <w:t>’</w:t>
      </w:r>
      <w:r>
        <w:t>empêcher la polymérisation, voir la disposition spéciale 386 du chapitre 3.3. À cette fin, des précautions particulières devront être prises pour s</w:t>
      </w:r>
      <w:r w:rsidR="00CA5971">
        <w:t>’</w:t>
      </w:r>
      <w:r>
        <w:t>assurer que les contenants et les réservoirs ne contiennent aucune matière pouvant provoquer ces réactions.</w:t>
      </w:r>
    </w:p>
    <w:p w14:paraId="4E60EED8" w14:textId="77777777" w:rsidR="00D15364" w:rsidRDefault="00D15364">
      <w:pPr>
        <w:suppressAutoHyphens w:val="0"/>
        <w:spacing w:line="240" w:lineRule="auto"/>
        <w:rPr>
          <w:rFonts w:eastAsiaTheme="minorHAnsi"/>
          <w:b/>
          <w:bCs/>
          <w:color w:val="000000"/>
          <w:sz w:val="28"/>
          <w:szCs w:val="28"/>
        </w:rPr>
      </w:pPr>
    </w:p>
    <w:p w14:paraId="77B7A89C" w14:textId="77777777" w:rsidR="00EE5977" w:rsidRDefault="00EE5977" w:rsidP="005F2F03">
      <w:pPr>
        <w:pStyle w:val="Default"/>
        <w:rPr>
          <w:b/>
          <w:bCs/>
          <w:sz w:val="28"/>
          <w:szCs w:val="28"/>
        </w:rPr>
        <w:sectPr w:rsidR="00EE5977" w:rsidSect="00E478CC">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39" w:code="9"/>
          <w:pgMar w:top="1701" w:right="1134" w:bottom="2268" w:left="1134" w:header="1134" w:footer="1701" w:gutter="0"/>
          <w:cols w:space="708"/>
          <w:titlePg/>
          <w:docGrid w:linePitch="360"/>
        </w:sectPr>
      </w:pPr>
    </w:p>
    <w:p w14:paraId="5BCC6833" w14:textId="77777777" w:rsidR="005F2F03" w:rsidRDefault="005F2F03" w:rsidP="00746066">
      <w:pPr>
        <w:pStyle w:val="HChG"/>
        <w:rPr>
          <w:bCs/>
          <w:szCs w:val="28"/>
        </w:rPr>
      </w:pPr>
      <w:r>
        <w:lastRenderedPageBreak/>
        <w:t>Annexe II</w:t>
      </w:r>
    </w:p>
    <w:p w14:paraId="116C4B7A" w14:textId="569EA02C" w:rsidR="005F2F03" w:rsidRDefault="00746066" w:rsidP="00746066">
      <w:pPr>
        <w:pStyle w:val="HChG"/>
        <w:rPr>
          <w:bCs/>
          <w:szCs w:val="23"/>
        </w:rPr>
      </w:pPr>
      <w:r>
        <w:tab/>
      </w:r>
      <w:r>
        <w:tab/>
      </w:r>
      <w:r w:rsidR="005F2F03">
        <w:t xml:space="preserve">Proposition de révision du chapitre 2.8 du Règlement type </w:t>
      </w:r>
    </w:p>
    <w:p w14:paraId="2086E0F7" w14:textId="43FF20CE" w:rsidR="005F2F03" w:rsidRPr="00746066" w:rsidRDefault="00746066" w:rsidP="00746066">
      <w:pPr>
        <w:pStyle w:val="HChG"/>
        <w:rPr>
          <w:bCs/>
          <w:szCs w:val="23"/>
        </w:rPr>
      </w:pPr>
      <w:r>
        <w:tab/>
      </w:r>
      <w:r>
        <w:tab/>
      </w:r>
      <w:r w:rsidR="005F2F03">
        <w:t>C</w:t>
      </w:r>
      <w:r>
        <w:t>hapitre</w:t>
      </w:r>
      <w:r w:rsidR="005F2F03">
        <w:t> 2.8</w:t>
      </w:r>
    </w:p>
    <w:p w14:paraId="7171218B" w14:textId="1AC04138" w:rsidR="005F2F03" w:rsidRDefault="00746066" w:rsidP="00746066">
      <w:pPr>
        <w:pStyle w:val="HChG"/>
        <w:rPr>
          <w:bCs/>
          <w:szCs w:val="23"/>
        </w:rPr>
      </w:pPr>
      <w:r>
        <w:tab/>
      </w:r>
      <w:r>
        <w:tab/>
      </w:r>
      <w:r w:rsidR="005F2F03">
        <w:t>C</w:t>
      </w:r>
      <w:r>
        <w:t>lasse</w:t>
      </w:r>
      <w:r w:rsidR="005F2F03">
        <w:t xml:space="preserve"> 8 – M</w:t>
      </w:r>
      <w:r>
        <w:t>atières corrosives</w:t>
      </w:r>
    </w:p>
    <w:p w14:paraId="3141FB66" w14:textId="33DD80A5" w:rsidR="005F2F03" w:rsidRDefault="00746066" w:rsidP="00746066">
      <w:pPr>
        <w:pStyle w:val="H1G"/>
        <w:rPr>
          <w:bCs/>
          <w:szCs w:val="23"/>
          <w:u w:val="single"/>
        </w:rPr>
      </w:pPr>
      <w:r>
        <w:tab/>
      </w:r>
      <w:r>
        <w:tab/>
      </w:r>
      <w:r w:rsidR="005F2F03">
        <w:t>2.8.1</w:t>
      </w:r>
      <w:r w:rsidR="005F2F03">
        <w:tab/>
      </w:r>
      <w:r>
        <w:tab/>
      </w:r>
      <w:r w:rsidR="005F2F03">
        <w:t>Définition et dispositions générales</w:t>
      </w:r>
      <w:r w:rsidR="005F2F03">
        <w:rPr>
          <w:u w:val="single"/>
        </w:rPr>
        <w:t xml:space="preserve"> </w:t>
      </w:r>
    </w:p>
    <w:p w14:paraId="49D2ACE3" w14:textId="36B5AA60" w:rsidR="005F2F03" w:rsidRPr="00715A98" w:rsidRDefault="005F2F03" w:rsidP="00746066">
      <w:pPr>
        <w:pStyle w:val="SingleTxtG"/>
      </w:pPr>
      <w:r>
        <w:t>2.8.1.1</w:t>
      </w:r>
      <w:r>
        <w:rPr>
          <w:i/>
        </w:rPr>
        <w:t xml:space="preserve"> </w:t>
      </w:r>
      <w:r>
        <w:tab/>
      </w:r>
      <w:r w:rsidRPr="00715A98">
        <w:t>Les matières corrosives sont des matières qui, par action chimique, causent des dommages irréversibles à la peau ou qui, en cas de fuite, peuvent endommager sérieusement ou même détruire d</w:t>
      </w:r>
      <w:r w:rsidR="00CA5971" w:rsidRPr="00715A98">
        <w:t>’</w:t>
      </w:r>
      <w:r w:rsidRPr="00715A98">
        <w:t xml:space="preserve">autres marchandises ou les engins de transport. </w:t>
      </w:r>
    </w:p>
    <w:p w14:paraId="4671F1BD" w14:textId="6088010C" w:rsidR="005F2F03" w:rsidRPr="00715A98" w:rsidRDefault="005F2F03" w:rsidP="00746066">
      <w:pPr>
        <w:pStyle w:val="SingleTxtG"/>
      </w:pPr>
      <w:r w:rsidRPr="00715A98">
        <w:t xml:space="preserve">2.8.1.2 </w:t>
      </w:r>
      <w:r w:rsidRPr="00715A98">
        <w:tab/>
        <w:t>L</w:t>
      </w:r>
      <w:r w:rsidR="00CA5971" w:rsidRPr="00715A98">
        <w:t>’</w:t>
      </w:r>
      <w:r w:rsidRPr="00715A98">
        <w:t>affectation de matières et de mélanges corrosifs pour la peau aux groupes d</w:t>
      </w:r>
      <w:r w:rsidR="00CA5971" w:rsidRPr="00715A98">
        <w:t>’</w:t>
      </w:r>
      <w:r w:rsidRPr="00715A98">
        <w:t>emballage est déterminée au moyen des critères de la section 2.8.2. Une matière est corrosive pour la peau lorsqu</w:t>
      </w:r>
      <w:r w:rsidR="00CA5971" w:rsidRPr="00715A98">
        <w:t>’</w:t>
      </w:r>
      <w:r w:rsidRPr="00715A98">
        <w:t>elle entraîne la destruction du tissu cutané, c</w:t>
      </w:r>
      <w:r w:rsidR="00CA5971" w:rsidRPr="00715A98">
        <w:t>’</w:t>
      </w:r>
      <w:r w:rsidRPr="00715A98">
        <w:t>est-à-dire une nécrose visible traversant l</w:t>
      </w:r>
      <w:r w:rsidR="00CA5971" w:rsidRPr="00715A98">
        <w:t>’</w:t>
      </w:r>
      <w:r w:rsidRPr="00715A98">
        <w:t>épiderme et atteignant le derme, observée chez au moins un animal après une exposition d</w:t>
      </w:r>
      <w:r w:rsidR="00CA5971" w:rsidRPr="00715A98">
        <w:t>’</w:t>
      </w:r>
      <w:r w:rsidRPr="00715A98">
        <w:t>une durée allant jusqu</w:t>
      </w:r>
      <w:r w:rsidR="00CA5971" w:rsidRPr="00715A98">
        <w:t>’</w:t>
      </w:r>
      <w:r w:rsidRPr="00715A98">
        <w:t>à quatre heures. L</w:t>
      </w:r>
      <w:r w:rsidR="00CA5971" w:rsidRPr="00715A98">
        <w:t>’</w:t>
      </w:r>
      <w:r w:rsidRPr="00715A98">
        <w:t>affectation de matières aux groupes d</w:t>
      </w:r>
      <w:r w:rsidR="00CA5971" w:rsidRPr="00715A98">
        <w:t>’</w:t>
      </w:r>
      <w:r w:rsidRPr="00715A98">
        <w:t>emballages peut être effectuée selon les critères de la section 2.8.3, et celle des mélanges peut être réalisée conformément aux critères de la section 2.8.4.</w:t>
      </w:r>
    </w:p>
    <w:p w14:paraId="503FF4DB" w14:textId="01B13694" w:rsidR="005F2F03" w:rsidRPr="00715A98" w:rsidRDefault="005F2F03" w:rsidP="00746066">
      <w:pPr>
        <w:pStyle w:val="SingleTxtG"/>
      </w:pPr>
      <w:r w:rsidRPr="00715A98">
        <w:t xml:space="preserve">2.8.1.3 </w:t>
      </w:r>
      <w:r w:rsidRPr="00715A98">
        <w:tab/>
        <w:t>Les matières liquides et solides susceptibles de fondre pendant le transport, qui ne sont pas considérées comme corrosives pour la peau, doivent quand même être considérées comme potentiellement corrosives pour certaines surfaces métalliques, conformément aux critères du paragraphe</w:t>
      </w:r>
      <w:r w:rsidR="00715A98">
        <w:t xml:space="preserve"> 2.8.2.1</w:t>
      </w:r>
      <w:r w:rsidR="003B6364">
        <w:t xml:space="preserve"> (</w:t>
      </w:r>
      <w:r w:rsidRPr="003B6364">
        <w:t>c</w:t>
      </w:r>
      <w:r w:rsidR="00715A98">
        <w:t>)</w:t>
      </w:r>
      <w:r w:rsidR="003B6364">
        <w:t xml:space="preserve"> </w:t>
      </w:r>
      <w:r w:rsidRPr="00715A98">
        <w:t xml:space="preserve">(ii). </w:t>
      </w:r>
    </w:p>
    <w:p w14:paraId="086322CC" w14:textId="26810375" w:rsidR="005F2F03" w:rsidRPr="00746066" w:rsidRDefault="00746066" w:rsidP="00746066">
      <w:pPr>
        <w:pStyle w:val="H1G"/>
        <w:rPr>
          <w:bCs/>
          <w:szCs w:val="23"/>
        </w:rPr>
      </w:pPr>
      <w:r>
        <w:tab/>
      </w:r>
      <w:r>
        <w:tab/>
      </w:r>
      <w:r w:rsidR="005F2F03">
        <w:t>2.8.2</w:t>
      </w:r>
      <w:r w:rsidR="005F2F03">
        <w:tab/>
        <w:t>Affectation aux groupes d</w:t>
      </w:r>
      <w:r w:rsidR="00CA5971">
        <w:t>’</w:t>
      </w:r>
      <w:r w:rsidR="005F2F03">
        <w:t>emballage</w:t>
      </w:r>
    </w:p>
    <w:p w14:paraId="5E3AA86D" w14:textId="3667ABEC" w:rsidR="005F2F03" w:rsidRPr="00715A98" w:rsidRDefault="005F2F03" w:rsidP="00746066">
      <w:pPr>
        <w:pStyle w:val="SingleTxtG"/>
      </w:pPr>
      <w:r>
        <w:t xml:space="preserve">2.8.2.1 </w:t>
      </w:r>
      <w:r>
        <w:tab/>
      </w:r>
      <w:r w:rsidRPr="00715A98">
        <w:t>Les matières et les mélanges de la classe 8 doivent être classés dans trois groupes d</w:t>
      </w:r>
      <w:r w:rsidR="00CA5971" w:rsidRPr="00715A98">
        <w:t>’</w:t>
      </w:r>
      <w:r w:rsidRPr="00715A98">
        <w:t>emballage, selon le degré de risque qu</w:t>
      </w:r>
      <w:r w:rsidR="00CA5971" w:rsidRPr="00715A98">
        <w:t>’</w:t>
      </w:r>
      <w:r w:rsidRPr="00715A98">
        <w:t xml:space="preserve">ils présentent pour le transport, </w:t>
      </w:r>
      <w:r w:rsidR="003B6364">
        <w:t xml:space="preserve">d’après les critères suivants </w:t>
      </w:r>
      <w:r w:rsidRPr="00715A98">
        <w:t xml:space="preserve">: </w:t>
      </w:r>
    </w:p>
    <w:p w14:paraId="6D0C66BE" w14:textId="11403366" w:rsidR="005F2F03" w:rsidRPr="00715A98" w:rsidRDefault="005F2F03" w:rsidP="00746066">
      <w:pPr>
        <w:pStyle w:val="SingleTxtG"/>
        <w:ind w:left="2268"/>
      </w:pPr>
      <w:r w:rsidRPr="00715A98">
        <w:t>(a)</w:t>
      </w:r>
      <w:r w:rsidRPr="00715A98">
        <w:tab/>
      </w:r>
      <w:r w:rsidRPr="00715A98">
        <w:rPr>
          <w:i/>
        </w:rPr>
        <w:t>Groupe d</w:t>
      </w:r>
      <w:r w:rsidR="00CA5971" w:rsidRPr="00715A98">
        <w:rPr>
          <w:i/>
        </w:rPr>
        <w:t>’</w:t>
      </w:r>
      <w:r w:rsidRPr="00715A98">
        <w:rPr>
          <w:i/>
        </w:rPr>
        <w:t xml:space="preserve">emballage I </w:t>
      </w:r>
      <w:r w:rsidRPr="00715A98">
        <w:t> – matières et mélanges préparations très dangereux qui causent la destruction du tissu cutané sur toute son épaisseur, au cours d</w:t>
      </w:r>
      <w:r w:rsidR="00CA5971" w:rsidRPr="00715A98">
        <w:t>’</w:t>
      </w:r>
      <w:r w:rsidRPr="00715A98">
        <w:t>une période d</w:t>
      </w:r>
      <w:r w:rsidR="00CA5971" w:rsidRPr="00715A98">
        <w:t>’</w:t>
      </w:r>
      <w:r w:rsidRPr="00715A98">
        <w:t>observation de 60 minutes, après une durée d</w:t>
      </w:r>
      <w:r w:rsidR="00CA5971" w:rsidRPr="00715A98">
        <w:t>’</w:t>
      </w:r>
      <w:r w:rsidRPr="00715A98">
        <w:t xml:space="preserve">exposition de trois (3) minutes ou moins; </w:t>
      </w:r>
    </w:p>
    <w:p w14:paraId="004937DB" w14:textId="6E785E56" w:rsidR="005F2F03" w:rsidRPr="00715A98" w:rsidRDefault="005F2F03" w:rsidP="00746066">
      <w:pPr>
        <w:pStyle w:val="SingleTxtG"/>
        <w:ind w:left="2268"/>
      </w:pPr>
      <w:r w:rsidRPr="00715A98">
        <w:t xml:space="preserve">(b) </w:t>
      </w:r>
      <w:r w:rsidRPr="00715A98">
        <w:tab/>
      </w:r>
      <w:r w:rsidRPr="00715A98">
        <w:rPr>
          <w:i/>
        </w:rPr>
        <w:t>Groupe d</w:t>
      </w:r>
      <w:r w:rsidR="00CA5971" w:rsidRPr="00715A98">
        <w:rPr>
          <w:i/>
        </w:rPr>
        <w:t>’</w:t>
      </w:r>
      <w:r w:rsidRPr="00715A98">
        <w:rPr>
          <w:i/>
        </w:rPr>
        <w:t>emballage</w:t>
      </w:r>
      <w:r w:rsidRPr="00715A98">
        <w:t> </w:t>
      </w:r>
      <w:r w:rsidRPr="00715A98">
        <w:rPr>
          <w:i/>
        </w:rPr>
        <w:t>II</w:t>
      </w:r>
      <w:r w:rsidRPr="00715A98">
        <w:t> – matières et mélanges qui présentent un risque modéré et causent la destruction du tissu cutané sur toute son épaisseur, au cours d</w:t>
      </w:r>
      <w:r w:rsidR="00CA5971" w:rsidRPr="00715A98">
        <w:t>’</w:t>
      </w:r>
      <w:r w:rsidRPr="00715A98">
        <w:t>une période d</w:t>
      </w:r>
      <w:r w:rsidR="00CA5971" w:rsidRPr="00715A98">
        <w:t>’</w:t>
      </w:r>
      <w:r w:rsidRPr="00715A98">
        <w:t>observation de 14 jours, après une durée d</w:t>
      </w:r>
      <w:r w:rsidR="00CA5971" w:rsidRPr="00715A98">
        <w:t>’</w:t>
      </w:r>
      <w:r w:rsidRPr="00715A98">
        <w:t xml:space="preserve">exposition de 3 à 60 minutes; </w:t>
      </w:r>
    </w:p>
    <w:p w14:paraId="0A41E3E8" w14:textId="0547C160" w:rsidR="005F2F03" w:rsidRPr="00715A98" w:rsidRDefault="005F2F03" w:rsidP="00746066">
      <w:pPr>
        <w:pStyle w:val="SingleTxtG"/>
        <w:ind w:left="2268"/>
      </w:pPr>
      <w:r w:rsidRPr="00715A98">
        <w:t xml:space="preserve">(c) </w:t>
      </w:r>
      <w:r w:rsidRPr="00715A98">
        <w:tab/>
      </w:r>
      <w:r w:rsidRPr="00715A98">
        <w:rPr>
          <w:i/>
        </w:rPr>
        <w:t>Groupe d</w:t>
      </w:r>
      <w:r w:rsidR="00CA5971" w:rsidRPr="00715A98">
        <w:rPr>
          <w:i/>
        </w:rPr>
        <w:t>’</w:t>
      </w:r>
      <w:r w:rsidRPr="00715A98">
        <w:rPr>
          <w:i/>
        </w:rPr>
        <w:t>emballage III</w:t>
      </w:r>
      <w:r w:rsidRPr="00715A98">
        <w:t xml:space="preserve"> – matières et mélanges qui présentent un faible risque et </w:t>
      </w:r>
    </w:p>
    <w:p w14:paraId="16F07BD9" w14:textId="3E6E70BA" w:rsidR="005F2F03" w:rsidRDefault="00746066" w:rsidP="00746066">
      <w:pPr>
        <w:pStyle w:val="SingleTxtG"/>
        <w:ind w:left="2835"/>
      </w:pPr>
      <w:r>
        <w:t>(i)</w:t>
      </w:r>
      <w:r>
        <w:tab/>
      </w:r>
      <w:r w:rsidR="005F2F03" w:rsidRPr="00715A98">
        <w:t>peuvent causer la destruction du tissu cutané intact sur toute son épaisseur, au cours d</w:t>
      </w:r>
      <w:r w:rsidR="00CA5971" w:rsidRPr="00715A98">
        <w:t>’</w:t>
      </w:r>
      <w:r w:rsidR="005F2F03" w:rsidRPr="00715A98">
        <w:t>une période d</w:t>
      </w:r>
      <w:r w:rsidR="00CA5971" w:rsidRPr="00715A98">
        <w:t>’</w:t>
      </w:r>
      <w:r w:rsidR="005F2F03" w:rsidRPr="00715A98">
        <w:t>observation d</w:t>
      </w:r>
      <w:r w:rsidR="00CA5971" w:rsidRPr="00715A98">
        <w:t>’</w:t>
      </w:r>
      <w:r w:rsidR="005F2F03" w:rsidRPr="00715A98">
        <w:t>un maximum</w:t>
      </w:r>
      <w:r w:rsidR="005F2F03">
        <w:t xml:space="preserve"> de 14 jours, après une durée d</w:t>
      </w:r>
      <w:r w:rsidR="00CA5971">
        <w:t>’</w:t>
      </w:r>
      <w:r w:rsidR="005F2F03">
        <w:t>exposition de 60 minutes à 4 heures;</w:t>
      </w:r>
    </w:p>
    <w:p w14:paraId="22CBE763" w14:textId="77777777" w:rsidR="007F0D2A" w:rsidRPr="00584C18" w:rsidRDefault="007F0D2A" w:rsidP="007F0D2A">
      <w:pPr>
        <w:pStyle w:val="ListParagraph"/>
        <w:ind w:left="2844"/>
      </w:pPr>
    </w:p>
    <w:p w14:paraId="0378733F" w14:textId="4422A20C" w:rsidR="005F2F03" w:rsidRPr="00584C18" w:rsidRDefault="005F2F03" w:rsidP="00746066">
      <w:pPr>
        <w:pStyle w:val="SingleTxtG"/>
        <w:ind w:left="2835"/>
      </w:pPr>
      <w:r>
        <w:lastRenderedPageBreak/>
        <w:t xml:space="preserve">(ii) </w:t>
      </w:r>
      <w:r>
        <w:tab/>
        <w:t>ne causent pas la destruction du tissu cutané intact sur toute son épaisseur, mais présentent une vitesse de corrosion supérieure à 6,25 mm par an sur des surfaces d</w:t>
      </w:r>
      <w:r w:rsidR="00CA5971">
        <w:t>’</w:t>
      </w:r>
      <w:r>
        <w:t>acier ou d</w:t>
      </w:r>
      <w:r w:rsidR="00CA5971">
        <w:t>’</w:t>
      </w:r>
      <w:r>
        <w:t>aluminium à la température d</w:t>
      </w:r>
      <w:r w:rsidR="00CA5971">
        <w:t>’</w:t>
      </w:r>
      <w:r>
        <w:t>épreuve de 55 °C lors d</w:t>
      </w:r>
      <w:r w:rsidR="00CA5971">
        <w:t>’</w:t>
      </w:r>
      <w:r>
        <w:t>essai sur les deux matières. Dans le cadre de ces épreuves, le type d</w:t>
      </w:r>
      <w:r w:rsidR="00CA5971">
        <w:t>’</w:t>
      </w:r>
      <w:r>
        <w:t>acier S235JR+CR (1.0037, respectivement St 37-2), S275J2G3+CR (1.0144, respectivement St 44-3), ISO 3574 ou « Unified Numbering System » (UNS) G10200 ou un type d</w:t>
      </w:r>
      <w:r w:rsidR="00CA5971">
        <w:t>’</w:t>
      </w:r>
      <w:r>
        <w:t>acier similaire, ou encore SAE 1020 doit être utilisé. Pour les épreuves sur l</w:t>
      </w:r>
      <w:r w:rsidR="00CA5971">
        <w:t>’</w:t>
      </w:r>
      <w:r>
        <w:t>aluminium, le type non revêtu 7075–T6 ou AZ5GU-T6 doit être utilisé. Un essai acceptable est prescrit à la section 37 de la partie III du Manuel d</w:t>
      </w:r>
      <w:r w:rsidR="00CA5971">
        <w:t>’</w:t>
      </w:r>
      <w:r>
        <w:t xml:space="preserve">épreuves et de critères. </w:t>
      </w:r>
    </w:p>
    <w:p w14:paraId="2E47C859" w14:textId="212E398B" w:rsidR="005F2F03" w:rsidRPr="00584C18" w:rsidRDefault="00746066" w:rsidP="00746066">
      <w:pPr>
        <w:pStyle w:val="SingleTxtG"/>
        <w:ind w:left="2835"/>
        <w:rPr>
          <w:iCs/>
        </w:rPr>
      </w:pPr>
      <w:r>
        <w:rPr>
          <w:b/>
        </w:rPr>
        <w:t>REMARQUE</w:t>
      </w:r>
      <w:r w:rsidR="005F2F03">
        <w:rPr>
          <w:b/>
        </w:rPr>
        <w:t xml:space="preserve">: </w:t>
      </w:r>
      <w:r w:rsidR="005F2F03">
        <w:t>Lorsqu</w:t>
      </w:r>
      <w:r w:rsidR="00CA5971">
        <w:t>’</w:t>
      </w:r>
      <w:r w:rsidR="005F2F03">
        <w:t>une épreuve initiale sur l</w:t>
      </w:r>
      <w:r w:rsidR="00CA5971">
        <w:t>’</w:t>
      </w:r>
      <w:r w:rsidR="005F2F03">
        <w:t>acier ou l</w:t>
      </w:r>
      <w:r w:rsidR="00CA5971">
        <w:t>’</w:t>
      </w:r>
      <w:r w:rsidR="005F2F03">
        <w:t>aluminium indique que la matière mise à l</w:t>
      </w:r>
      <w:r w:rsidR="00CA5971">
        <w:t>’</w:t>
      </w:r>
      <w:r w:rsidR="005F2F03">
        <w:t>épreuve est corrosive, il est inutile de soumettre l</w:t>
      </w:r>
      <w:r w:rsidR="00CA5971">
        <w:t>’</w:t>
      </w:r>
      <w:r w:rsidR="005F2F03">
        <w:t>autre métal à une épreuve de suivi.</w:t>
      </w:r>
    </w:p>
    <w:p w14:paraId="6117600C" w14:textId="77777777" w:rsidR="005F2F03" w:rsidRDefault="005F2F03" w:rsidP="00746066">
      <w:pPr>
        <w:pStyle w:val="H23G"/>
        <w:jc w:val="center"/>
      </w:pPr>
      <w:r>
        <w:t>Tableau  2.8.2.1 : Tableau résumant les critères du tableau 2.8.2.1</w:t>
      </w:r>
    </w:p>
    <w:tbl>
      <w:tblPr>
        <w:tblStyle w:val="TableGrid"/>
        <w:tblW w:w="0" w:type="auto"/>
        <w:tblInd w:w="1134" w:type="dxa"/>
        <w:tblLook w:val="04A0" w:firstRow="1" w:lastRow="0" w:firstColumn="1" w:lastColumn="0" w:noHBand="0" w:noVBand="1"/>
      </w:tblPr>
      <w:tblGrid>
        <w:gridCol w:w="1055"/>
        <w:gridCol w:w="1559"/>
        <w:gridCol w:w="1276"/>
        <w:gridCol w:w="4433"/>
      </w:tblGrid>
      <w:tr w:rsidR="004E2E53" w14:paraId="16779FF6" w14:textId="77777777" w:rsidTr="00746066">
        <w:tc>
          <w:tcPr>
            <w:tcW w:w="1055" w:type="dxa"/>
          </w:tcPr>
          <w:p w14:paraId="3A9B34CF" w14:textId="70645894" w:rsidR="004E2E53" w:rsidRPr="00DD29F4" w:rsidRDefault="004E2E53" w:rsidP="00CA5971">
            <w:pPr>
              <w:jc w:val="center"/>
              <w:rPr>
                <w:b/>
                <w:color w:val="000000"/>
              </w:rPr>
            </w:pPr>
            <w:r>
              <w:rPr>
                <w:b/>
                <w:color w:val="000000"/>
              </w:rPr>
              <w:t>Groupe d</w:t>
            </w:r>
            <w:r w:rsidR="00CA5971">
              <w:rPr>
                <w:b/>
                <w:color w:val="000000"/>
              </w:rPr>
              <w:t>’</w:t>
            </w:r>
            <w:r>
              <w:rPr>
                <w:b/>
                <w:color w:val="000000"/>
              </w:rPr>
              <w:t>emballage</w:t>
            </w:r>
          </w:p>
        </w:tc>
        <w:tc>
          <w:tcPr>
            <w:tcW w:w="1559" w:type="dxa"/>
          </w:tcPr>
          <w:p w14:paraId="6F45CAE7" w14:textId="2BE57741" w:rsidR="004E2E53" w:rsidRPr="00DD29F4" w:rsidRDefault="004E2E53" w:rsidP="00CA5971">
            <w:pPr>
              <w:jc w:val="center"/>
              <w:rPr>
                <w:b/>
                <w:color w:val="000000"/>
              </w:rPr>
            </w:pPr>
            <w:r>
              <w:rPr>
                <w:b/>
                <w:color w:val="000000"/>
              </w:rPr>
              <w:t xml:space="preserve">Durée </w:t>
            </w:r>
            <w:r>
              <w:rPr>
                <w:b/>
                <w:color w:val="000000"/>
              </w:rPr>
              <w:br/>
              <w:t>d</w:t>
            </w:r>
            <w:r w:rsidR="00CA5971">
              <w:rPr>
                <w:b/>
                <w:color w:val="000000"/>
              </w:rPr>
              <w:t>’</w:t>
            </w:r>
            <w:r>
              <w:rPr>
                <w:b/>
                <w:color w:val="000000"/>
              </w:rPr>
              <w:t>exposition</w:t>
            </w:r>
          </w:p>
        </w:tc>
        <w:tc>
          <w:tcPr>
            <w:tcW w:w="1276" w:type="dxa"/>
          </w:tcPr>
          <w:p w14:paraId="6385FAB9" w14:textId="7363F919" w:rsidR="004E2E53" w:rsidRPr="00DD29F4" w:rsidRDefault="004E2E53" w:rsidP="00CA5971">
            <w:pPr>
              <w:jc w:val="center"/>
              <w:rPr>
                <w:b/>
                <w:color w:val="000000"/>
              </w:rPr>
            </w:pPr>
            <w:r>
              <w:rPr>
                <w:b/>
                <w:color w:val="000000"/>
              </w:rPr>
              <w:t>Période d</w:t>
            </w:r>
            <w:r w:rsidR="00CA5971">
              <w:rPr>
                <w:b/>
                <w:color w:val="000000"/>
              </w:rPr>
              <w:t>’</w:t>
            </w:r>
            <w:r>
              <w:rPr>
                <w:b/>
                <w:color w:val="000000"/>
              </w:rPr>
              <w:t>observation</w:t>
            </w:r>
          </w:p>
        </w:tc>
        <w:tc>
          <w:tcPr>
            <w:tcW w:w="4433" w:type="dxa"/>
          </w:tcPr>
          <w:p w14:paraId="25F08052" w14:textId="77777777" w:rsidR="004E2E53" w:rsidRPr="00DD29F4" w:rsidRDefault="004E2E53" w:rsidP="00CA5971">
            <w:pPr>
              <w:jc w:val="center"/>
              <w:rPr>
                <w:b/>
                <w:color w:val="000000"/>
              </w:rPr>
            </w:pPr>
            <w:r>
              <w:rPr>
                <w:b/>
                <w:color w:val="000000"/>
              </w:rPr>
              <w:t>Effet</w:t>
            </w:r>
          </w:p>
        </w:tc>
      </w:tr>
      <w:tr w:rsidR="004E2E53" w:rsidRPr="002A0072" w14:paraId="4326BE83" w14:textId="77777777" w:rsidTr="00746066">
        <w:tc>
          <w:tcPr>
            <w:tcW w:w="1055" w:type="dxa"/>
            <w:vAlign w:val="center"/>
          </w:tcPr>
          <w:p w14:paraId="06404F80" w14:textId="77777777" w:rsidR="004E2E53" w:rsidRPr="005F2F03" w:rsidRDefault="004E2E53" w:rsidP="00CA5971">
            <w:pPr>
              <w:jc w:val="center"/>
              <w:rPr>
                <w:color w:val="000000"/>
              </w:rPr>
            </w:pPr>
            <w:r>
              <w:rPr>
                <w:color w:val="000000"/>
              </w:rPr>
              <w:t>I</w:t>
            </w:r>
          </w:p>
        </w:tc>
        <w:tc>
          <w:tcPr>
            <w:tcW w:w="1559" w:type="dxa"/>
            <w:vAlign w:val="center"/>
          </w:tcPr>
          <w:p w14:paraId="6C369EA4" w14:textId="77777777" w:rsidR="004E2E53" w:rsidRPr="005F2F03" w:rsidRDefault="004E2E53" w:rsidP="00CA5971">
            <w:pPr>
              <w:jc w:val="center"/>
              <w:rPr>
                <w:color w:val="000000"/>
              </w:rPr>
            </w:pPr>
            <w:r>
              <w:rPr>
                <w:color w:val="000000"/>
              </w:rPr>
              <w:t>≤ 3 minutes</w:t>
            </w:r>
          </w:p>
        </w:tc>
        <w:tc>
          <w:tcPr>
            <w:tcW w:w="1276" w:type="dxa"/>
            <w:vAlign w:val="center"/>
          </w:tcPr>
          <w:p w14:paraId="0670DBD0" w14:textId="77777777" w:rsidR="004E2E53" w:rsidRPr="005F2F03" w:rsidRDefault="004E2E53" w:rsidP="00CA5971">
            <w:pPr>
              <w:jc w:val="center"/>
              <w:rPr>
                <w:color w:val="000000"/>
              </w:rPr>
            </w:pPr>
            <w:r>
              <w:rPr>
                <w:color w:val="000000"/>
              </w:rPr>
              <w:t>≤ 60 minutes</w:t>
            </w:r>
          </w:p>
        </w:tc>
        <w:tc>
          <w:tcPr>
            <w:tcW w:w="4433" w:type="dxa"/>
          </w:tcPr>
          <w:p w14:paraId="32AD7322" w14:textId="77777777" w:rsidR="004E2E53" w:rsidRPr="005F2F03" w:rsidRDefault="004E2E53" w:rsidP="00CA5971">
            <w:pPr>
              <w:rPr>
                <w:color w:val="000000"/>
              </w:rPr>
            </w:pPr>
            <w:r>
              <w:rPr>
                <w:color w:val="000000"/>
              </w:rPr>
              <w:t>Destruction du tissu cutané intact sur toute son épaisseur</w:t>
            </w:r>
          </w:p>
        </w:tc>
      </w:tr>
      <w:tr w:rsidR="004E2E53" w:rsidRPr="002A0072" w14:paraId="5CDFF1B9" w14:textId="77777777" w:rsidTr="00746066">
        <w:tc>
          <w:tcPr>
            <w:tcW w:w="1055" w:type="dxa"/>
            <w:vAlign w:val="center"/>
          </w:tcPr>
          <w:p w14:paraId="4067754A" w14:textId="77777777" w:rsidR="004E2E53" w:rsidRPr="005F2F03" w:rsidRDefault="004E2E53" w:rsidP="00CA5971">
            <w:pPr>
              <w:jc w:val="center"/>
              <w:rPr>
                <w:color w:val="000000"/>
              </w:rPr>
            </w:pPr>
            <w:r>
              <w:rPr>
                <w:color w:val="000000"/>
              </w:rPr>
              <w:t>II</w:t>
            </w:r>
          </w:p>
        </w:tc>
        <w:tc>
          <w:tcPr>
            <w:tcW w:w="1559" w:type="dxa"/>
            <w:vAlign w:val="center"/>
          </w:tcPr>
          <w:p w14:paraId="5C0B7F95" w14:textId="77777777" w:rsidR="004E2E53" w:rsidRPr="005F2F03" w:rsidRDefault="004E2E53" w:rsidP="00CA5971">
            <w:pPr>
              <w:jc w:val="center"/>
              <w:rPr>
                <w:color w:val="000000"/>
              </w:rPr>
            </w:pPr>
            <w:r>
              <w:rPr>
                <w:color w:val="000000"/>
              </w:rPr>
              <w:t>&gt; 3 minutes ≤ 1 heure</w:t>
            </w:r>
          </w:p>
        </w:tc>
        <w:tc>
          <w:tcPr>
            <w:tcW w:w="1276" w:type="dxa"/>
            <w:vAlign w:val="center"/>
          </w:tcPr>
          <w:p w14:paraId="402A5FF4" w14:textId="77777777" w:rsidR="004E2E53" w:rsidRPr="005F2F03" w:rsidRDefault="004E2E53" w:rsidP="00CA5971">
            <w:pPr>
              <w:jc w:val="center"/>
              <w:rPr>
                <w:color w:val="000000"/>
              </w:rPr>
            </w:pPr>
            <w:r>
              <w:rPr>
                <w:color w:val="000000"/>
              </w:rPr>
              <w:t>≤ 14 jours</w:t>
            </w:r>
          </w:p>
        </w:tc>
        <w:tc>
          <w:tcPr>
            <w:tcW w:w="4433" w:type="dxa"/>
          </w:tcPr>
          <w:p w14:paraId="34AFF1E7" w14:textId="77777777" w:rsidR="004E2E53" w:rsidRPr="005F2F03" w:rsidRDefault="004E2E53" w:rsidP="00CA5971">
            <w:pPr>
              <w:rPr>
                <w:color w:val="000000"/>
              </w:rPr>
            </w:pPr>
            <w:r>
              <w:rPr>
                <w:color w:val="000000"/>
              </w:rPr>
              <w:t>Destruction du tissu cutané intact sur toute son épaisseur</w:t>
            </w:r>
          </w:p>
        </w:tc>
      </w:tr>
      <w:tr w:rsidR="004E2E53" w:rsidRPr="002A0072" w14:paraId="04A47260" w14:textId="77777777" w:rsidTr="00746066">
        <w:tc>
          <w:tcPr>
            <w:tcW w:w="1055" w:type="dxa"/>
            <w:vAlign w:val="center"/>
          </w:tcPr>
          <w:p w14:paraId="16493900" w14:textId="77777777" w:rsidR="004E2E53" w:rsidRPr="005F2F03" w:rsidRDefault="004E2E53" w:rsidP="00CA5971">
            <w:pPr>
              <w:jc w:val="center"/>
              <w:rPr>
                <w:color w:val="000000"/>
              </w:rPr>
            </w:pPr>
            <w:r>
              <w:rPr>
                <w:color w:val="000000"/>
              </w:rPr>
              <w:t>III</w:t>
            </w:r>
          </w:p>
        </w:tc>
        <w:tc>
          <w:tcPr>
            <w:tcW w:w="1559" w:type="dxa"/>
            <w:vAlign w:val="center"/>
          </w:tcPr>
          <w:p w14:paraId="121C72F8" w14:textId="77777777" w:rsidR="004E2E53" w:rsidRPr="005F2F03" w:rsidRDefault="004E2E53" w:rsidP="00CA5971">
            <w:pPr>
              <w:jc w:val="center"/>
              <w:rPr>
                <w:color w:val="000000"/>
              </w:rPr>
            </w:pPr>
            <w:r>
              <w:rPr>
                <w:color w:val="000000"/>
              </w:rPr>
              <w:t>&gt; 1 heure ≤ 4 heure</w:t>
            </w:r>
          </w:p>
        </w:tc>
        <w:tc>
          <w:tcPr>
            <w:tcW w:w="1276" w:type="dxa"/>
            <w:vAlign w:val="center"/>
          </w:tcPr>
          <w:p w14:paraId="68734FE2" w14:textId="77777777" w:rsidR="004E2E53" w:rsidRPr="005F2F03" w:rsidRDefault="004E2E53" w:rsidP="00CA5971">
            <w:pPr>
              <w:jc w:val="center"/>
              <w:rPr>
                <w:color w:val="000000"/>
              </w:rPr>
            </w:pPr>
            <w:r>
              <w:rPr>
                <w:color w:val="000000"/>
              </w:rPr>
              <w:t>≤ 14 jours</w:t>
            </w:r>
          </w:p>
        </w:tc>
        <w:tc>
          <w:tcPr>
            <w:tcW w:w="4433" w:type="dxa"/>
          </w:tcPr>
          <w:p w14:paraId="2ACC8F5B" w14:textId="77777777" w:rsidR="004E2E53" w:rsidRPr="005F2F03" w:rsidRDefault="004E2E53" w:rsidP="00CA5971">
            <w:pPr>
              <w:rPr>
                <w:color w:val="000000"/>
              </w:rPr>
            </w:pPr>
            <w:r>
              <w:rPr>
                <w:color w:val="000000"/>
              </w:rPr>
              <w:t>Destruction du tissu cutané intact sur toute son épaisseur</w:t>
            </w:r>
          </w:p>
        </w:tc>
      </w:tr>
      <w:tr w:rsidR="004E2E53" w:rsidRPr="002A0072" w14:paraId="354714D9" w14:textId="77777777" w:rsidTr="00746066">
        <w:tc>
          <w:tcPr>
            <w:tcW w:w="1055" w:type="dxa"/>
          </w:tcPr>
          <w:p w14:paraId="33C477F6" w14:textId="77777777" w:rsidR="004E2E53" w:rsidRPr="005F2F03" w:rsidRDefault="004E2E53" w:rsidP="00CA5971">
            <w:pPr>
              <w:jc w:val="center"/>
              <w:rPr>
                <w:color w:val="000000"/>
              </w:rPr>
            </w:pPr>
            <w:r>
              <w:rPr>
                <w:color w:val="000000"/>
              </w:rPr>
              <w:t>III</w:t>
            </w:r>
          </w:p>
        </w:tc>
        <w:tc>
          <w:tcPr>
            <w:tcW w:w="1559" w:type="dxa"/>
          </w:tcPr>
          <w:p w14:paraId="133ADCDB" w14:textId="77777777" w:rsidR="004E2E53" w:rsidRPr="005F2F03" w:rsidRDefault="004E2E53" w:rsidP="00CA5971">
            <w:pPr>
              <w:jc w:val="center"/>
              <w:rPr>
                <w:color w:val="000000"/>
              </w:rPr>
            </w:pPr>
            <w:r>
              <w:rPr>
                <w:color w:val="000000"/>
              </w:rPr>
              <w:t>–</w:t>
            </w:r>
          </w:p>
        </w:tc>
        <w:tc>
          <w:tcPr>
            <w:tcW w:w="1276" w:type="dxa"/>
          </w:tcPr>
          <w:p w14:paraId="543771C8" w14:textId="77777777" w:rsidR="004E2E53" w:rsidRPr="005F2F03" w:rsidRDefault="004E2E53" w:rsidP="00CA5971">
            <w:pPr>
              <w:jc w:val="center"/>
              <w:rPr>
                <w:color w:val="000000"/>
              </w:rPr>
            </w:pPr>
            <w:r>
              <w:rPr>
                <w:color w:val="000000"/>
              </w:rPr>
              <w:t>–</w:t>
            </w:r>
          </w:p>
        </w:tc>
        <w:tc>
          <w:tcPr>
            <w:tcW w:w="4433" w:type="dxa"/>
          </w:tcPr>
          <w:p w14:paraId="6E14F6A5" w14:textId="236E3F85" w:rsidR="004E2E53" w:rsidRPr="005F2F03" w:rsidRDefault="004E2E53" w:rsidP="003855B1">
            <w:pPr>
              <w:jc w:val="both"/>
              <w:rPr>
                <w:color w:val="000000"/>
              </w:rPr>
            </w:pPr>
            <w:r>
              <w:rPr>
                <w:color w:val="000000"/>
              </w:rPr>
              <w:t>Vitesse de corrosion supérieure à 6,25 mm par an sur des surfaces d</w:t>
            </w:r>
            <w:r w:rsidR="00CA5971">
              <w:rPr>
                <w:color w:val="000000"/>
              </w:rPr>
              <w:t>’</w:t>
            </w:r>
            <w:r>
              <w:rPr>
                <w:color w:val="000000"/>
              </w:rPr>
              <w:t>acier ou d</w:t>
            </w:r>
            <w:r w:rsidR="00CA5971">
              <w:rPr>
                <w:color w:val="000000"/>
              </w:rPr>
              <w:t>’</w:t>
            </w:r>
            <w:r>
              <w:rPr>
                <w:color w:val="000000"/>
              </w:rPr>
              <w:t>aluminium à la température d</w:t>
            </w:r>
            <w:r w:rsidR="00CA5971">
              <w:rPr>
                <w:color w:val="000000"/>
              </w:rPr>
              <w:t>’</w:t>
            </w:r>
            <w:r>
              <w:rPr>
                <w:color w:val="000000"/>
              </w:rPr>
              <w:t>épreuve de 55 ºC lors d</w:t>
            </w:r>
            <w:r w:rsidR="00CA5971">
              <w:rPr>
                <w:color w:val="000000"/>
              </w:rPr>
              <w:t>’</w:t>
            </w:r>
            <w:r>
              <w:rPr>
                <w:color w:val="000000"/>
              </w:rPr>
              <w:t>essai sur les deux matières</w:t>
            </w:r>
          </w:p>
        </w:tc>
      </w:tr>
    </w:tbl>
    <w:p w14:paraId="6B153D4B" w14:textId="1C679B78" w:rsidR="000E5995" w:rsidRDefault="005F2F03" w:rsidP="009E6799">
      <w:pPr>
        <w:pStyle w:val="SingleTxtG"/>
        <w:spacing w:before="240"/>
      </w:pPr>
      <w:r>
        <w:t xml:space="preserve">2.8.2.2 </w:t>
      </w:r>
      <w:r>
        <w:tab/>
      </w:r>
      <w:r w:rsidR="00E36DAF" w:rsidRPr="00E36DAF">
        <w:t>Le classement des matières de la Liste des marchandises dangereuses du chapitre 3.2 dans les</w:t>
      </w:r>
      <w:r w:rsidR="00E36DAF">
        <w:t xml:space="preserve"> </w:t>
      </w:r>
      <w:r w:rsidR="00E36DAF" w:rsidRPr="00E36DAF">
        <w:t>groupes d'emballage de la classe 8 est fondé sur l'expérience acquise et tient compte de facteurs supplémentaires tels que le r</w:t>
      </w:r>
      <w:r w:rsidR="00E36DAF">
        <w:t>isque d'inhalation (voir 2.8.2.</w:t>
      </w:r>
      <w:r w:rsidR="00E36DAF" w:rsidRPr="00E36DAF">
        <w:t>4) et l’</w:t>
      </w:r>
      <w:proofErr w:type="spellStart"/>
      <w:r w:rsidR="00E36DAF" w:rsidRPr="00E36DAF">
        <w:t>hydroréactivité</w:t>
      </w:r>
      <w:proofErr w:type="spellEnd"/>
      <w:r w:rsidR="00E36DAF" w:rsidRPr="00E36DAF">
        <w:t xml:space="preserve"> (y compris la formation de produits de décomposition présentant un danger).</w:t>
      </w:r>
    </w:p>
    <w:p w14:paraId="645AD4BE" w14:textId="1C2F85C6" w:rsidR="00E36DAF" w:rsidRDefault="00E36DAF" w:rsidP="009E6799">
      <w:pPr>
        <w:pStyle w:val="SingleTxtG"/>
        <w:rPr>
          <w:strike/>
        </w:rPr>
      </w:pPr>
      <w:r w:rsidRPr="00E36DAF">
        <w:t>2.8.2.3</w:t>
      </w:r>
      <w:r w:rsidRPr="00E36DAF">
        <w:tab/>
      </w:r>
      <w:r w:rsidR="009E6799">
        <w:tab/>
      </w:r>
      <w:r w:rsidRPr="00E36DAF">
        <w:t xml:space="preserve">On peut classes les matières nouvelles, y compris les mélanges, dans les groupes d’emballage, sur la base du temps contact nécessaire pour provoquer une destruction de la peau humaine sur toute son épaisseur selon les critères du 2.8.2.4; les critères énoncés au paragraphe 2.8.3 s’appliquent aux matières, et ceux du paragraphe 2.8.4 s’appliquent aux mélanges. </w:t>
      </w:r>
    </w:p>
    <w:p w14:paraId="28DD4AE0" w14:textId="662BB38D" w:rsidR="005F2F03" w:rsidRPr="00715A98" w:rsidRDefault="00E36DAF" w:rsidP="009E6799">
      <w:pPr>
        <w:pStyle w:val="SingleTxtG"/>
        <w:rPr>
          <w:strike/>
        </w:rPr>
      </w:pPr>
      <w:r>
        <w:t>2.8.2.4</w:t>
      </w:r>
      <w:r w:rsidR="000E5995" w:rsidRPr="00715A98">
        <w:tab/>
      </w:r>
      <w:r w:rsidR="009E6799">
        <w:tab/>
      </w:r>
      <w:r w:rsidRPr="00E36DAF">
        <w:t>Une matière ou un mélange dont la toxicité à l'inhalation de poussières et brouillards (CL</w:t>
      </w:r>
      <w:r w:rsidRPr="00E36DAF">
        <w:rPr>
          <w:vertAlign w:val="subscript"/>
        </w:rPr>
        <w:t>50</w:t>
      </w:r>
      <w:r w:rsidRPr="00E36DAF">
        <w:t>) correspond au groupe d'emballage I, mais dont la toxicité à l'ingestion et à l'absorption cutanée ne correspond qu'au groupe d'emballage III ou qui présente un degré de toxicité moins élevé, doit être affectée à la classe 8 (voir Nota au 2.6.2.2.4.1).</w:t>
      </w:r>
    </w:p>
    <w:p w14:paraId="35941206" w14:textId="77777777" w:rsidR="009E6799" w:rsidRDefault="00E36DAF" w:rsidP="009E6799">
      <w:pPr>
        <w:pStyle w:val="SingleTxtG"/>
      </w:pPr>
      <w:r>
        <w:t>2.8.2.5</w:t>
      </w:r>
      <w:r w:rsidR="000E5995" w:rsidRPr="00715A98">
        <w:t xml:space="preserve"> </w:t>
      </w:r>
      <w:r w:rsidR="000E5995" w:rsidRPr="00715A98">
        <w:tab/>
      </w:r>
      <w:r w:rsidRPr="00E36DAF">
        <w:t>Pour classer une matière dans un groupe d'emballage conformément au 2.8.2. 3, il y a lieu de tenir compte de l'expérience acquise à l'occasion d'expositions accidentelles. En l'absence d'une telle expérience, le classement doit se faire sur la base des résultats de l'expérimentation conformément à la Ligne directrice 404</w:t>
      </w:r>
      <w:r w:rsidRPr="00E36DAF">
        <w:rPr>
          <w:rStyle w:val="FootnoteReference"/>
          <w:sz w:val="20"/>
        </w:rPr>
        <w:footnoteReference w:id="8"/>
      </w:r>
      <w:r w:rsidRPr="00E36DAF">
        <w:t xml:space="preserve"> ou 435</w:t>
      </w:r>
      <w:r w:rsidRPr="00E36DAF">
        <w:rPr>
          <w:rStyle w:val="FootnoteReference"/>
          <w:sz w:val="20"/>
        </w:rPr>
        <w:footnoteReference w:id="9"/>
      </w:r>
      <w:r w:rsidRPr="00E36DAF">
        <w:t xml:space="preserve"> de l’OCDE. Aux fins du </w:t>
      </w:r>
      <w:r w:rsidRPr="00E36DAF">
        <w:lastRenderedPageBreak/>
        <w:t>présent Règlement, une matière définie comme n’étant pas corrosive conformément à la Ligne directrice 430</w:t>
      </w:r>
      <w:r w:rsidRPr="00E36DAF">
        <w:rPr>
          <w:rStyle w:val="FootnoteReference"/>
          <w:sz w:val="20"/>
        </w:rPr>
        <w:footnoteReference w:id="10"/>
      </w:r>
      <w:r w:rsidRPr="00E36DAF">
        <w:t xml:space="preserve"> ou 431</w:t>
      </w:r>
      <w:r w:rsidRPr="00E36DAF">
        <w:rPr>
          <w:rStyle w:val="FootnoteReference"/>
          <w:sz w:val="20"/>
        </w:rPr>
        <w:footnoteReference w:id="11"/>
      </w:r>
      <w:r w:rsidRPr="00E36DAF">
        <w:t xml:space="preserve"> de l’OCDE est considérée comme n’étant pas corrosive pour la peau sans qu’il soit nécessaire de réaliser d’autres épreuves.</w:t>
      </w:r>
    </w:p>
    <w:p w14:paraId="125AEB45" w14:textId="51A60C04" w:rsidR="00CF0CC8" w:rsidRDefault="009E6799" w:rsidP="009E6799">
      <w:pPr>
        <w:pStyle w:val="H1G"/>
        <w:rPr>
          <w:rFonts w:eastAsiaTheme="minorHAnsi"/>
          <w:bCs/>
          <w:szCs w:val="23"/>
        </w:rPr>
      </w:pPr>
      <w:r>
        <w:rPr>
          <w:rFonts w:eastAsiaTheme="minorHAnsi"/>
        </w:rPr>
        <w:tab/>
      </w:r>
      <w:r>
        <w:rPr>
          <w:rFonts w:eastAsiaTheme="minorHAnsi"/>
        </w:rPr>
        <w:tab/>
      </w:r>
      <w:r w:rsidR="0025753E">
        <w:rPr>
          <w:rFonts w:eastAsiaTheme="minorHAnsi"/>
        </w:rPr>
        <w:t>2.8.3</w:t>
      </w:r>
      <w:r>
        <w:tab/>
      </w:r>
      <w:r>
        <w:tab/>
      </w:r>
      <w:r w:rsidR="0025753E">
        <w:rPr>
          <w:rFonts w:eastAsiaTheme="minorHAnsi"/>
        </w:rPr>
        <w:t>Affectation aux groupes d</w:t>
      </w:r>
      <w:r w:rsidR="00CA5971">
        <w:rPr>
          <w:rFonts w:eastAsiaTheme="minorHAnsi"/>
        </w:rPr>
        <w:t>’</w:t>
      </w:r>
      <w:r w:rsidR="0025753E">
        <w:rPr>
          <w:rFonts w:eastAsiaTheme="minorHAnsi"/>
        </w:rPr>
        <w:t>emballage des matières corrosives pour la peau</w:t>
      </w:r>
    </w:p>
    <w:p w14:paraId="4500838B" w14:textId="77777777" w:rsidR="0025753E" w:rsidRPr="009E6799" w:rsidRDefault="0025753E" w:rsidP="009E6799">
      <w:pPr>
        <w:pStyle w:val="SingleTxtG"/>
        <w:rPr>
          <w:i/>
          <w:szCs w:val="22"/>
        </w:rPr>
      </w:pPr>
      <w:r w:rsidRPr="009E6799">
        <w:rPr>
          <w:i/>
        </w:rPr>
        <w:t>2.8.3.1</w:t>
      </w:r>
      <w:r w:rsidRPr="009E6799">
        <w:rPr>
          <w:i/>
        </w:rPr>
        <w:tab/>
      </w:r>
      <w:r w:rsidRPr="009E6799">
        <w:rPr>
          <w:i/>
        </w:rPr>
        <w:tab/>
        <w:t xml:space="preserve">Classification fondée sur des données expérimentales </w:t>
      </w:r>
    </w:p>
    <w:p w14:paraId="3FC33E4B" w14:textId="7F3A4FEF" w:rsidR="00CF0CC8" w:rsidRPr="00DE364E" w:rsidRDefault="0025753E" w:rsidP="009E6799">
      <w:pPr>
        <w:pStyle w:val="SingleTxtG"/>
        <w:rPr>
          <w:sz w:val="18"/>
        </w:rPr>
      </w:pPr>
      <w:r>
        <w:t>2.8.3.1.1</w:t>
      </w:r>
      <w:r>
        <w:tab/>
        <w:t>Une matière est corrosive pour la peau et affectée au groupe d</w:t>
      </w:r>
      <w:r w:rsidR="00CA5971">
        <w:t>’</w:t>
      </w:r>
      <w:r>
        <w:t>emballage approprié lorsqu</w:t>
      </w:r>
      <w:r w:rsidR="00CA5971">
        <w:t>’</w:t>
      </w:r>
      <w:r>
        <w:t>elle cause la destruction irréversible du tissu cutané à la suite de l</w:t>
      </w:r>
      <w:r w:rsidR="00CA5971">
        <w:t>’</w:t>
      </w:r>
      <w:r>
        <w:t>application de la matière pour une durée allant jusqu</w:t>
      </w:r>
      <w:r w:rsidR="00CA5971">
        <w:t>’</w:t>
      </w:r>
      <w:r>
        <w:t>à quatre heures en fonction des critères de la section 2.8.2.1.</w:t>
      </w:r>
    </w:p>
    <w:p w14:paraId="40399212" w14:textId="6C6546C3" w:rsidR="0025753E" w:rsidRPr="00DE364E" w:rsidRDefault="0025753E" w:rsidP="009E6799">
      <w:pPr>
        <w:pStyle w:val="SingleTxtG"/>
        <w:rPr>
          <w:szCs w:val="22"/>
        </w:rPr>
      </w:pPr>
      <w:r>
        <w:t>2.8.3.1.2</w:t>
      </w:r>
      <w:r>
        <w:tab/>
        <w:t>L</w:t>
      </w:r>
      <w:r w:rsidR="00CA5971">
        <w:t>’</w:t>
      </w:r>
      <w:r>
        <w:t>existence de données animales et humaines, y compris les renseignements sur une exposition unique ou répétée, représente la première ligne d</w:t>
      </w:r>
      <w:r w:rsidR="00CA5971">
        <w:t>’</w:t>
      </w:r>
      <w:r>
        <w:t>évaluation, car ces renseignements concernent directement les effets sur la peau.</w:t>
      </w:r>
    </w:p>
    <w:p w14:paraId="7BA599AC" w14:textId="270BAC85" w:rsidR="0025753E" w:rsidRPr="00DE364E" w:rsidRDefault="0025753E" w:rsidP="009E6799">
      <w:pPr>
        <w:pStyle w:val="SingleTxtG"/>
        <w:rPr>
          <w:szCs w:val="22"/>
        </w:rPr>
      </w:pPr>
      <w:r>
        <w:t>2.8.3.1.3</w:t>
      </w:r>
      <w:r>
        <w:tab/>
        <w:t>Les autres options </w:t>
      </w:r>
      <w:r>
        <w:rPr>
          <w:i/>
        </w:rPr>
        <w:t>in vitro</w:t>
      </w:r>
      <w:r>
        <w:t xml:space="preserve"> qui ont été validées et acceptées peuvent être utilisées pour prendre des décisions en matière de classification et d</w:t>
      </w:r>
      <w:r w:rsidR="00CA5971">
        <w:t>’</w:t>
      </w:r>
      <w:r>
        <w:t>affectation aux groupes d</w:t>
      </w:r>
      <w:r w:rsidR="00CA5971">
        <w:t>’</w:t>
      </w:r>
      <w:r>
        <w:t>emballage, pourvu que la méthode d</w:t>
      </w:r>
      <w:r w:rsidR="00CA5971">
        <w:t>’</w:t>
      </w:r>
      <w:r>
        <w:t xml:space="preserve">essai </w:t>
      </w:r>
      <w:r>
        <w:rPr>
          <w:i/>
        </w:rPr>
        <w:t>in vitro</w:t>
      </w:r>
      <w:r>
        <w:t xml:space="preserve"> soit appropriée. </w:t>
      </w:r>
      <w:r>
        <w:rPr>
          <w:u w:val="single" w:color="7F7F7F" w:themeColor="text1" w:themeTint="80"/>
        </w:rPr>
        <w:t>Des méthodes d</w:t>
      </w:r>
      <w:r w:rsidR="00CA5971">
        <w:rPr>
          <w:u w:val="single" w:color="7F7F7F" w:themeColor="text1" w:themeTint="80"/>
        </w:rPr>
        <w:t>’</w:t>
      </w:r>
      <w:r>
        <w:rPr>
          <w:u w:val="single" w:color="7F7F7F" w:themeColor="text1" w:themeTint="80"/>
        </w:rPr>
        <w:t>essai validées et acceptées à l</w:t>
      </w:r>
      <w:r w:rsidR="00CA5971">
        <w:rPr>
          <w:u w:val="single" w:color="7F7F7F" w:themeColor="text1" w:themeTint="80"/>
        </w:rPr>
        <w:t>’</w:t>
      </w:r>
      <w:r>
        <w:rPr>
          <w:u w:val="single" w:color="7F7F7F" w:themeColor="text1" w:themeTint="80"/>
        </w:rPr>
        <w:t>échelle internationale sur la corrosion de la peau sont présentées à la section 2.8.2.5.</w:t>
      </w:r>
    </w:p>
    <w:p w14:paraId="1B055339" w14:textId="698691E9" w:rsidR="00CF2274" w:rsidRPr="00DE364E" w:rsidRDefault="00CF2274" w:rsidP="009E6799">
      <w:pPr>
        <w:pStyle w:val="SingleTxtG"/>
        <w:rPr>
          <w:szCs w:val="22"/>
        </w:rPr>
      </w:pPr>
      <w:r>
        <w:t>2.8.3.1.4</w:t>
      </w:r>
      <w:r>
        <w:tab/>
        <w:t>Dans certains cas, des renseignements suffisants peuvent être disponibles à partir de matière à la structure connexe pour prendre des décisions de classification conformément au document d</w:t>
      </w:r>
      <w:r w:rsidR="00CA5971">
        <w:t>’</w:t>
      </w:r>
      <w:r>
        <w:t>orientation de l</w:t>
      </w:r>
      <w:r w:rsidR="00CA5971">
        <w:t>’</w:t>
      </w:r>
      <w:r>
        <w:t xml:space="preserve">OCDE intitulé </w:t>
      </w:r>
      <w:r w:rsidRPr="00AA4BAD">
        <w:rPr>
          <w:i/>
        </w:rPr>
        <w:t>Guidance on Grouping of Chemicals</w:t>
      </w:r>
      <w:r>
        <w:t xml:space="preserve"> (directives sur le regroupement de produits chimiques)</w:t>
      </w:r>
      <w:r>
        <w:rPr>
          <w:rStyle w:val="FootnoteReference"/>
        </w:rPr>
        <w:footnoteReference w:id="12"/>
      </w:r>
      <w:r>
        <w:t>.</w:t>
      </w:r>
    </w:p>
    <w:p w14:paraId="7E0EF8D1" w14:textId="77777777" w:rsidR="009E6799" w:rsidRDefault="009E6799">
      <w:pPr>
        <w:suppressAutoHyphens w:val="0"/>
        <w:spacing w:line="240" w:lineRule="auto"/>
        <w:rPr>
          <w:b/>
          <w:sz w:val="24"/>
        </w:rPr>
      </w:pPr>
      <w:r>
        <w:br w:type="page"/>
      </w:r>
    </w:p>
    <w:p w14:paraId="2CFB7C29" w14:textId="732F7100" w:rsidR="005F2F03" w:rsidRPr="00353900" w:rsidRDefault="009E6799" w:rsidP="009E6799">
      <w:pPr>
        <w:pStyle w:val="H1G"/>
        <w:rPr>
          <w:bCs/>
          <w:szCs w:val="23"/>
        </w:rPr>
      </w:pPr>
      <w:r>
        <w:lastRenderedPageBreak/>
        <w:tab/>
      </w:r>
      <w:r>
        <w:tab/>
      </w:r>
      <w:r w:rsidR="005F2F03">
        <w:t xml:space="preserve">2.8.4 </w:t>
      </w:r>
      <w:r w:rsidR="005F2F03">
        <w:tab/>
      </w:r>
      <w:r>
        <w:tab/>
      </w:r>
      <w:r w:rsidR="005F2F03">
        <w:t>Affectation aux groupes d</w:t>
      </w:r>
      <w:r w:rsidR="00CA5971">
        <w:t>’</w:t>
      </w:r>
      <w:r w:rsidR="005F2F03">
        <w:t>emballage des mélanges corrosifs pour la peau : une approche graduelle</w:t>
      </w:r>
    </w:p>
    <w:p w14:paraId="3F318918" w14:textId="324B0D69" w:rsidR="005F2F03" w:rsidRPr="00D15364" w:rsidRDefault="005F2F03" w:rsidP="009E6799">
      <w:pPr>
        <w:pStyle w:val="SingleTxtG"/>
        <w:rPr>
          <w:bCs/>
        </w:rPr>
      </w:pPr>
      <w:r>
        <w:t xml:space="preserve">2.8.4.1 </w:t>
      </w:r>
      <w:r>
        <w:tab/>
      </w:r>
      <w:r w:rsidRPr="009E6799">
        <w:rPr>
          <w:i/>
        </w:rPr>
        <w:t>Dispositions générales</w:t>
      </w:r>
    </w:p>
    <w:p w14:paraId="48EBB0CB" w14:textId="6829B398" w:rsidR="0025753E" w:rsidRPr="00715A98" w:rsidRDefault="0025753E" w:rsidP="009E6799">
      <w:pPr>
        <w:pStyle w:val="SingleTxtG"/>
      </w:pPr>
      <w:r>
        <w:t>2.8.4.1.1</w:t>
      </w:r>
      <w:r>
        <w:tab/>
      </w:r>
      <w:r w:rsidRPr="00715A98">
        <w:t>Lorsque des données de classification suffisantes, tirées d</w:t>
      </w:r>
      <w:r w:rsidR="00CA5971" w:rsidRPr="00715A98">
        <w:t>’</w:t>
      </w:r>
      <w:r w:rsidRPr="00715A98">
        <w:t xml:space="preserve">essais </w:t>
      </w:r>
      <w:r w:rsidRPr="00715A98">
        <w:rPr>
          <w:i/>
        </w:rPr>
        <w:t>in vivo</w:t>
      </w:r>
      <w:r w:rsidRPr="00715A98">
        <w:t xml:space="preserve"> ou </w:t>
      </w:r>
      <w:r w:rsidRPr="00715A98">
        <w:rPr>
          <w:i/>
        </w:rPr>
        <w:t>in vitro</w:t>
      </w:r>
      <w:r w:rsidRPr="00715A98">
        <w:t>, sont accessibles, le mélange doit être classé en fonction des critères pour les matières de la section 2.8.2.1, comme il est illustré au tableau 2.8.2.1.</w:t>
      </w:r>
    </w:p>
    <w:p w14:paraId="7713D8CD" w14:textId="3F144591" w:rsidR="005F2F03" w:rsidRDefault="005F2F03" w:rsidP="009E6799">
      <w:pPr>
        <w:pStyle w:val="SingleTxtG"/>
      </w:pPr>
      <w:r w:rsidRPr="00715A98">
        <w:t xml:space="preserve">2.8.4.1.2 </w:t>
      </w:r>
      <w:r w:rsidRPr="00715A98">
        <w:tab/>
        <w:t>En ce qui concerne les mélanges, il est nécessaire d</w:t>
      </w:r>
      <w:r w:rsidR="00CA5971" w:rsidRPr="00715A98">
        <w:t>’</w:t>
      </w:r>
      <w:r w:rsidRPr="00715A98">
        <w:t>obtenir des renseignements qui permettent d</w:t>
      </w:r>
      <w:r w:rsidR="00CA5971" w:rsidRPr="00715A98">
        <w:t>’</w:t>
      </w:r>
      <w:r w:rsidRPr="00715A98">
        <w:t>appliquer les critères à ces mélanges aux fins de classification et d</w:t>
      </w:r>
      <w:r w:rsidR="00CA5971" w:rsidRPr="00715A98">
        <w:t>’</w:t>
      </w:r>
      <w:r w:rsidRPr="00715A98">
        <w:t>affectation aux groupes d</w:t>
      </w:r>
      <w:r w:rsidR="00CA5971" w:rsidRPr="00715A98">
        <w:t>’</w:t>
      </w:r>
      <w:r w:rsidRPr="00715A98">
        <w:t>emballage. La démarche relative à la classification et à l</w:t>
      </w:r>
      <w:r w:rsidR="00CA5971" w:rsidRPr="00715A98">
        <w:t>’</w:t>
      </w:r>
      <w:r w:rsidRPr="00715A98">
        <w:t>affectation aux groupes d</w:t>
      </w:r>
      <w:r w:rsidR="00CA5971" w:rsidRPr="00715A98">
        <w:t>’</w:t>
      </w:r>
      <w:r w:rsidRPr="00715A98">
        <w:t>emballage est progressive et dépend de la quantité de renseignements accessibles sur le mélange, sur des mélanges similaires ou sur ses ingrédients. L</w:t>
      </w:r>
      <w:r w:rsidR="00CA5971" w:rsidRPr="00715A98">
        <w:t>’</w:t>
      </w:r>
      <w:r w:rsidRPr="00715A98">
        <w:t>organigramme</w:t>
      </w:r>
      <w:r>
        <w:t xml:space="preserve"> de la figure 2.8.4.1 présente le processus à suivre. </w:t>
      </w:r>
    </w:p>
    <w:p w14:paraId="426B455B" w14:textId="424D5A75" w:rsidR="005F2F03" w:rsidRPr="007F0D2A" w:rsidRDefault="005F2F03" w:rsidP="009E6799">
      <w:pPr>
        <w:pStyle w:val="H23G"/>
        <w:ind w:firstLine="0"/>
        <w:jc w:val="center"/>
        <w:rPr>
          <w:noProof/>
        </w:rPr>
      </w:pPr>
      <w:r w:rsidRPr="002C7EE4">
        <w:t>Figure 2.8.4.1</w:t>
      </w:r>
      <w:r>
        <w:t> : Approche graduelle en matière de classification et d</w:t>
      </w:r>
      <w:r w:rsidR="00CA5971">
        <w:t>’</w:t>
      </w:r>
      <w:r>
        <w:t>affectation de mélanges corrosifs aux groupes d</w:t>
      </w:r>
      <w:r w:rsidR="00CA5971">
        <w:t>’</w:t>
      </w:r>
      <w:r>
        <w:t>emballage</w:t>
      </w:r>
    </w:p>
    <w:p w14:paraId="7E331FFD" w14:textId="0050160E" w:rsidR="002C7EE4" w:rsidRDefault="00E36DAF" w:rsidP="00E36DAF">
      <w:pPr>
        <w:pStyle w:val="Default"/>
        <w:ind w:left="1134" w:hanging="567"/>
        <w:jc w:val="center"/>
        <w:rPr>
          <w:bCs/>
          <w:sz w:val="20"/>
          <w:szCs w:val="20"/>
        </w:rPr>
      </w:pPr>
      <w:r>
        <w:rPr>
          <w:noProof/>
          <w:u w:val="single"/>
          <w:lang w:val="en-GB" w:eastAsia="en-GB" w:bidi="ar-SA"/>
        </w:rPr>
        <w:drawing>
          <wp:inline distT="0" distB="0" distL="0" distR="0" wp14:anchorId="1B6AC279" wp14:editId="69B355F3">
            <wp:extent cx="5212183" cy="2492821"/>
            <wp:effectExtent l="0" t="0" r="762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8539" cy="2500643"/>
                    </a:xfrm>
                    <a:prstGeom prst="rect">
                      <a:avLst/>
                    </a:prstGeom>
                    <a:noFill/>
                  </pic:spPr>
                </pic:pic>
              </a:graphicData>
            </a:graphic>
          </wp:inline>
        </w:drawing>
      </w:r>
    </w:p>
    <w:p w14:paraId="4BCDE900" w14:textId="4DD93039" w:rsidR="005F2F03" w:rsidRPr="009E6799" w:rsidRDefault="005F2F03" w:rsidP="009E6799">
      <w:pPr>
        <w:pStyle w:val="SingleTxtG"/>
        <w:spacing w:before="120"/>
        <w:rPr>
          <w:bCs/>
        </w:rPr>
      </w:pPr>
      <w:r w:rsidRPr="00AA4BAD">
        <w:t>2.8.4.2</w:t>
      </w:r>
      <w:r w:rsidRPr="00AA4BAD">
        <w:tab/>
      </w:r>
      <w:r w:rsidR="009E6799">
        <w:tab/>
      </w:r>
      <w:r w:rsidRPr="009E6799">
        <w:rPr>
          <w:i/>
        </w:rPr>
        <w:t>Principes d</w:t>
      </w:r>
      <w:r w:rsidR="00CA5971" w:rsidRPr="009E6799">
        <w:rPr>
          <w:i/>
        </w:rPr>
        <w:t>’</w:t>
      </w:r>
      <w:r w:rsidRPr="009E6799">
        <w:rPr>
          <w:i/>
        </w:rPr>
        <w:t>extrapolation</w:t>
      </w:r>
    </w:p>
    <w:p w14:paraId="357080DD" w14:textId="281595C3" w:rsidR="0025753E" w:rsidRPr="00571761" w:rsidRDefault="005F2F03" w:rsidP="009E6799">
      <w:pPr>
        <w:pStyle w:val="SingleTxtG"/>
      </w:pPr>
      <w:r w:rsidRPr="00AA4BAD">
        <w:t>2.8.4.2.1</w:t>
      </w:r>
      <w:r w:rsidRPr="00AA4BAD">
        <w:tab/>
        <w:t>Lorsqu</w:t>
      </w:r>
      <w:r w:rsidR="00CA5971" w:rsidRPr="00AA4BAD">
        <w:t>’</w:t>
      </w:r>
      <w:r w:rsidRPr="00AA4BAD">
        <w:t>un mélange n</w:t>
      </w:r>
      <w:r w:rsidR="00CA5971" w:rsidRPr="00AA4BAD">
        <w:t>’</w:t>
      </w:r>
      <w:r w:rsidRPr="00AA4BAD">
        <w:t xml:space="preserve">a pas été testé pour ce qui est de sa </w:t>
      </w:r>
      <w:r w:rsidR="00AA4BAD">
        <w:t>corrosion cutanée</w:t>
      </w:r>
      <w:r w:rsidRPr="00AA4BAD">
        <w:t>, mais que l</w:t>
      </w:r>
      <w:r w:rsidR="00CA5971" w:rsidRPr="00AA4BAD">
        <w:t>’</w:t>
      </w:r>
      <w:r w:rsidRPr="00AA4BAD">
        <w:t xml:space="preserve">on dispose, pour le classer de façon adaptée, de suffisamment de données sur chacune de ses composantes et sur des mélanges similaires testés, les données en question peuvent être utilisées conformément aux principes </w:t>
      </w:r>
      <w:r w:rsidRPr="00571761">
        <w:t>d</w:t>
      </w:r>
      <w:r w:rsidR="00CA5971" w:rsidRPr="00571761">
        <w:t>’</w:t>
      </w:r>
      <w:r w:rsidRPr="00571761">
        <w:t>extrapolation qui suivent. Cela permet de s</w:t>
      </w:r>
      <w:r w:rsidR="00CA5971" w:rsidRPr="00571761">
        <w:t>’</w:t>
      </w:r>
      <w:r w:rsidRPr="00571761">
        <w:t>assurer que le processus de classification utilise les données accessibles dans la mesure du possible en caractérisant les dangers du mélange.</w:t>
      </w:r>
    </w:p>
    <w:p w14:paraId="4FA309BB" w14:textId="1917EDAA" w:rsidR="0025753E" w:rsidRPr="00571761" w:rsidRDefault="0025753E" w:rsidP="009E6799">
      <w:pPr>
        <w:pStyle w:val="SingleTxtG"/>
        <w:ind w:left="2268"/>
      </w:pPr>
      <w:r w:rsidRPr="00571761">
        <w:t>(a)</w:t>
      </w:r>
      <w:r w:rsidRPr="00571761">
        <w:tab/>
      </w:r>
      <w:r w:rsidR="009E6799">
        <w:rPr>
          <w:b/>
        </w:rPr>
        <w:t>Dilution</w:t>
      </w:r>
      <w:r w:rsidRPr="00571761">
        <w:t>: À moins que des effets synergiques ou antagonistes n</w:t>
      </w:r>
      <w:r w:rsidR="00CA5971" w:rsidRPr="00571761">
        <w:t>’</w:t>
      </w:r>
      <w:r w:rsidRPr="00571761">
        <w:t xml:space="preserve">indiquent le contraire, si un mélange testé est dilué avec un diluant qui ne </w:t>
      </w:r>
      <w:r w:rsidR="00383C0D">
        <w:t>satisfait</w:t>
      </w:r>
      <w:r w:rsidRPr="00571761">
        <w:t xml:space="preserve"> pas les critères de la classe 8 et qui n</w:t>
      </w:r>
      <w:r w:rsidR="00CA5971" w:rsidRPr="00571761">
        <w:t>’</w:t>
      </w:r>
      <w:r w:rsidRPr="00571761">
        <w:t>a aucune incidence sur le groupe d</w:t>
      </w:r>
      <w:r w:rsidR="00CA5971" w:rsidRPr="00571761">
        <w:t>’</w:t>
      </w:r>
      <w:r w:rsidRPr="00571761">
        <w:t>emballage d</w:t>
      </w:r>
      <w:r w:rsidR="00CA5971" w:rsidRPr="00571761">
        <w:t>’</w:t>
      </w:r>
      <w:r w:rsidRPr="00571761">
        <w:t>autres composantes, on peut affecter le nouveau mélange dilué au même groupe d</w:t>
      </w:r>
      <w:r w:rsidR="00CA5971" w:rsidRPr="00571761">
        <w:t>’</w:t>
      </w:r>
      <w:r w:rsidRPr="00571761">
        <w:t>emballage que le mélange initial testé.</w:t>
      </w:r>
    </w:p>
    <w:p w14:paraId="258B1431" w14:textId="56835984" w:rsidR="0025753E" w:rsidRPr="00571761" w:rsidRDefault="0025753E" w:rsidP="009E6799">
      <w:pPr>
        <w:pStyle w:val="SingleTxtG"/>
        <w:ind w:left="2268"/>
      </w:pPr>
      <w:r w:rsidRPr="00571761">
        <w:t>(b)</w:t>
      </w:r>
      <w:r w:rsidRPr="00571761">
        <w:tab/>
      </w:r>
      <w:r w:rsidR="009E6799">
        <w:rPr>
          <w:b/>
        </w:rPr>
        <w:t>Production en lots</w:t>
      </w:r>
      <w:r w:rsidRPr="00571761">
        <w:t>:</w:t>
      </w:r>
      <w:r w:rsidR="00571761">
        <w:t xml:space="preserve"> </w:t>
      </w:r>
      <w:r w:rsidRPr="00571761">
        <w:t>Le pouvoir de corrosion cutanée d</w:t>
      </w:r>
      <w:r w:rsidR="00CA5971" w:rsidRPr="00571761">
        <w:t>’</w:t>
      </w:r>
      <w:r w:rsidRPr="00571761">
        <w:t>un lot de production de mélange ayant fait l</w:t>
      </w:r>
      <w:r w:rsidR="00CA5971" w:rsidRPr="00571761">
        <w:t>’</w:t>
      </w:r>
      <w:r w:rsidRPr="00571761">
        <w:t>objet d</w:t>
      </w:r>
      <w:r w:rsidR="00CA5971" w:rsidRPr="00571761">
        <w:t>’</w:t>
      </w:r>
      <w:r w:rsidRPr="00571761">
        <w:t>épreuves peut être considéré comme foncièrement équivalent à celui d</w:t>
      </w:r>
      <w:r w:rsidR="00CA5971" w:rsidRPr="00571761">
        <w:t>’</w:t>
      </w:r>
      <w:r w:rsidRPr="00571761">
        <w:t xml:space="preserve">un autre lot de production non testé du même produit commercial, sous réserve que le même fabricant en assure ou en supervise la fabrication, et à moins de soupçonner une différence </w:t>
      </w:r>
      <w:r w:rsidRPr="00571761">
        <w:lastRenderedPageBreak/>
        <w:t xml:space="preserve">significative entraînant une modification de la </w:t>
      </w:r>
      <w:r w:rsidR="00AA4BAD" w:rsidRPr="00571761">
        <w:t>corrosion cutanée</w:t>
      </w:r>
      <w:r w:rsidRPr="00571761">
        <w:t xml:space="preserve"> du lot non testé, dans lequel cas, une nouvelle classification sera requise.</w:t>
      </w:r>
    </w:p>
    <w:p w14:paraId="7FC15F69" w14:textId="1B799325" w:rsidR="0025753E" w:rsidRPr="00571761" w:rsidRDefault="0025753E" w:rsidP="009E6799">
      <w:pPr>
        <w:pStyle w:val="SingleTxtG"/>
        <w:ind w:left="2268"/>
      </w:pPr>
      <w:r w:rsidRPr="00571761">
        <w:t>(c)</w:t>
      </w:r>
      <w:r w:rsidRPr="00571761">
        <w:tab/>
      </w:r>
      <w:r w:rsidRPr="00571761">
        <w:rPr>
          <w:b/>
        </w:rPr>
        <w:t>Concentration des mélanges du groupe d</w:t>
      </w:r>
      <w:r w:rsidR="00CA5971" w:rsidRPr="00571761">
        <w:rPr>
          <w:b/>
        </w:rPr>
        <w:t>’</w:t>
      </w:r>
      <w:r w:rsidR="009E6799">
        <w:rPr>
          <w:b/>
        </w:rPr>
        <w:t>emballage I</w:t>
      </w:r>
      <w:r w:rsidRPr="00571761">
        <w:t>:</w:t>
      </w:r>
      <w:r w:rsidR="00571761">
        <w:t xml:space="preserve"> </w:t>
      </w:r>
      <w:r w:rsidRPr="00571761">
        <w:t>Si un mélange testé qui respecte les critères d</w:t>
      </w:r>
      <w:r w:rsidR="00CA5971" w:rsidRPr="00571761">
        <w:t>’</w:t>
      </w:r>
      <w:r w:rsidRPr="00571761">
        <w:t>inclusion du groupe d</w:t>
      </w:r>
      <w:r w:rsidR="00CA5971" w:rsidRPr="00571761">
        <w:t>’</w:t>
      </w:r>
      <w:r w:rsidRPr="00571761">
        <w:t>emballage I est un concentré, le mélange le plus concentré non testé peut être affecté au groupe d</w:t>
      </w:r>
      <w:r w:rsidR="00CA5971" w:rsidRPr="00571761">
        <w:t>’</w:t>
      </w:r>
      <w:r w:rsidRPr="00571761">
        <w:t>emballage I sans essai supplémentaire.</w:t>
      </w:r>
    </w:p>
    <w:p w14:paraId="285B2E42" w14:textId="27A6B28B" w:rsidR="00571761" w:rsidRDefault="0025753E" w:rsidP="009E6799">
      <w:pPr>
        <w:pStyle w:val="SingleTxtG"/>
        <w:ind w:left="2268"/>
      </w:pPr>
      <w:r w:rsidRPr="00571761">
        <w:t>(d)</w:t>
      </w:r>
      <w:r w:rsidRPr="00571761">
        <w:tab/>
      </w:r>
      <w:r w:rsidRPr="00571761">
        <w:rPr>
          <w:b/>
        </w:rPr>
        <w:t>Interpolation au sein d</w:t>
      </w:r>
      <w:r w:rsidR="00CA5971" w:rsidRPr="00571761">
        <w:rPr>
          <w:b/>
        </w:rPr>
        <w:t>’</w:t>
      </w:r>
      <w:r w:rsidRPr="00571761">
        <w:rPr>
          <w:b/>
        </w:rPr>
        <w:t>un même groupe d</w:t>
      </w:r>
      <w:r w:rsidR="00CA5971" w:rsidRPr="00571761">
        <w:rPr>
          <w:b/>
        </w:rPr>
        <w:t>’</w:t>
      </w:r>
      <w:r w:rsidR="009E6799">
        <w:rPr>
          <w:b/>
        </w:rPr>
        <w:t>emballage</w:t>
      </w:r>
      <w:r w:rsidRPr="00571761">
        <w:t>:</w:t>
      </w:r>
      <w:r w:rsidR="00571761">
        <w:rPr>
          <w:b/>
        </w:rPr>
        <w:t xml:space="preserve"> </w:t>
      </w:r>
      <w:r w:rsidRPr="00571761">
        <w:t>Dans le cas de trois mélanges (X, Y et Z) aux composantes identiques, où les mélanges X et Y ont fait l</w:t>
      </w:r>
      <w:r w:rsidR="00CA5971" w:rsidRPr="00571761">
        <w:t>’</w:t>
      </w:r>
      <w:r w:rsidRPr="00571761">
        <w:t>objet d</w:t>
      </w:r>
      <w:r w:rsidR="00CA5971" w:rsidRPr="00571761">
        <w:t>’</w:t>
      </w:r>
      <w:r w:rsidRPr="00571761">
        <w:t>épreuves et relèvent du même groupe d</w:t>
      </w:r>
      <w:r w:rsidR="00CA5971" w:rsidRPr="00571761">
        <w:t>’</w:t>
      </w:r>
      <w:r w:rsidRPr="00571761">
        <w:t>emballage en raison de leur pouvoir de corrosion cutanée, et supposant que le mélange non testé Z contienne les mêmes principes actifs que les mélanges X et Y, mais a des concentrations intermédiaires à ceux-ci, on estime que le mélange Z relève du même groupe d</w:t>
      </w:r>
      <w:r w:rsidR="00CA5971" w:rsidRPr="00571761">
        <w:t>’</w:t>
      </w:r>
      <w:r w:rsidRPr="00571761">
        <w:t xml:space="preserve">emballage que X et Y. </w:t>
      </w:r>
    </w:p>
    <w:p w14:paraId="21863314" w14:textId="614AC5B1" w:rsidR="0025753E" w:rsidRPr="00571761" w:rsidRDefault="0025753E" w:rsidP="005B7EA8">
      <w:pPr>
        <w:pStyle w:val="SingleTxtG"/>
        <w:ind w:left="2268"/>
      </w:pPr>
      <w:r w:rsidRPr="00571761">
        <w:t>(e)</w:t>
      </w:r>
      <w:r w:rsidRPr="00571761">
        <w:tab/>
      </w:r>
      <w:r w:rsidRPr="005B7EA8">
        <w:rPr>
          <w:b/>
        </w:rPr>
        <w:t>Mélanges essentiellement similaires,</w:t>
      </w:r>
      <w:r w:rsidR="005B7EA8">
        <w:t xml:space="preserve"> soit</w:t>
      </w:r>
      <w:r w:rsidRPr="00571761">
        <w:t>:</w:t>
      </w:r>
    </w:p>
    <w:p w14:paraId="3AD1B738" w14:textId="3DF2BB22" w:rsidR="0025753E" w:rsidRPr="00AA4BAD" w:rsidRDefault="0025753E" w:rsidP="005B7EA8">
      <w:pPr>
        <w:pStyle w:val="SingleTxtG"/>
        <w:ind w:left="2835"/>
      </w:pPr>
      <w:r>
        <w:t>(i)</w:t>
      </w:r>
      <w:r>
        <w:tab/>
      </w:r>
      <w:r w:rsidR="00383C0D">
        <w:t xml:space="preserve">Deux mélanges : </w:t>
      </w:r>
      <w:r w:rsidRPr="00AA4BAD">
        <w:t>(X + Y) et (Z + Y);</w:t>
      </w:r>
    </w:p>
    <w:p w14:paraId="211CDBC7" w14:textId="77777777" w:rsidR="0025753E" w:rsidRPr="00AA4BAD" w:rsidRDefault="0025753E" w:rsidP="005B7EA8">
      <w:pPr>
        <w:pStyle w:val="SingleTxtG"/>
        <w:ind w:left="2835"/>
      </w:pPr>
      <w:r w:rsidRPr="00AA4BAD">
        <w:t>(ii)</w:t>
      </w:r>
      <w:r w:rsidRPr="00AA4BAD">
        <w:tab/>
        <w:t>La concentration de la composante Y est la même dans les deux mélanges;</w:t>
      </w:r>
    </w:p>
    <w:p w14:paraId="00DEBFA0" w14:textId="77777777" w:rsidR="0025753E" w:rsidRPr="00AA4BAD" w:rsidRDefault="0025753E" w:rsidP="005B7EA8">
      <w:pPr>
        <w:pStyle w:val="SingleTxtG"/>
        <w:ind w:left="2835"/>
      </w:pPr>
      <w:r w:rsidRPr="00AA4BAD">
        <w:t>(iii)</w:t>
      </w:r>
      <w:r w:rsidRPr="00AA4BAD">
        <w:tab/>
        <w:t>La concentration de la composante X dans le mélange (X + Y) est égale à la concentration de la composante Z dans le mélange (Z + Y);</w:t>
      </w:r>
    </w:p>
    <w:p w14:paraId="08FDD8CC" w14:textId="79F7965C" w:rsidR="0025753E" w:rsidRPr="00AA4BAD" w:rsidRDefault="0025753E" w:rsidP="005B7EA8">
      <w:pPr>
        <w:pStyle w:val="SingleTxtG"/>
        <w:ind w:left="2835"/>
      </w:pPr>
      <w:r w:rsidRPr="00AA4BAD">
        <w:t>(iv)</w:t>
      </w:r>
      <w:r w:rsidRPr="00AA4BAD">
        <w:tab/>
        <w:t>Des données sur la corrosivité des composantes X et Z sont disponibles et substantiellement équivalentes (c.-à-d. celles-ci relèvent du même groupe d</w:t>
      </w:r>
      <w:r w:rsidR="00CA5971" w:rsidRPr="00AA4BAD">
        <w:t>’</w:t>
      </w:r>
      <w:r w:rsidRPr="00AA4BAD">
        <w:t>emballage et n</w:t>
      </w:r>
      <w:r w:rsidR="00CA5971" w:rsidRPr="00AA4BAD">
        <w:t>’</w:t>
      </w:r>
      <w:r w:rsidRPr="00AA4BAD">
        <w:t>ont aucune incidence sur le pouvoir de corrosion cutanée de la composante Y).</w:t>
      </w:r>
    </w:p>
    <w:p w14:paraId="08CB538B" w14:textId="4EF6DF3F" w:rsidR="005F2F03" w:rsidRPr="00353900" w:rsidRDefault="0025753E" w:rsidP="005B7EA8">
      <w:pPr>
        <w:pStyle w:val="SingleTxtG"/>
        <w:ind w:left="2268"/>
      </w:pPr>
      <w:r>
        <w:t>Si l</w:t>
      </w:r>
      <w:r w:rsidR="00CA5971">
        <w:t>’</w:t>
      </w:r>
      <w:r>
        <w:t>un des mélanges (X + Y) ou (Z + Y) a déjà été classé sur la base de données d</w:t>
      </w:r>
      <w:r w:rsidR="00CA5971">
        <w:t>’</w:t>
      </w:r>
      <w:r>
        <w:t>épreuves, l</w:t>
      </w:r>
      <w:r w:rsidR="00CA5971">
        <w:t>’</w:t>
      </w:r>
      <w:r>
        <w:t>autre mélange peut être affecté au même groupe d</w:t>
      </w:r>
      <w:r w:rsidR="00CA5971">
        <w:t>’</w:t>
      </w:r>
      <w:r>
        <w:t>emballage.</w:t>
      </w:r>
    </w:p>
    <w:p w14:paraId="61AB943F" w14:textId="77777777" w:rsidR="005F2F03" w:rsidRPr="00353900" w:rsidRDefault="005F2F03" w:rsidP="005B7EA8">
      <w:pPr>
        <w:pStyle w:val="SingleTxtG"/>
        <w:rPr>
          <w:bCs/>
        </w:rPr>
      </w:pPr>
      <w:r>
        <w:t xml:space="preserve">2.8.4.3 </w:t>
      </w:r>
      <w:r>
        <w:tab/>
      </w:r>
      <w:r w:rsidRPr="005B7EA8">
        <w:rPr>
          <w:i/>
        </w:rPr>
        <w:t>Méthode de calcul fondée sur la classification des matières</w:t>
      </w:r>
    </w:p>
    <w:p w14:paraId="0D9F948D" w14:textId="50B399A9" w:rsidR="005F2F03" w:rsidRDefault="005F2F03" w:rsidP="005B7EA8">
      <w:pPr>
        <w:pStyle w:val="SingleTxtG"/>
      </w:pPr>
      <w:r>
        <w:t xml:space="preserve">2.8.4.3.1 </w:t>
      </w:r>
      <w:r>
        <w:tab/>
        <w:t>Lorsqu</w:t>
      </w:r>
      <w:r w:rsidR="00CA5971">
        <w:t>’</w:t>
      </w:r>
      <w:r>
        <w:t>un mélange n</w:t>
      </w:r>
      <w:r w:rsidR="00CA5971">
        <w:t>’</w:t>
      </w:r>
      <w:r>
        <w:t xml:space="preserve">a pas été testé pour ce qui est de sa </w:t>
      </w:r>
      <w:r w:rsidR="00AA4BAD">
        <w:t>corrosion cutanée</w:t>
      </w:r>
      <w:r>
        <w:t xml:space="preserve"> et que les données sur les mélanges similaires sont insuffisantes, les propriétés corrosives des matières du mélange doivent être prises en considération aux fins de classification et d</w:t>
      </w:r>
      <w:r w:rsidR="00CA5971">
        <w:t>’</w:t>
      </w:r>
      <w:r>
        <w:t>affectation aux groupes d</w:t>
      </w:r>
      <w:r w:rsidR="00CA5971">
        <w:t>’</w:t>
      </w:r>
      <w:r>
        <w:t>emballage. Cela est possible lorsque toutes les matières du mélange, qui ont une concentration supérieure à 1 %, sont prises en considération aux fins de classification conformément au chapitre 2.</w:t>
      </w:r>
    </w:p>
    <w:p w14:paraId="69C6A4B7" w14:textId="66B3D67C" w:rsidR="000E5995" w:rsidRPr="00353900" w:rsidRDefault="000E5995" w:rsidP="005B7EA8">
      <w:pPr>
        <w:pStyle w:val="SingleTxtG"/>
      </w:pPr>
      <w:r>
        <w:t>L</w:t>
      </w:r>
      <w:r w:rsidR="00CA5971">
        <w:t>’</w:t>
      </w:r>
      <w:r>
        <w:t>utilisation de la méthode de calcul n</w:t>
      </w:r>
      <w:r w:rsidR="00CA5971">
        <w:t>’</w:t>
      </w:r>
      <w:r>
        <w:t xml:space="preserve">est autorisée que si des effets synergiques connus rendent le mélange plus corrosif </w:t>
      </w:r>
      <w:r w:rsidRPr="00E36DAF">
        <w:t>que la somme de ses matières. C</w:t>
      </w:r>
      <w:r>
        <w:t>ette restriction s</w:t>
      </w:r>
      <w:r w:rsidR="00CA5971">
        <w:t>’</w:t>
      </w:r>
      <w:r>
        <w:t>applique u</w:t>
      </w:r>
      <w:r w:rsidR="005B7EA8">
        <w:t>n</w:t>
      </w:r>
      <w:r>
        <w:t>iquement si le mélange est affecté au groupe d</w:t>
      </w:r>
      <w:r w:rsidR="00CA5971">
        <w:t>’</w:t>
      </w:r>
      <w:r>
        <w:t>emballage II ou III.</w:t>
      </w:r>
    </w:p>
    <w:p w14:paraId="06E3A287" w14:textId="75EAF6FC" w:rsidR="005F2F03" w:rsidRPr="00353900" w:rsidRDefault="005F2F03" w:rsidP="005B7EA8">
      <w:pPr>
        <w:pStyle w:val="SingleTxtG"/>
      </w:pPr>
      <w:r>
        <w:t>2.8.4.3.2</w:t>
      </w:r>
      <w:r>
        <w:tab/>
        <w:t>La valeur seuil générique des matières corrosives qui doit être prise en considération correspond à 1 % ou à &lt; 1 % s</w:t>
      </w:r>
      <w:r w:rsidR="00CA5971">
        <w:t>’</w:t>
      </w:r>
      <w:r>
        <w:t>il est présumé que les ingrédients dont la concentration est de &lt; 1 % sont toujours pertinents aux fins de classification du mélange potentiellement corrosif pour la peau.</w:t>
      </w:r>
    </w:p>
    <w:p w14:paraId="309C9285" w14:textId="27454B2F" w:rsidR="005F2F03" w:rsidRDefault="005F2F03" w:rsidP="005B7EA8">
      <w:pPr>
        <w:pStyle w:val="SingleTxtG"/>
      </w:pPr>
      <w:r>
        <w:t>2.8.4.3.3</w:t>
      </w:r>
      <w:r>
        <w:tab/>
        <w:t>Pour déterminer si un mélange contenant des substances corrosives doit être considéré comme un mélange corrosif et être affecté à un groupe d</w:t>
      </w:r>
      <w:r w:rsidR="00CA5971">
        <w:t>’</w:t>
      </w:r>
      <w:r>
        <w:t>emballage, la méthode de calcul de l</w:t>
      </w:r>
      <w:r w:rsidR="00CA5971">
        <w:t>’</w:t>
      </w:r>
      <w:r>
        <w:t>organigramme de la figure 2.8.4.3 doit être utilisée. Lorsqu</w:t>
      </w:r>
      <w:r w:rsidR="00CA5971">
        <w:t>’</w:t>
      </w:r>
      <w:r>
        <w:t>une limite de concentration précise est attribuée à une matière à la suite de son intégration à la Liste des marchandises dangereuses ou à une disposition spéciale, cette limite doit être utilisée en remplacement des limites génériques de la figure 2.8.4.3.</w:t>
      </w:r>
    </w:p>
    <w:p w14:paraId="054F2D8A" w14:textId="4DF85AD6" w:rsidR="00CF0CC8" w:rsidRDefault="005F2F03" w:rsidP="005B7EA8">
      <w:pPr>
        <w:pStyle w:val="Default"/>
        <w:ind w:left="1134"/>
        <w:jc w:val="center"/>
        <w:rPr>
          <w:b/>
          <w:sz w:val="20"/>
          <w:szCs w:val="20"/>
        </w:rPr>
      </w:pPr>
      <w:r w:rsidRPr="002C7EE4">
        <w:rPr>
          <w:b/>
          <w:sz w:val="20"/>
        </w:rPr>
        <w:lastRenderedPageBreak/>
        <w:t>Figure 2.8.4.3</w:t>
      </w:r>
      <w:r>
        <w:rPr>
          <w:b/>
          <w:sz w:val="20"/>
        </w:rPr>
        <w:t> : Méthode de calcul</w:t>
      </w:r>
    </w:p>
    <w:p w14:paraId="4992BD99" w14:textId="77777777" w:rsidR="00CF0CC8" w:rsidRDefault="00CF0CC8" w:rsidP="005F2F03">
      <w:pPr>
        <w:pStyle w:val="Default"/>
        <w:ind w:left="1134"/>
        <w:rPr>
          <w:b/>
          <w:sz w:val="20"/>
          <w:szCs w:val="20"/>
        </w:rPr>
      </w:pPr>
    </w:p>
    <w:p w14:paraId="1D806330" w14:textId="4399D5E4" w:rsidR="005F2F03" w:rsidRPr="00353900" w:rsidRDefault="00E36DAF" w:rsidP="00E36DAF">
      <w:pPr>
        <w:pStyle w:val="Default"/>
        <w:jc w:val="center"/>
        <w:rPr>
          <w:b/>
          <w:sz w:val="20"/>
          <w:szCs w:val="20"/>
        </w:rPr>
      </w:pPr>
      <w:r>
        <w:rPr>
          <w:b/>
          <w:noProof/>
          <w:sz w:val="20"/>
          <w:szCs w:val="20"/>
          <w:u w:val="single"/>
          <w:lang w:val="en-GB" w:eastAsia="en-GB" w:bidi="ar-SA"/>
        </w:rPr>
        <w:drawing>
          <wp:inline distT="0" distB="0" distL="0" distR="0" wp14:anchorId="7FAF515C" wp14:editId="3BDABB6E">
            <wp:extent cx="6120765" cy="2511408"/>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765" cy="2511408"/>
                    </a:xfrm>
                    <a:prstGeom prst="rect">
                      <a:avLst/>
                    </a:prstGeom>
                    <a:noFill/>
                  </pic:spPr>
                </pic:pic>
              </a:graphicData>
            </a:graphic>
          </wp:inline>
        </w:drawing>
      </w:r>
    </w:p>
    <w:p w14:paraId="31C9C522" w14:textId="0A731C3E" w:rsidR="005F2F03" w:rsidRDefault="005B7EA8" w:rsidP="005B7EA8">
      <w:pPr>
        <w:pStyle w:val="H1G"/>
        <w:rPr>
          <w:bCs/>
          <w:szCs w:val="23"/>
        </w:rPr>
      </w:pPr>
      <w:r>
        <w:tab/>
      </w:r>
      <w:r>
        <w:tab/>
      </w:r>
      <w:r w:rsidR="005F2F03">
        <w:t xml:space="preserve">2.8.5 </w:t>
      </w:r>
      <w:r w:rsidR="005F2F03">
        <w:tab/>
        <w:t>Matières refusées pour le transport</w:t>
      </w:r>
    </w:p>
    <w:p w14:paraId="22818A90" w14:textId="7D0F1C95" w:rsidR="005F2F03" w:rsidRPr="00353900" w:rsidRDefault="005F2F03" w:rsidP="005B7EA8">
      <w:pPr>
        <w:pStyle w:val="SingleTxtG"/>
        <w:rPr>
          <w:bCs/>
        </w:rPr>
      </w:pPr>
      <w:r>
        <w:tab/>
        <w:t>Les matières instables chimiquement de la classe 8 ne doivent pas être acceptées pour le transport, à moins de prendre les précautions requises pour empêcher le risque d</w:t>
      </w:r>
      <w:r w:rsidR="00CA5971">
        <w:t>’</w:t>
      </w:r>
      <w:r>
        <w:t>une décomposition dangereuse ou qu</w:t>
      </w:r>
      <w:r w:rsidR="00CA5971">
        <w:t>’</w:t>
      </w:r>
      <w:r>
        <w:t>une polymérisation ne survienne dans des conditions normales de transport. Pour connaître les précautions nécessaires afin d</w:t>
      </w:r>
      <w:r w:rsidR="00CA5971">
        <w:t>’</w:t>
      </w:r>
      <w:r>
        <w:t>empêcher la polymérisation, voir la disposition spéciale 386 du chapitre 3.3. À cette fin, des précautions particulières devront être prises pour s</w:t>
      </w:r>
      <w:r w:rsidR="00CA5971">
        <w:t>’</w:t>
      </w:r>
      <w:r>
        <w:t>assurer que les contenants et les réservoirs ne contiennent aucune matière pouvant provoquer ces réactions.</w:t>
      </w:r>
    </w:p>
    <w:p w14:paraId="5EAD77E0" w14:textId="47C88AD2" w:rsidR="00573639" w:rsidRPr="005B7EA8" w:rsidRDefault="005B7EA8" w:rsidP="005B7EA8">
      <w:pPr>
        <w:spacing w:before="240"/>
        <w:ind w:left="1134" w:right="1134"/>
        <w:jc w:val="center"/>
        <w:rPr>
          <w:u w:val="single"/>
        </w:rPr>
      </w:pPr>
      <w:r>
        <w:rPr>
          <w:u w:val="single"/>
        </w:rPr>
        <w:tab/>
      </w:r>
      <w:r>
        <w:rPr>
          <w:u w:val="single"/>
        </w:rPr>
        <w:tab/>
      </w:r>
      <w:r>
        <w:rPr>
          <w:u w:val="single"/>
        </w:rPr>
        <w:tab/>
      </w:r>
    </w:p>
    <w:p w14:paraId="0E8281EC" w14:textId="77777777" w:rsidR="00C316C3" w:rsidRDefault="00C316C3" w:rsidP="00B373EB">
      <w:pPr>
        <w:pStyle w:val="SingleTxtG"/>
        <w:ind w:left="1080"/>
      </w:pPr>
    </w:p>
    <w:sectPr w:rsidR="00C316C3" w:rsidSect="00E478CC">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524BF" w14:textId="77777777" w:rsidR="00CA5971" w:rsidRDefault="00CA5971"/>
  </w:endnote>
  <w:endnote w:type="continuationSeparator" w:id="0">
    <w:p w14:paraId="77F633FB" w14:textId="77777777" w:rsidR="00CA5971" w:rsidRDefault="00CA5971"/>
  </w:endnote>
  <w:endnote w:type="continuationNotice" w:id="1">
    <w:p w14:paraId="7E26D9B6" w14:textId="77777777" w:rsidR="00CA5971" w:rsidRDefault="00CA5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6F43" w14:textId="77777777" w:rsidR="00CA5971" w:rsidRDefault="00CA5971">
    <w:pPr>
      <w:pStyle w:val="Footer"/>
    </w:pPr>
    <w:r>
      <w:fldChar w:fldCharType="begin"/>
    </w:r>
    <w:r>
      <w:instrText xml:space="preserve"> PAGE   \* MERGEFORMAT </w:instrText>
    </w:r>
    <w:r>
      <w:fldChar w:fldCharType="separate"/>
    </w:r>
    <w:r w:rsidR="00585FEF">
      <w:rPr>
        <w:noProof/>
      </w:rPr>
      <w:t>2</w:t>
    </w:r>
    <w:r>
      <w:rPr>
        <w:noProof/>
      </w:rPr>
      <w:fldChar w:fldCharType="end"/>
    </w:r>
  </w:p>
  <w:p w14:paraId="6C412053" w14:textId="77777777" w:rsidR="00CA5971" w:rsidRDefault="00CA5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3AD6A" w14:textId="77777777" w:rsidR="00CA5971" w:rsidRDefault="00CA5971" w:rsidP="000E427C">
    <w:pPr>
      <w:pStyle w:val="Footer"/>
      <w:jc w:val="right"/>
    </w:pPr>
    <w:r>
      <w:fldChar w:fldCharType="begin"/>
    </w:r>
    <w:r>
      <w:instrText xml:space="preserve"> PAGE   \* MERGEFORMAT </w:instrText>
    </w:r>
    <w:r>
      <w:fldChar w:fldCharType="separate"/>
    </w:r>
    <w:r w:rsidR="00585FEF">
      <w:rPr>
        <w:noProof/>
      </w:rPr>
      <w:t>3</w:t>
    </w:r>
    <w:r>
      <w:rPr>
        <w:noProof/>
      </w:rPr>
      <w:fldChar w:fldCharType="end"/>
    </w:r>
  </w:p>
  <w:p w14:paraId="1B909187" w14:textId="77777777" w:rsidR="00CA5971" w:rsidRDefault="00CA5971" w:rsidP="000E427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F1EC6" w14:textId="77777777" w:rsidR="005B7EA8" w:rsidRDefault="005B7E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1715B" w14:textId="77777777" w:rsidR="00481B2B" w:rsidRDefault="00481B2B">
    <w:pPr>
      <w:pStyle w:val="Footer"/>
    </w:pPr>
    <w:r>
      <w:fldChar w:fldCharType="begin"/>
    </w:r>
    <w:r>
      <w:instrText xml:space="preserve"> PAGE   \* MERGEFORMAT </w:instrText>
    </w:r>
    <w:r>
      <w:fldChar w:fldCharType="separate"/>
    </w:r>
    <w:r w:rsidR="00585FEF">
      <w:rPr>
        <w:noProof/>
      </w:rPr>
      <w:t>10</w:t>
    </w:r>
    <w:r>
      <w:rPr>
        <w:noProof/>
      </w:rPr>
      <w:fldChar w:fldCharType="end"/>
    </w:r>
  </w:p>
  <w:p w14:paraId="3EC6706C" w14:textId="77777777" w:rsidR="00481B2B" w:rsidRDefault="00481B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9DAB4" w14:textId="77777777" w:rsidR="00481B2B" w:rsidRDefault="00481B2B" w:rsidP="000E427C">
    <w:pPr>
      <w:pStyle w:val="Footer"/>
      <w:jc w:val="right"/>
    </w:pPr>
    <w:r>
      <w:fldChar w:fldCharType="begin"/>
    </w:r>
    <w:r>
      <w:instrText xml:space="preserve"> PAGE   \* MERGEFORMAT </w:instrText>
    </w:r>
    <w:r>
      <w:fldChar w:fldCharType="separate"/>
    </w:r>
    <w:r w:rsidR="00585FEF">
      <w:rPr>
        <w:noProof/>
      </w:rPr>
      <w:t>9</w:t>
    </w:r>
    <w:r>
      <w:rPr>
        <w:noProof/>
      </w:rPr>
      <w:fldChar w:fldCharType="end"/>
    </w:r>
  </w:p>
  <w:p w14:paraId="5CD82586" w14:textId="77777777" w:rsidR="00481B2B" w:rsidRDefault="00481B2B" w:rsidP="000E427C">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757282"/>
      <w:docPartObj>
        <w:docPartGallery w:val="Page Numbers (Bottom of Page)"/>
        <w:docPartUnique/>
      </w:docPartObj>
    </w:sdtPr>
    <w:sdtEndPr>
      <w:rPr>
        <w:noProof/>
      </w:rPr>
    </w:sdtEndPr>
    <w:sdtContent>
      <w:p w14:paraId="0008F47F" w14:textId="5ACC9961" w:rsidR="005B7EA8" w:rsidRDefault="005B7EA8">
        <w:pPr>
          <w:pStyle w:val="Footer"/>
        </w:pPr>
        <w:r>
          <w:fldChar w:fldCharType="begin"/>
        </w:r>
        <w:r>
          <w:instrText xml:space="preserve"> PAGE   \* MERGEFORMAT </w:instrText>
        </w:r>
        <w:r>
          <w:fldChar w:fldCharType="separate"/>
        </w:r>
        <w:r w:rsidR="00585FEF">
          <w:rPr>
            <w:noProof/>
          </w:rPr>
          <w:t>4</w:t>
        </w:r>
        <w:r>
          <w:rPr>
            <w:noProof/>
          </w:rPr>
          <w:fldChar w:fldCharType="end"/>
        </w:r>
      </w:p>
    </w:sdtContent>
  </w:sdt>
  <w:p w14:paraId="4ADE96EB" w14:textId="77777777" w:rsidR="00481B2B" w:rsidRDefault="00481B2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36CDB" w14:textId="77777777" w:rsidR="005B7EA8" w:rsidRDefault="005B7EA8">
    <w:pPr>
      <w:pStyle w:val="Footer"/>
    </w:pPr>
    <w:r>
      <w:fldChar w:fldCharType="begin"/>
    </w:r>
    <w:r>
      <w:instrText xml:space="preserve"> PAGE   \* MERGEFORMAT </w:instrText>
    </w:r>
    <w:r>
      <w:fldChar w:fldCharType="separate"/>
    </w:r>
    <w:r w:rsidR="00585FEF">
      <w:rPr>
        <w:noProof/>
      </w:rPr>
      <w:t>16</w:t>
    </w:r>
    <w:r>
      <w:rPr>
        <w:noProof/>
      </w:rPr>
      <w:fldChar w:fldCharType="end"/>
    </w:r>
  </w:p>
  <w:p w14:paraId="26A3E6A6" w14:textId="77777777" w:rsidR="005B7EA8" w:rsidRDefault="005B7EA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6E81E" w14:textId="77777777" w:rsidR="005B7EA8" w:rsidRDefault="005B7EA8" w:rsidP="000E427C">
    <w:pPr>
      <w:pStyle w:val="Footer"/>
      <w:jc w:val="right"/>
    </w:pPr>
    <w:r>
      <w:fldChar w:fldCharType="begin"/>
    </w:r>
    <w:r>
      <w:instrText xml:space="preserve"> PAGE   \* MERGEFORMAT </w:instrText>
    </w:r>
    <w:r>
      <w:fldChar w:fldCharType="separate"/>
    </w:r>
    <w:r w:rsidR="00585FEF">
      <w:rPr>
        <w:noProof/>
      </w:rPr>
      <w:t>15</w:t>
    </w:r>
    <w:r>
      <w:rPr>
        <w:noProof/>
      </w:rPr>
      <w:fldChar w:fldCharType="end"/>
    </w:r>
  </w:p>
  <w:p w14:paraId="4BB3A4B5" w14:textId="77777777" w:rsidR="005B7EA8" w:rsidRDefault="005B7EA8" w:rsidP="000E427C">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432223"/>
      <w:docPartObj>
        <w:docPartGallery w:val="Page Numbers (Bottom of Page)"/>
        <w:docPartUnique/>
      </w:docPartObj>
    </w:sdtPr>
    <w:sdtEndPr>
      <w:rPr>
        <w:noProof/>
      </w:rPr>
    </w:sdtEndPr>
    <w:sdtContent>
      <w:p w14:paraId="03A613F0" w14:textId="5B36FB88" w:rsidR="005B7EA8" w:rsidRDefault="005B7EA8">
        <w:pPr>
          <w:pStyle w:val="Footer"/>
          <w:jc w:val="right"/>
        </w:pPr>
        <w:r>
          <w:fldChar w:fldCharType="begin"/>
        </w:r>
        <w:r>
          <w:instrText xml:space="preserve"> PAGE   \* MERGEFORMAT </w:instrText>
        </w:r>
        <w:r>
          <w:fldChar w:fldCharType="separate"/>
        </w:r>
        <w:r w:rsidR="00585FEF">
          <w:rPr>
            <w:noProof/>
          </w:rPr>
          <w:t>11</w:t>
        </w:r>
        <w:r>
          <w:rPr>
            <w:noProof/>
          </w:rPr>
          <w:fldChar w:fldCharType="end"/>
        </w:r>
      </w:p>
    </w:sdtContent>
  </w:sdt>
  <w:p w14:paraId="7CB23FB4" w14:textId="77777777" w:rsidR="005B7EA8" w:rsidRDefault="005B7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76020" w14:textId="77777777" w:rsidR="00CA5971" w:rsidRPr="000B175B" w:rsidRDefault="00CA5971" w:rsidP="000B175B">
      <w:pPr>
        <w:tabs>
          <w:tab w:val="right" w:pos="2155"/>
        </w:tabs>
        <w:spacing w:after="80"/>
        <w:ind w:left="680"/>
        <w:rPr>
          <w:u w:val="single"/>
        </w:rPr>
      </w:pPr>
      <w:r>
        <w:rPr>
          <w:u w:val="single"/>
        </w:rPr>
        <w:tab/>
      </w:r>
    </w:p>
  </w:footnote>
  <w:footnote w:type="continuationSeparator" w:id="0">
    <w:p w14:paraId="5054381B" w14:textId="77777777" w:rsidR="00CA5971" w:rsidRPr="00FC68B7" w:rsidRDefault="00CA5971" w:rsidP="00FC68B7">
      <w:pPr>
        <w:tabs>
          <w:tab w:val="left" w:pos="2155"/>
        </w:tabs>
        <w:spacing w:after="80"/>
        <w:ind w:left="680"/>
        <w:rPr>
          <w:u w:val="single"/>
        </w:rPr>
      </w:pPr>
      <w:r>
        <w:rPr>
          <w:u w:val="single"/>
        </w:rPr>
        <w:tab/>
      </w:r>
    </w:p>
  </w:footnote>
  <w:footnote w:type="continuationNotice" w:id="1">
    <w:p w14:paraId="783DAC4E" w14:textId="77777777" w:rsidR="00CA5971" w:rsidRDefault="00CA5971"/>
  </w:footnote>
  <w:footnote w:id="2">
    <w:p w14:paraId="28CC4F17" w14:textId="1C2EA10A" w:rsidR="00CA5971" w:rsidRPr="00CA5971" w:rsidRDefault="00CA5971" w:rsidP="00EE5977">
      <w:pPr>
        <w:pStyle w:val="FootnoteText"/>
        <w:ind w:firstLine="0"/>
        <w:rPr>
          <w:lang w:val="fr-CA"/>
        </w:rPr>
      </w:pPr>
      <w:r>
        <w:rPr>
          <w:rStyle w:val="FootnoteReference"/>
        </w:rPr>
        <w:footnoteRef/>
      </w:r>
      <w:r>
        <w:t xml:space="preserve"> Conformément au programme de travail de 2015-2016 du Sous-comité, que le Comité a approuvé lors de sa septième session (voir ST/SG/AC.10/C.3/92 </w:t>
      </w:r>
      <w:r w:rsidR="00281810">
        <w:t xml:space="preserve">para. 95 </w:t>
      </w:r>
      <w:r>
        <w:t xml:space="preserve">et </w:t>
      </w:r>
      <w:r w:rsidR="00281810">
        <w:t>ST/SG/AC.10/42</w:t>
      </w:r>
      <w:r>
        <w:t xml:space="preserve"> para</w:t>
      </w:r>
      <w:r w:rsidR="00281810">
        <w:t xml:space="preserve">. </w:t>
      </w:r>
      <w:r>
        <w:t>15.</w:t>
      </w:r>
    </w:p>
  </w:footnote>
  <w:footnote w:id="3">
    <w:p w14:paraId="4102EE1C" w14:textId="0AFD73CC" w:rsidR="00CA5971" w:rsidRPr="008F0CB8" w:rsidRDefault="00CA5971" w:rsidP="00A0212E">
      <w:pPr>
        <w:pStyle w:val="FootnoteText"/>
        <w:ind w:firstLine="0"/>
      </w:pPr>
      <w:r>
        <w:rPr>
          <w:rStyle w:val="FootnoteReference"/>
          <w:sz w:val="16"/>
        </w:rPr>
        <w:footnoteRef/>
      </w:r>
      <w:r>
        <w:rPr>
          <w:sz w:val="16"/>
        </w:rPr>
        <w:t xml:space="preserve"> </w:t>
      </w:r>
      <w:r w:rsidR="00570429">
        <w:rPr>
          <w:i/>
          <w:sz w:val="16"/>
        </w:rPr>
        <w:t>Ligne directrice de l’</w:t>
      </w:r>
      <w:r>
        <w:rPr>
          <w:i/>
          <w:sz w:val="16"/>
        </w:rPr>
        <w:t>OCDE pour les essais de produits chimiques n</w:t>
      </w:r>
      <w:r>
        <w:rPr>
          <w:i/>
          <w:sz w:val="16"/>
          <w:vertAlign w:val="superscript"/>
        </w:rPr>
        <w:t>o</w:t>
      </w:r>
      <w:r w:rsidR="00A0212E">
        <w:rPr>
          <w:i/>
          <w:sz w:val="16"/>
        </w:rPr>
        <w:t> 404, «</w:t>
      </w:r>
      <w:r>
        <w:rPr>
          <w:i/>
          <w:sz w:val="16"/>
        </w:rPr>
        <w:t>Effet irr</w:t>
      </w:r>
      <w:r w:rsidR="00A0212E">
        <w:rPr>
          <w:i/>
          <w:sz w:val="16"/>
        </w:rPr>
        <w:t>itant/corrosif aigu sur la peau</w:t>
      </w:r>
      <w:r>
        <w:rPr>
          <w:i/>
          <w:sz w:val="16"/>
        </w:rPr>
        <w:t>», 2002.</w:t>
      </w:r>
    </w:p>
  </w:footnote>
  <w:footnote w:id="4">
    <w:p w14:paraId="28759053" w14:textId="5B332050" w:rsidR="00CA5971" w:rsidRPr="008F0CB8" w:rsidRDefault="00CA5971" w:rsidP="00A0212E">
      <w:pPr>
        <w:pStyle w:val="FootnoteText"/>
        <w:ind w:firstLine="0"/>
      </w:pPr>
      <w:r>
        <w:rPr>
          <w:rStyle w:val="FootnoteReference"/>
          <w:sz w:val="16"/>
        </w:rPr>
        <w:footnoteRef/>
      </w:r>
      <w:r>
        <w:rPr>
          <w:sz w:val="16"/>
        </w:rPr>
        <w:t xml:space="preserve"> </w:t>
      </w:r>
      <w:r>
        <w:rPr>
          <w:i/>
          <w:sz w:val="16"/>
        </w:rPr>
        <w:t>Ligne directrice de l</w:t>
      </w:r>
      <w:r w:rsidR="00570429">
        <w:rPr>
          <w:i/>
          <w:sz w:val="16"/>
        </w:rPr>
        <w:t>’</w:t>
      </w:r>
      <w:r>
        <w:rPr>
          <w:i/>
          <w:sz w:val="16"/>
        </w:rPr>
        <w:t>OCDE pour les essais de produits chimiques n</w:t>
      </w:r>
      <w:r>
        <w:rPr>
          <w:i/>
          <w:sz w:val="16"/>
          <w:vertAlign w:val="superscript"/>
        </w:rPr>
        <w:t>o</w:t>
      </w:r>
      <w:r w:rsidR="00A0212E">
        <w:rPr>
          <w:i/>
          <w:sz w:val="16"/>
        </w:rPr>
        <w:t> 435, «</w:t>
      </w:r>
      <w:r>
        <w:rPr>
          <w:i/>
          <w:sz w:val="16"/>
        </w:rPr>
        <w:t>Méthode d</w:t>
      </w:r>
      <w:r w:rsidR="00570429">
        <w:rPr>
          <w:i/>
          <w:sz w:val="16"/>
        </w:rPr>
        <w:t>’</w:t>
      </w:r>
      <w:r>
        <w:rPr>
          <w:i/>
          <w:sz w:val="16"/>
        </w:rPr>
        <w:t>essai in vitro sur membrane d</w:t>
      </w:r>
      <w:r w:rsidR="00570429">
        <w:rPr>
          <w:i/>
          <w:sz w:val="16"/>
        </w:rPr>
        <w:t>’étanchéité</w:t>
      </w:r>
      <w:r w:rsidR="00A0212E">
        <w:rPr>
          <w:i/>
          <w:sz w:val="16"/>
        </w:rPr>
        <w:t xml:space="preserve"> pour la corrosion cutanée</w:t>
      </w:r>
      <w:r>
        <w:rPr>
          <w:i/>
          <w:sz w:val="16"/>
        </w:rPr>
        <w:t>», 2006.</w:t>
      </w:r>
    </w:p>
  </w:footnote>
  <w:footnote w:id="5">
    <w:p w14:paraId="412E8610" w14:textId="5F2D1186" w:rsidR="00CA5971" w:rsidRPr="008F0CB8" w:rsidRDefault="00CA5971" w:rsidP="00A0212E">
      <w:pPr>
        <w:pStyle w:val="FootnoteText"/>
        <w:ind w:firstLine="0"/>
        <w:rPr>
          <w:sz w:val="16"/>
          <w:szCs w:val="16"/>
        </w:rPr>
      </w:pPr>
      <w:r>
        <w:rPr>
          <w:rStyle w:val="FootnoteReference"/>
          <w:sz w:val="16"/>
        </w:rPr>
        <w:footnoteRef/>
      </w:r>
      <w:r>
        <w:rPr>
          <w:sz w:val="16"/>
        </w:rPr>
        <w:t xml:space="preserve"> </w:t>
      </w:r>
      <w:r>
        <w:rPr>
          <w:i/>
          <w:sz w:val="16"/>
        </w:rPr>
        <w:t>Ligne directrice de l</w:t>
      </w:r>
      <w:r w:rsidR="00570429">
        <w:rPr>
          <w:i/>
          <w:sz w:val="16"/>
        </w:rPr>
        <w:t>’</w:t>
      </w:r>
      <w:r>
        <w:rPr>
          <w:i/>
          <w:sz w:val="16"/>
        </w:rPr>
        <w:t>OCDE pour les essais de produits chimiques n</w:t>
      </w:r>
      <w:r>
        <w:rPr>
          <w:i/>
          <w:sz w:val="16"/>
          <w:vertAlign w:val="superscript"/>
        </w:rPr>
        <w:t>o</w:t>
      </w:r>
      <w:r>
        <w:rPr>
          <w:i/>
          <w:sz w:val="16"/>
        </w:rPr>
        <w:t> 430, « Corrosion cutanée</w:t>
      </w:r>
      <w:r w:rsidR="00570429">
        <w:rPr>
          <w:i/>
          <w:sz w:val="16"/>
        </w:rPr>
        <w:t xml:space="preserve"> in vitro : Essai de résistance</w:t>
      </w:r>
      <w:r w:rsidR="00A0212E">
        <w:rPr>
          <w:i/>
          <w:sz w:val="16"/>
        </w:rPr>
        <w:t xml:space="preserve"> </w:t>
      </w:r>
      <w:r>
        <w:rPr>
          <w:i/>
          <w:sz w:val="16"/>
        </w:rPr>
        <w:t>électrique transcutanée (RET) », 2004.</w:t>
      </w:r>
    </w:p>
  </w:footnote>
  <w:footnote w:id="6">
    <w:p w14:paraId="30D9D959" w14:textId="0C40021E" w:rsidR="00CA5971" w:rsidRPr="009B191F" w:rsidRDefault="00CA5971" w:rsidP="00A0212E">
      <w:pPr>
        <w:pStyle w:val="FootnoteText"/>
        <w:ind w:firstLine="0"/>
        <w:rPr>
          <w:sz w:val="16"/>
          <w:szCs w:val="16"/>
        </w:rPr>
      </w:pPr>
      <w:r>
        <w:rPr>
          <w:rStyle w:val="FootnoteReference"/>
          <w:sz w:val="16"/>
        </w:rPr>
        <w:footnoteRef/>
      </w:r>
      <w:r>
        <w:rPr>
          <w:sz w:val="16"/>
        </w:rPr>
        <w:t xml:space="preserve"> </w:t>
      </w:r>
      <w:r>
        <w:rPr>
          <w:i/>
          <w:sz w:val="16"/>
        </w:rPr>
        <w:t>Ligne directrice de l</w:t>
      </w:r>
      <w:r w:rsidR="00570429">
        <w:rPr>
          <w:i/>
          <w:sz w:val="16"/>
        </w:rPr>
        <w:t>’</w:t>
      </w:r>
      <w:r>
        <w:rPr>
          <w:i/>
          <w:sz w:val="16"/>
        </w:rPr>
        <w:t>OCDE pour les essais de produits chimiques n</w:t>
      </w:r>
      <w:r>
        <w:rPr>
          <w:i/>
          <w:sz w:val="16"/>
          <w:vertAlign w:val="superscript"/>
        </w:rPr>
        <w:t>o</w:t>
      </w:r>
      <w:r>
        <w:rPr>
          <w:i/>
          <w:sz w:val="16"/>
        </w:rPr>
        <w:t> 431, « Corrosion cutanée</w:t>
      </w:r>
      <w:r w:rsidR="00570429">
        <w:rPr>
          <w:i/>
          <w:sz w:val="16"/>
        </w:rPr>
        <w:t xml:space="preserve"> in vitro : Essai sur modèle de</w:t>
      </w:r>
      <w:r w:rsidR="00A0212E">
        <w:rPr>
          <w:i/>
          <w:sz w:val="16"/>
        </w:rPr>
        <w:t xml:space="preserve"> </w:t>
      </w:r>
      <w:r>
        <w:rPr>
          <w:i/>
          <w:sz w:val="16"/>
        </w:rPr>
        <w:t>peau humaine », 2004.</w:t>
      </w:r>
    </w:p>
  </w:footnote>
  <w:footnote w:id="7">
    <w:p w14:paraId="3073F463" w14:textId="3D89EEAE" w:rsidR="00CA5971" w:rsidRPr="00C63BE1" w:rsidRDefault="00CA5971" w:rsidP="00074FC1">
      <w:pPr>
        <w:pStyle w:val="FootnoteText"/>
        <w:keepLines/>
        <w:ind w:firstLine="0"/>
      </w:pPr>
      <w:r>
        <w:rPr>
          <w:rStyle w:val="FootnoteReference"/>
        </w:rPr>
        <w:footnoteRef/>
      </w:r>
      <w:r>
        <w:t xml:space="preserve"> </w:t>
      </w:r>
      <w:r w:rsidR="00DE0263">
        <w:tab/>
      </w:r>
      <w:r>
        <w:t xml:space="preserve">Organisation de coopération et de développement économiques (2014). </w:t>
      </w:r>
      <w:r>
        <w:rPr>
          <w:i/>
        </w:rPr>
        <w:t xml:space="preserve">Guidance on </w:t>
      </w:r>
      <w:proofErr w:type="spellStart"/>
      <w:r>
        <w:rPr>
          <w:i/>
        </w:rPr>
        <w:t>Grouping</w:t>
      </w:r>
      <w:proofErr w:type="spellEnd"/>
      <w:r>
        <w:rPr>
          <w:i/>
        </w:rPr>
        <w:t xml:space="preserve"> of </w:t>
      </w:r>
      <w:proofErr w:type="spellStart"/>
      <w:r>
        <w:rPr>
          <w:i/>
        </w:rPr>
        <w:t>Chemica</w:t>
      </w:r>
      <w:r w:rsidR="00AA4BAD">
        <w:rPr>
          <w:i/>
        </w:rPr>
        <w:t>ls</w:t>
      </w:r>
      <w:proofErr w:type="spellEnd"/>
      <w:r w:rsidR="00AA4BAD">
        <w:rPr>
          <w:i/>
        </w:rPr>
        <w:t>,</w:t>
      </w:r>
      <w:r w:rsidR="00074FC1">
        <w:rPr>
          <w:i/>
        </w:rPr>
        <w:t xml:space="preserve"> </w:t>
      </w:r>
      <w:r>
        <w:rPr>
          <w:i/>
        </w:rPr>
        <w:t>Second Edition</w:t>
      </w:r>
      <w:r>
        <w:t>, Paris (France) : OCDE, Direction de l</w:t>
      </w:r>
      <w:r w:rsidR="00570429">
        <w:t>’</w:t>
      </w:r>
      <w:r>
        <w:t>environnement – n</w:t>
      </w:r>
      <w:r>
        <w:rPr>
          <w:vertAlign w:val="superscript"/>
        </w:rPr>
        <w:t>o</w:t>
      </w:r>
      <w:r>
        <w:t> 19</w:t>
      </w:r>
      <w:r w:rsidR="00AA4BAD">
        <w:t>4 de la série sur les essais et</w:t>
      </w:r>
      <w:r w:rsidR="00074FC1">
        <w:t xml:space="preserve"> l</w:t>
      </w:r>
      <w:r w:rsidR="00570429">
        <w:t>’</w:t>
      </w:r>
      <w:r>
        <w:t>évaluation, rapport n</w:t>
      </w:r>
      <w:r>
        <w:rPr>
          <w:vertAlign w:val="superscript"/>
        </w:rPr>
        <w:t>o</w:t>
      </w:r>
      <w:r>
        <w:t> ENV/JM/MONO(2014)4, JT03356214. Accessible (en anglais seulement) à l</w:t>
      </w:r>
      <w:r w:rsidR="00570429">
        <w:t>’</w:t>
      </w:r>
      <w:r w:rsidR="00AA4BAD">
        <w:t>adresse</w:t>
      </w:r>
      <w:r w:rsidR="00074FC1">
        <w:t xml:space="preserve"> </w:t>
      </w:r>
      <w:r w:rsidR="00AA4BAD">
        <w:t xml:space="preserve">  </w:t>
      </w:r>
      <w:r>
        <w:t>http://www.oecd.org/officialdocuments/.</w:t>
      </w:r>
    </w:p>
  </w:footnote>
  <w:footnote w:id="8">
    <w:p w14:paraId="632980B7" w14:textId="77777777" w:rsidR="00E36DAF" w:rsidRPr="008F0CB8" w:rsidRDefault="00E36DAF" w:rsidP="009E6799">
      <w:pPr>
        <w:pStyle w:val="FootnoteText"/>
        <w:ind w:firstLine="0"/>
      </w:pPr>
      <w:r>
        <w:rPr>
          <w:rStyle w:val="FootnoteReference"/>
          <w:sz w:val="16"/>
        </w:rPr>
        <w:footnoteRef/>
      </w:r>
      <w:r>
        <w:rPr>
          <w:sz w:val="16"/>
        </w:rPr>
        <w:t xml:space="preserve"> </w:t>
      </w:r>
      <w:r>
        <w:rPr>
          <w:i/>
          <w:sz w:val="16"/>
        </w:rPr>
        <w:t>Ligne directrice de l’OCDE pour les essais de produits chimiques n</w:t>
      </w:r>
      <w:r>
        <w:rPr>
          <w:i/>
          <w:sz w:val="16"/>
          <w:vertAlign w:val="superscript"/>
        </w:rPr>
        <w:t>o</w:t>
      </w:r>
      <w:r>
        <w:rPr>
          <w:i/>
          <w:sz w:val="16"/>
        </w:rPr>
        <w:t> 404, « Effet irritant/corrosif aigu sur la peau », 2002.</w:t>
      </w:r>
    </w:p>
  </w:footnote>
  <w:footnote w:id="9">
    <w:p w14:paraId="4A3BC74B" w14:textId="77777777" w:rsidR="00E36DAF" w:rsidRDefault="00E36DAF" w:rsidP="009E6799">
      <w:pPr>
        <w:pStyle w:val="FootnoteText"/>
        <w:ind w:firstLine="0"/>
        <w:rPr>
          <w:i/>
          <w:sz w:val="16"/>
        </w:rPr>
      </w:pPr>
      <w:r>
        <w:rPr>
          <w:rStyle w:val="FootnoteReference"/>
          <w:sz w:val="16"/>
        </w:rPr>
        <w:footnoteRef/>
      </w:r>
      <w:r>
        <w:rPr>
          <w:sz w:val="16"/>
        </w:rPr>
        <w:t xml:space="preserve"> </w:t>
      </w:r>
      <w:r>
        <w:rPr>
          <w:i/>
          <w:sz w:val="16"/>
        </w:rPr>
        <w:t>Ligne directrice de l’OCDE pour les essais de produits chimiques n</w:t>
      </w:r>
      <w:r>
        <w:rPr>
          <w:i/>
          <w:sz w:val="16"/>
          <w:vertAlign w:val="superscript"/>
        </w:rPr>
        <w:t>o</w:t>
      </w:r>
      <w:r>
        <w:rPr>
          <w:i/>
          <w:sz w:val="16"/>
        </w:rPr>
        <w:t> 435, « Méthode d’essai in vitro sur membrane d’étanchéité</w:t>
      </w:r>
    </w:p>
    <w:p w14:paraId="725967C7" w14:textId="77777777" w:rsidR="00E36DAF" w:rsidRPr="008F0CB8" w:rsidRDefault="00E36DAF" w:rsidP="009E6799">
      <w:pPr>
        <w:pStyle w:val="FootnoteText"/>
        <w:ind w:firstLine="0"/>
      </w:pPr>
      <w:proofErr w:type="gramStart"/>
      <w:r>
        <w:rPr>
          <w:i/>
          <w:sz w:val="16"/>
        </w:rPr>
        <w:t>pour</w:t>
      </w:r>
      <w:proofErr w:type="gramEnd"/>
      <w:r>
        <w:rPr>
          <w:i/>
          <w:sz w:val="16"/>
        </w:rPr>
        <w:t xml:space="preserve"> la corrosion cutanée », 2006.</w:t>
      </w:r>
    </w:p>
  </w:footnote>
  <w:footnote w:id="10">
    <w:p w14:paraId="6AEF2DD5" w14:textId="77777777" w:rsidR="00E36DAF" w:rsidRDefault="00E36DAF" w:rsidP="009E6799">
      <w:pPr>
        <w:pStyle w:val="FootnoteText"/>
        <w:ind w:firstLine="0"/>
        <w:rPr>
          <w:i/>
          <w:sz w:val="16"/>
        </w:rPr>
      </w:pPr>
      <w:r>
        <w:rPr>
          <w:rStyle w:val="FootnoteReference"/>
          <w:sz w:val="16"/>
        </w:rPr>
        <w:footnoteRef/>
      </w:r>
      <w:r>
        <w:rPr>
          <w:sz w:val="16"/>
        </w:rPr>
        <w:t xml:space="preserve"> </w:t>
      </w:r>
      <w:r>
        <w:rPr>
          <w:i/>
          <w:sz w:val="16"/>
        </w:rPr>
        <w:t>Ligne directrice de l’OCDE pour les essais de produits chimiques n</w:t>
      </w:r>
      <w:r>
        <w:rPr>
          <w:i/>
          <w:sz w:val="16"/>
          <w:vertAlign w:val="superscript"/>
        </w:rPr>
        <w:t>o</w:t>
      </w:r>
      <w:r>
        <w:rPr>
          <w:i/>
          <w:sz w:val="16"/>
        </w:rPr>
        <w:t> 430, « Corrosion cutanée in vitro : Essai de résistance</w:t>
      </w:r>
    </w:p>
    <w:p w14:paraId="74BE3DFC" w14:textId="77777777" w:rsidR="00E36DAF" w:rsidRPr="008F0CB8" w:rsidRDefault="00E36DAF" w:rsidP="009E6799">
      <w:pPr>
        <w:pStyle w:val="FootnoteText"/>
        <w:ind w:firstLine="0"/>
        <w:rPr>
          <w:sz w:val="16"/>
          <w:szCs w:val="16"/>
        </w:rPr>
      </w:pPr>
      <w:proofErr w:type="gramStart"/>
      <w:r>
        <w:rPr>
          <w:i/>
          <w:sz w:val="16"/>
        </w:rPr>
        <w:t>électrique</w:t>
      </w:r>
      <w:proofErr w:type="gramEnd"/>
      <w:r>
        <w:rPr>
          <w:i/>
          <w:sz w:val="16"/>
        </w:rPr>
        <w:t xml:space="preserve"> transcutanée (RET) », 2004.</w:t>
      </w:r>
    </w:p>
  </w:footnote>
  <w:footnote w:id="11">
    <w:p w14:paraId="415CE542" w14:textId="77777777" w:rsidR="00E36DAF" w:rsidRDefault="00E36DAF" w:rsidP="009E6799">
      <w:pPr>
        <w:pStyle w:val="FootnoteText"/>
        <w:ind w:firstLine="0"/>
        <w:rPr>
          <w:i/>
          <w:sz w:val="16"/>
        </w:rPr>
      </w:pPr>
      <w:r>
        <w:rPr>
          <w:rStyle w:val="FootnoteReference"/>
          <w:sz w:val="16"/>
        </w:rPr>
        <w:footnoteRef/>
      </w:r>
      <w:r>
        <w:rPr>
          <w:sz w:val="16"/>
        </w:rPr>
        <w:t xml:space="preserve"> </w:t>
      </w:r>
      <w:r>
        <w:rPr>
          <w:i/>
          <w:sz w:val="16"/>
        </w:rPr>
        <w:t>Ligne directrice de l’OCDE pour les essais de produits chimiques n</w:t>
      </w:r>
      <w:r>
        <w:rPr>
          <w:i/>
          <w:sz w:val="16"/>
          <w:vertAlign w:val="superscript"/>
        </w:rPr>
        <w:t>o</w:t>
      </w:r>
      <w:r>
        <w:rPr>
          <w:i/>
          <w:sz w:val="16"/>
        </w:rPr>
        <w:t> 431, « Corrosion cutanée in vitro : Essai sur modèle de</w:t>
      </w:r>
    </w:p>
    <w:p w14:paraId="23D3E06E" w14:textId="77777777" w:rsidR="00E36DAF" w:rsidRPr="009B191F" w:rsidRDefault="00E36DAF" w:rsidP="009E6799">
      <w:pPr>
        <w:pStyle w:val="FootnoteText"/>
        <w:ind w:firstLine="0"/>
        <w:rPr>
          <w:sz w:val="16"/>
          <w:szCs w:val="16"/>
        </w:rPr>
      </w:pPr>
      <w:proofErr w:type="gramStart"/>
      <w:r>
        <w:rPr>
          <w:i/>
          <w:sz w:val="16"/>
        </w:rPr>
        <w:t>peau</w:t>
      </w:r>
      <w:proofErr w:type="gramEnd"/>
      <w:r>
        <w:rPr>
          <w:i/>
          <w:sz w:val="16"/>
        </w:rPr>
        <w:t xml:space="preserve"> humaine », 2004.</w:t>
      </w:r>
    </w:p>
  </w:footnote>
  <w:footnote w:id="12">
    <w:p w14:paraId="64663FD8" w14:textId="77777777" w:rsidR="00AA4BAD" w:rsidRDefault="00CA5971" w:rsidP="009E6799">
      <w:pPr>
        <w:pStyle w:val="FootnoteText"/>
        <w:ind w:firstLine="0"/>
        <w:rPr>
          <w:i/>
        </w:rPr>
      </w:pPr>
      <w:r>
        <w:rPr>
          <w:rStyle w:val="FootnoteReference"/>
        </w:rPr>
        <w:footnoteRef/>
      </w:r>
      <w:r>
        <w:t xml:space="preserve"> </w:t>
      </w:r>
      <w:r>
        <w:rPr>
          <w:i/>
        </w:rPr>
        <w:t>Organisation de coopération et de développement économiques (2014). Gui</w:t>
      </w:r>
      <w:r w:rsidR="00AA4BAD">
        <w:rPr>
          <w:i/>
        </w:rPr>
        <w:t>dance on Grouping of Chemicals,</w:t>
      </w:r>
    </w:p>
    <w:p w14:paraId="07D4D0D3" w14:textId="6A30C002" w:rsidR="00AA4BAD" w:rsidRDefault="00AA4BAD" w:rsidP="009E6799">
      <w:pPr>
        <w:pStyle w:val="FootnoteText"/>
        <w:ind w:firstLine="0"/>
        <w:rPr>
          <w:i/>
        </w:rPr>
      </w:pPr>
      <w:r>
        <w:rPr>
          <w:i/>
        </w:rPr>
        <w:t xml:space="preserve">  </w:t>
      </w:r>
      <w:r w:rsidR="00CA5971">
        <w:rPr>
          <w:i/>
        </w:rPr>
        <w:t>Second Edition, Paris (France) : OCDE, Direction de l</w:t>
      </w:r>
      <w:r w:rsidR="00570429">
        <w:rPr>
          <w:i/>
        </w:rPr>
        <w:t>’</w:t>
      </w:r>
      <w:r w:rsidR="00CA5971">
        <w:rPr>
          <w:i/>
        </w:rPr>
        <w:t>environnement – n</w:t>
      </w:r>
      <w:r w:rsidR="00CA5971">
        <w:rPr>
          <w:i/>
          <w:vertAlign w:val="superscript"/>
        </w:rPr>
        <w:t>o</w:t>
      </w:r>
      <w:r w:rsidR="00CA5971">
        <w:rPr>
          <w:i/>
        </w:rPr>
        <w:t> 19</w:t>
      </w:r>
      <w:r>
        <w:rPr>
          <w:i/>
        </w:rPr>
        <w:t>4 de la série sur les essais et</w:t>
      </w:r>
    </w:p>
    <w:p w14:paraId="3144ED97" w14:textId="4BCF8508" w:rsidR="00CA5971" w:rsidRPr="00CA5971" w:rsidRDefault="00AA4BAD" w:rsidP="009E6799">
      <w:pPr>
        <w:pStyle w:val="FootnoteText"/>
        <w:ind w:firstLine="0"/>
        <w:rPr>
          <w:lang w:val="fr-CA"/>
        </w:rPr>
      </w:pPr>
      <w:r>
        <w:rPr>
          <w:i/>
        </w:rPr>
        <w:t xml:space="preserve">  </w:t>
      </w:r>
      <w:r w:rsidR="00CA5971">
        <w:rPr>
          <w:i/>
        </w:rPr>
        <w:t>l</w:t>
      </w:r>
      <w:r w:rsidR="00570429">
        <w:rPr>
          <w:i/>
        </w:rPr>
        <w:t>’</w:t>
      </w:r>
      <w:r w:rsidR="00CA5971">
        <w:rPr>
          <w:i/>
        </w:rPr>
        <w:t>évaluation, rapport n</w:t>
      </w:r>
      <w:r w:rsidR="00CA5971">
        <w:rPr>
          <w:i/>
          <w:vertAlign w:val="superscript"/>
        </w:rPr>
        <w:t>o</w:t>
      </w:r>
      <w:r w:rsidR="00CA5971">
        <w:rPr>
          <w:i/>
        </w:rPr>
        <w:t>: ENV/JM/MONO(2014)4, JT03356214. Accessible (en anglais seulement) à l</w:t>
      </w:r>
      <w:r w:rsidR="00570429">
        <w:rPr>
          <w:i/>
        </w:rPr>
        <w:t>’</w:t>
      </w:r>
      <w:r>
        <w:rPr>
          <w:i/>
        </w:rPr>
        <w:t>adresse</w:t>
      </w:r>
      <w:r w:rsidR="009E6799">
        <w:rPr>
          <w:i/>
        </w:rPr>
        <w:t xml:space="preserve"> h</w:t>
      </w:r>
      <w:r w:rsidR="00CA5971">
        <w:rPr>
          <w:i/>
        </w:rPr>
        <w:t>ttp://www.oecd.org/officialdocuments/publicdisplaydocumentpdf/?cote=env/jm/mono(2014)4&amp;doclanguage=en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B0489" w14:textId="7F110BC7" w:rsidR="00CA5971" w:rsidRPr="00281810" w:rsidRDefault="00CA5971" w:rsidP="00EF4B0A">
    <w:pPr>
      <w:pStyle w:val="Header"/>
      <w:rPr>
        <w:szCs w:val="18"/>
      </w:rPr>
    </w:pPr>
    <w:r w:rsidRPr="00281810">
      <w:rPr>
        <w:color w:val="000000"/>
        <w:szCs w:val="18"/>
      </w:rPr>
      <w:t>ST</w:t>
    </w:r>
    <w:r w:rsidR="00281810">
      <w:rPr>
        <w:szCs w:val="18"/>
      </w:rPr>
      <w:t>/SG/AC.10/C.3/2016/21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26183" w14:textId="5C9BD614" w:rsidR="00CA5971" w:rsidRPr="00481B2B" w:rsidRDefault="00CA5971" w:rsidP="005F2F03">
    <w:pPr>
      <w:pStyle w:val="Header"/>
      <w:jc w:val="right"/>
      <w:rPr>
        <w:szCs w:val="18"/>
      </w:rPr>
    </w:pPr>
    <w:r w:rsidRPr="00481B2B">
      <w:rPr>
        <w:color w:val="000000"/>
        <w:szCs w:val="18"/>
      </w:rPr>
      <w:t>ST</w:t>
    </w:r>
    <w:r w:rsidR="00481B2B" w:rsidRPr="00481B2B">
      <w:rPr>
        <w:szCs w:val="18"/>
      </w:rPr>
      <w:t>/SG/AC.10/C.3/2016/21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FD92C" w14:textId="77777777" w:rsidR="005B7EA8" w:rsidRDefault="005B7E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44913" w14:textId="77777777" w:rsidR="00481B2B" w:rsidRPr="00281810" w:rsidRDefault="00481B2B" w:rsidP="00EF4B0A">
    <w:pPr>
      <w:pStyle w:val="Header"/>
      <w:rPr>
        <w:szCs w:val="18"/>
      </w:rPr>
    </w:pPr>
    <w:r w:rsidRPr="00281810">
      <w:rPr>
        <w:color w:val="000000"/>
        <w:szCs w:val="18"/>
      </w:rPr>
      <w:t>ST</w:t>
    </w:r>
    <w:r>
      <w:rPr>
        <w:szCs w:val="18"/>
      </w:rPr>
      <w:t>/SG/AC.10/C.3/2016/21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56C88" w14:textId="77777777" w:rsidR="00481B2B" w:rsidRPr="00481B2B" w:rsidRDefault="00481B2B" w:rsidP="005F2F03">
    <w:pPr>
      <w:pStyle w:val="Header"/>
      <w:jc w:val="right"/>
      <w:rPr>
        <w:szCs w:val="18"/>
      </w:rPr>
    </w:pPr>
    <w:r w:rsidRPr="00481B2B">
      <w:rPr>
        <w:color w:val="000000"/>
        <w:szCs w:val="18"/>
      </w:rPr>
      <w:t>ST</w:t>
    </w:r>
    <w:r w:rsidRPr="00481B2B">
      <w:rPr>
        <w:szCs w:val="18"/>
      </w:rPr>
      <w:t>/SG/AC.10/C.3/2016/21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3C979" w14:textId="77777777" w:rsidR="00481B2B" w:rsidRDefault="00481B2B">
    <w:pPr>
      <w:pStyle w:val="Header"/>
    </w:pPr>
    <w:r w:rsidRPr="00481B2B">
      <w:rPr>
        <w:color w:val="000000"/>
        <w:szCs w:val="18"/>
      </w:rPr>
      <w:t>ST</w:t>
    </w:r>
    <w:r w:rsidRPr="00481B2B">
      <w:rPr>
        <w:szCs w:val="18"/>
      </w:rPr>
      <w:t>/SG/AC.10/C.3/2016/21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0FE8" w14:textId="77777777" w:rsidR="005B7EA8" w:rsidRPr="00281810" w:rsidRDefault="005B7EA8" w:rsidP="00EF4B0A">
    <w:pPr>
      <w:pStyle w:val="Header"/>
      <w:rPr>
        <w:szCs w:val="18"/>
      </w:rPr>
    </w:pPr>
    <w:r w:rsidRPr="00281810">
      <w:rPr>
        <w:color w:val="000000"/>
        <w:szCs w:val="18"/>
      </w:rPr>
      <w:t>ST</w:t>
    </w:r>
    <w:r>
      <w:rPr>
        <w:szCs w:val="18"/>
      </w:rPr>
      <w:t>/SG/AC.10/C.3/2016/21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F4EA5" w14:textId="77777777" w:rsidR="005B7EA8" w:rsidRPr="00481B2B" w:rsidRDefault="005B7EA8" w:rsidP="005F2F03">
    <w:pPr>
      <w:pStyle w:val="Header"/>
      <w:jc w:val="right"/>
      <w:rPr>
        <w:szCs w:val="18"/>
      </w:rPr>
    </w:pPr>
    <w:r w:rsidRPr="00481B2B">
      <w:rPr>
        <w:color w:val="000000"/>
        <w:szCs w:val="18"/>
      </w:rPr>
      <w:t>ST</w:t>
    </w:r>
    <w:r w:rsidRPr="00481B2B">
      <w:rPr>
        <w:szCs w:val="18"/>
      </w:rPr>
      <w:t>/SG/AC.10/C.3/2016/21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D3361" w14:textId="77777777" w:rsidR="005B7EA8" w:rsidRDefault="005B7EA8" w:rsidP="005B7EA8">
    <w:pPr>
      <w:pStyle w:val="Header"/>
      <w:jc w:val="right"/>
    </w:pPr>
    <w:r w:rsidRPr="00481B2B">
      <w:rPr>
        <w:color w:val="000000"/>
        <w:szCs w:val="18"/>
      </w:rPr>
      <w:t>ST</w:t>
    </w:r>
    <w:r w:rsidRPr="00481B2B">
      <w:rPr>
        <w:szCs w:val="18"/>
      </w:rPr>
      <w:t>/SG/AC.10/C.3/2016/21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C68A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10719"/>
    <w:multiLevelType w:val="hybridMultilevel"/>
    <w:tmpl w:val="04A21158"/>
    <w:lvl w:ilvl="0" w:tplc="3C52732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3465FE"/>
    <w:multiLevelType w:val="hybridMultilevel"/>
    <w:tmpl w:val="8C46BD64"/>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4">
    <w:nsid w:val="08C93121"/>
    <w:multiLevelType w:val="hybridMultilevel"/>
    <w:tmpl w:val="B5D0A22C"/>
    <w:lvl w:ilvl="0" w:tplc="58926EF2">
      <w:start w:val="1"/>
      <w:numFmt w:val="lowerRoman"/>
      <w:lvlText w:val="(%1)"/>
      <w:lvlJc w:val="left"/>
      <w:pPr>
        <w:ind w:left="2844" w:hanging="72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18256668"/>
    <w:multiLevelType w:val="hybridMultilevel"/>
    <w:tmpl w:val="FDE4B264"/>
    <w:lvl w:ilvl="0" w:tplc="593A776C">
      <w:start w:val="1"/>
      <w:numFmt w:val="bullet"/>
      <w:lvlText w:val=""/>
      <w:lvlJc w:val="left"/>
      <w:pPr>
        <w:tabs>
          <w:tab w:val="num" w:pos="1494"/>
        </w:tabs>
        <w:ind w:left="1494" w:hanging="360"/>
      </w:pPr>
      <w:rPr>
        <w:rFonts w:ascii="Wingdings" w:hAnsi="Wingdings" w:hint="default"/>
      </w:rPr>
    </w:lvl>
    <w:lvl w:ilvl="1" w:tplc="EB92DD76">
      <w:start w:val="27"/>
      <w:numFmt w:val="bullet"/>
      <w:lvlText w:val="―"/>
      <w:lvlJc w:val="left"/>
      <w:pPr>
        <w:tabs>
          <w:tab w:val="num" w:pos="2214"/>
        </w:tabs>
        <w:ind w:left="2214" w:hanging="360"/>
      </w:pPr>
      <w:rPr>
        <w:rFonts w:ascii="Arial Narrow" w:hAnsi="Arial Narrow" w:hint="default"/>
      </w:rPr>
    </w:lvl>
    <w:lvl w:ilvl="2" w:tplc="9D7C1C66">
      <w:start w:val="27"/>
      <w:numFmt w:val="bullet"/>
      <w:lvlText w:val="•"/>
      <w:lvlJc w:val="left"/>
      <w:pPr>
        <w:tabs>
          <w:tab w:val="num" w:pos="2934"/>
        </w:tabs>
        <w:ind w:left="2934" w:hanging="360"/>
      </w:pPr>
      <w:rPr>
        <w:rFonts w:ascii="Arial" w:hAnsi="Arial" w:hint="default"/>
      </w:rPr>
    </w:lvl>
    <w:lvl w:ilvl="3" w:tplc="B52E1F86" w:tentative="1">
      <w:start w:val="1"/>
      <w:numFmt w:val="bullet"/>
      <w:lvlText w:val=""/>
      <w:lvlJc w:val="left"/>
      <w:pPr>
        <w:tabs>
          <w:tab w:val="num" w:pos="3654"/>
        </w:tabs>
        <w:ind w:left="3654" w:hanging="360"/>
      </w:pPr>
      <w:rPr>
        <w:rFonts w:ascii="Wingdings" w:hAnsi="Wingdings" w:hint="default"/>
      </w:rPr>
    </w:lvl>
    <w:lvl w:ilvl="4" w:tplc="C8480F78" w:tentative="1">
      <w:start w:val="1"/>
      <w:numFmt w:val="bullet"/>
      <w:lvlText w:val=""/>
      <w:lvlJc w:val="left"/>
      <w:pPr>
        <w:tabs>
          <w:tab w:val="num" w:pos="4374"/>
        </w:tabs>
        <w:ind w:left="4374" w:hanging="360"/>
      </w:pPr>
      <w:rPr>
        <w:rFonts w:ascii="Wingdings" w:hAnsi="Wingdings" w:hint="default"/>
      </w:rPr>
    </w:lvl>
    <w:lvl w:ilvl="5" w:tplc="EABCF728" w:tentative="1">
      <w:start w:val="1"/>
      <w:numFmt w:val="bullet"/>
      <w:lvlText w:val=""/>
      <w:lvlJc w:val="left"/>
      <w:pPr>
        <w:tabs>
          <w:tab w:val="num" w:pos="5094"/>
        </w:tabs>
        <w:ind w:left="5094" w:hanging="360"/>
      </w:pPr>
      <w:rPr>
        <w:rFonts w:ascii="Wingdings" w:hAnsi="Wingdings" w:hint="default"/>
      </w:rPr>
    </w:lvl>
    <w:lvl w:ilvl="6" w:tplc="5A24A506" w:tentative="1">
      <w:start w:val="1"/>
      <w:numFmt w:val="bullet"/>
      <w:lvlText w:val=""/>
      <w:lvlJc w:val="left"/>
      <w:pPr>
        <w:tabs>
          <w:tab w:val="num" w:pos="5814"/>
        </w:tabs>
        <w:ind w:left="5814" w:hanging="360"/>
      </w:pPr>
      <w:rPr>
        <w:rFonts w:ascii="Wingdings" w:hAnsi="Wingdings" w:hint="default"/>
      </w:rPr>
    </w:lvl>
    <w:lvl w:ilvl="7" w:tplc="78222906" w:tentative="1">
      <w:start w:val="1"/>
      <w:numFmt w:val="bullet"/>
      <w:lvlText w:val=""/>
      <w:lvlJc w:val="left"/>
      <w:pPr>
        <w:tabs>
          <w:tab w:val="num" w:pos="6534"/>
        </w:tabs>
        <w:ind w:left="6534" w:hanging="360"/>
      </w:pPr>
      <w:rPr>
        <w:rFonts w:ascii="Wingdings" w:hAnsi="Wingdings" w:hint="default"/>
      </w:rPr>
    </w:lvl>
    <w:lvl w:ilvl="8" w:tplc="5202A080" w:tentative="1">
      <w:start w:val="1"/>
      <w:numFmt w:val="bullet"/>
      <w:lvlText w:val=""/>
      <w:lvlJc w:val="left"/>
      <w:pPr>
        <w:tabs>
          <w:tab w:val="num" w:pos="7254"/>
        </w:tabs>
        <w:ind w:left="7254" w:hanging="360"/>
      </w:pPr>
      <w:rPr>
        <w:rFonts w:ascii="Wingdings" w:hAnsi="Wingdings" w:hint="default"/>
      </w:rPr>
    </w:lvl>
  </w:abstractNum>
  <w:abstractNum w:abstractNumId="7">
    <w:nsid w:val="19FC1724"/>
    <w:multiLevelType w:val="hybridMultilevel"/>
    <w:tmpl w:val="AA528776"/>
    <w:lvl w:ilvl="0" w:tplc="D2CC7C78">
      <w:start w:val="1"/>
      <w:numFmt w:val="lowerRoman"/>
      <w:lvlText w:val="(%1)"/>
      <w:lvlJc w:val="left"/>
      <w:pPr>
        <w:ind w:left="3549" w:hanging="720"/>
      </w:pPr>
      <w:rPr>
        <w:rFonts w:hint="default"/>
      </w:rPr>
    </w:lvl>
    <w:lvl w:ilvl="1" w:tplc="04130019" w:tentative="1">
      <w:start w:val="1"/>
      <w:numFmt w:val="lowerLetter"/>
      <w:lvlText w:val="%2."/>
      <w:lvlJc w:val="left"/>
      <w:pPr>
        <w:ind w:left="3909" w:hanging="360"/>
      </w:pPr>
    </w:lvl>
    <w:lvl w:ilvl="2" w:tplc="0413001B" w:tentative="1">
      <w:start w:val="1"/>
      <w:numFmt w:val="lowerRoman"/>
      <w:lvlText w:val="%3."/>
      <w:lvlJc w:val="right"/>
      <w:pPr>
        <w:ind w:left="4629" w:hanging="180"/>
      </w:pPr>
    </w:lvl>
    <w:lvl w:ilvl="3" w:tplc="0413000F" w:tentative="1">
      <w:start w:val="1"/>
      <w:numFmt w:val="decimal"/>
      <w:lvlText w:val="%4."/>
      <w:lvlJc w:val="left"/>
      <w:pPr>
        <w:ind w:left="5349" w:hanging="360"/>
      </w:pPr>
    </w:lvl>
    <w:lvl w:ilvl="4" w:tplc="04130019" w:tentative="1">
      <w:start w:val="1"/>
      <w:numFmt w:val="lowerLetter"/>
      <w:lvlText w:val="%5."/>
      <w:lvlJc w:val="left"/>
      <w:pPr>
        <w:ind w:left="6069" w:hanging="360"/>
      </w:pPr>
    </w:lvl>
    <w:lvl w:ilvl="5" w:tplc="0413001B" w:tentative="1">
      <w:start w:val="1"/>
      <w:numFmt w:val="lowerRoman"/>
      <w:lvlText w:val="%6."/>
      <w:lvlJc w:val="right"/>
      <w:pPr>
        <w:ind w:left="6789" w:hanging="180"/>
      </w:pPr>
    </w:lvl>
    <w:lvl w:ilvl="6" w:tplc="0413000F" w:tentative="1">
      <w:start w:val="1"/>
      <w:numFmt w:val="decimal"/>
      <w:lvlText w:val="%7."/>
      <w:lvlJc w:val="left"/>
      <w:pPr>
        <w:ind w:left="7509" w:hanging="360"/>
      </w:pPr>
    </w:lvl>
    <w:lvl w:ilvl="7" w:tplc="04130019" w:tentative="1">
      <w:start w:val="1"/>
      <w:numFmt w:val="lowerLetter"/>
      <w:lvlText w:val="%8."/>
      <w:lvlJc w:val="left"/>
      <w:pPr>
        <w:ind w:left="8229" w:hanging="360"/>
      </w:pPr>
    </w:lvl>
    <w:lvl w:ilvl="8" w:tplc="0413001B" w:tentative="1">
      <w:start w:val="1"/>
      <w:numFmt w:val="lowerRoman"/>
      <w:lvlText w:val="%9."/>
      <w:lvlJc w:val="right"/>
      <w:pPr>
        <w:ind w:left="8949" w:hanging="180"/>
      </w:pPr>
    </w:lvl>
  </w:abstractNum>
  <w:abstractNum w:abstractNumId="8">
    <w:nsid w:val="1BE54EBA"/>
    <w:multiLevelType w:val="hybridMultilevel"/>
    <w:tmpl w:val="EDCE75EC"/>
    <w:lvl w:ilvl="0" w:tplc="5BEE2E56">
      <w:start w:val="1"/>
      <w:numFmt w:val="bullet"/>
      <w:lvlText w:val="―"/>
      <w:lvlJc w:val="left"/>
      <w:pPr>
        <w:tabs>
          <w:tab w:val="num" w:pos="720"/>
        </w:tabs>
        <w:ind w:left="720" w:hanging="360"/>
      </w:pPr>
      <w:rPr>
        <w:rFonts w:ascii="Arial Narrow" w:hAnsi="Arial Narrow" w:hint="default"/>
      </w:rPr>
    </w:lvl>
    <w:lvl w:ilvl="1" w:tplc="00B21CB4">
      <w:start w:val="1"/>
      <w:numFmt w:val="bullet"/>
      <w:lvlText w:val="―"/>
      <w:lvlJc w:val="left"/>
      <w:pPr>
        <w:tabs>
          <w:tab w:val="num" w:pos="1440"/>
        </w:tabs>
        <w:ind w:left="1440" w:hanging="360"/>
      </w:pPr>
      <w:rPr>
        <w:rFonts w:ascii="Arial Narrow" w:hAnsi="Arial Narrow" w:hint="default"/>
      </w:rPr>
    </w:lvl>
    <w:lvl w:ilvl="2" w:tplc="A4249874">
      <w:start w:val="27"/>
      <w:numFmt w:val="bullet"/>
      <w:lvlText w:val="•"/>
      <w:lvlJc w:val="left"/>
      <w:pPr>
        <w:tabs>
          <w:tab w:val="num" w:pos="2160"/>
        </w:tabs>
        <w:ind w:left="2160" w:hanging="360"/>
      </w:pPr>
      <w:rPr>
        <w:rFonts w:ascii="Arial" w:hAnsi="Arial" w:hint="default"/>
      </w:rPr>
    </w:lvl>
    <w:lvl w:ilvl="3" w:tplc="0B565D9C" w:tentative="1">
      <w:start w:val="1"/>
      <w:numFmt w:val="bullet"/>
      <w:lvlText w:val="―"/>
      <w:lvlJc w:val="left"/>
      <w:pPr>
        <w:tabs>
          <w:tab w:val="num" w:pos="2880"/>
        </w:tabs>
        <w:ind w:left="2880" w:hanging="360"/>
      </w:pPr>
      <w:rPr>
        <w:rFonts w:ascii="Arial Narrow" w:hAnsi="Arial Narrow" w:hint="default"/>
      </w:rPr>
    </w:lvl>
    <w:lvl w:ilvl="4" w:tplc="99640BE0" w:tentative="1">
      <w:start w:val="1"/>
      <w:numFmt w:val="bullet"/>
      <w:lvlText w:val="―"/>
      <w:lvlJc w:val="left"/>
      <w:pPr>
        <w:tabs>
          <w:tab w:val="num" w:pos="3600"/>
        </w:tabs>
        <w:ind w:left="3600" w:hanging="360"/>
      </w:pPr>
      <w:rPr>
        <w:rFonts w:ascii="Arial Narrow" w:hAnsi="Arial Narrow" w:hint="default"/>
      </w:rPr>
    </w:lvl>
    <w:lvl w:ilvl="5" w:tplc="FEACD4A0" w:tentative="1">
      <w:start w:val="1"/>
      <w:numFmt w:val="bullet"/>
      <w:lvlText w:val="―"/>
      <w:lvlJc w:val="left"/>
      <w:pPr>
        <w:tabs>
          <w:tab w:val="num" w:pos="4320"/>
        </w:tabs>
        <w:ind w:left="4320" w:hanging="360"/>
      </w:pPr>
      <w:rPr>
        <w:rFonts w:ascii="Arial Narrow" w:hAnsi="Arial Narrow" w:hint="default"/>
      </w:rPr>
    </w:lvl>
    <w:lvl w:ilvl="6" w:tplc="76D665D8" w:tentative="1">
      <w:start w:val="1"/>
      <w:numFmt w:val="bullet"/>
      <w:lvlText w:val="―"/>
      <w:lvlJc w:val="left"/>
      <w:pPr>
        <w:tabs>
          <w:tab w:val="num" w:pos="5040"/>
        </w:tabs>
        <w:ind w:left="5040" w:hanging="360"/>
      </w:pPr>
      <w:rPr>
        <w:rFonts w:ascii="Arial Narrow" w:hAnsi="Arial Narrow" w:hint="default"/>
      </w:rPr>
    </w:lvl>
    <w:lvl w:ilvl="7" w:tplc="729A0A10" w:tentative="1">
      <w:start w:val="1"/>
      <w:numFmt w:val="bullet"/>
      <w:lvlText w:val="―"/>
      <w:lvlJc w:val="left"/>
      <w:pPr>
        <w:tabs>
          <w:tab w:val="num" w:pos="5760"/>
        </w:tabs>
        <w:ind w:left="5760" w:hanging="360"/>
      </w:pPr>
      <w:rPr>
        <w:rFonts w:ascii="Arial Narrow" w:hAnsi="Arial Narrow" w:hint="default"/>
      </w:rPr>
    </w:lvl>
    <w:lvl w:ilvl="8" w:tplc="410CE904" w:tentative="1">
      <w:start w:val="1"/>
      <w:numFmt w:val="bullet"/>
      <w:lvlText w:val="―"/>
      <w:lvlJc w:val="left"/>
      <w:pPr>
        <w:tabs>
          <w:tab w:val="num" w:pos="6480"/>
        </w:tabs>
        <w:ind w:left="6480" w:hanging="360"/>
      </w:pPr>
      <w:rPr>
        <w:rFonts w:ascii="Arial Narrow" w:hAnsi="Arial Narrow" w:hint="default"/>
      </w:rPr>
    </w:lvl>
  </w:abstractNum>
  <w:abstractNum w:abstractNumId="9">
    <w:nsid w:val="1F245AB9"/>
    <w:multiLevelType w:val="hybridMultilevel"/>
    <w:tmpl w:val="61BA784C"/>
    <w:lvl w:ilvl="0" w:tplc="68388848">
      <w:start w:val="1"/>
      <w:numFmt w:val="bullet"/>
      <w:lvlText w:val="―"/>
      <w:lvlJc w:val="left"/>
      <w:pPr>
        <w:tabs>
          <w:tab w:val="num" w:pos="720"/>
        </w:tabs>
        <w:ind w:left="720" w:hanging="360"/>
      </w:pPr>
      <w:rPr>
        <w:rFonts w:ascii="Arial Narrow" w:hAnsi="Arial Narrow" w:hint="default"/>
      </w:rPr>
    </w:lvl>
    <w:lvl w:ilvl="1" w:tplc="979EFC08">
      <w:start w:val="1"/>
      <w:numFmt w:val="bullet"/>
      <w:lvlText w:val="―"/>
      <w:lvlJc w:val="left"/>
      <w:pPr>
        <w:tabs>
          <w:tab w:val="num" w:pos="1440"/>
        </w:tabs>
        <w:ind w:left="1440" w:hanging="360"/>
      </w:pPr>
      <w:rPr>
        <w:rFonts w:ascii="Arial Narrow" w:hAnsi="Arial Narrow" w:hint="default"/>
      </w:rPr>
    </w:lvl>
    <w:lvl w:ilvl="2" w:tplc="4AEEFB64" w:tentative="1">
      <w:start w:val="1"/>
      <w:numFmt w:val="bullet"/>
      <w:lvlText w:val="―"/>
      <w:lvlJc w:val="left"/>
      <w:pPr>
        <w:tabs>
          <w:tab w:val="num" w:pos="2160"/>
        </w:tabs>
        <w:ind w:left="2160" w:hanging="360"/>
      </w:pPr>
      <w:rPr>
        <w:rFonts w:ascii="Arial Narrow" w:hAnsi="Arial Narrow" w:hint="default"/>
      </w:rPr>
    </w:lvl>
    <w:lvl w:ilvl="3" w:tplc="D1B251FA" w:tentative="1">
      <w:start w:val="1"/>
      <w:numFmt w:val="bullet"/>
      <w:lvlText w:val="―"/>
      <w:lvlJc w:val="left"/>
      <w:pPr>
        <w:tabs>
          <w:tab w:val="num" w:pos="2880"/>
        </w:tabs>
        <w:ind w:left="2880" w:hanging="360"/>
      </w:pPr>
      <w:rPr>
        <w:rFonts w:ascii="Arial Narrow" w:hAnsi="Arial Narrow" w:hint="default"/>
      </w:rPr>
    </w:lvl>
    <w:lvl w:ilvl="4" w:tplc="7A50E764" w:tentative="1">
      <w:start w:val="1"/>
      <w:numFmt w:val="bullet"/>
      <w:lvlText w:val="―"/>
      <w:lvlJc w:val="left"/>
      <w:pPr>
        <w:tabs>
          <w:tab w:val="num" w:pos="3600"/>
        </w:tabs>
        <w:ind w:left="3600" w:hanging="360"/>
      </w:pPr>
      <w:rPr>
        <w:rFonts w:ascii="Arial Narrow" w:hAnsi="Arial Narrow" w:hint="default"/>
      </w:rPr>
    </w:lvl>
    <w:lvl w:ilvl="5" w:tplc="9FAE7EE6" w:tentative="1">
      <w:start w:val="1"/>
      <w:numFmt w:val="bullet"/>
      <w:lvlText w:val="―"/>
      <w:lvlJc w:val="left"/>
      <w:pPr>
        <w:tabs>
          <w:tab w:val="num" w:pos="4320"/>
        </w:tabs>
        <w:ind w:left="4320" w:hanging="360"/>
      </w:pPr>
      <w:rPr>
        <w:rFonts w:ascii="Arial Narrow" w:hAnsi="Arial Narrow" w:hint="default"/>
      </w:rPr>
    </w:lvl>
    <w:lvl w:ilvl="6" w:tplc="A2EEFDC4" w:tentative="1">
      <w:start w:val="1"/>
      <w:numFmt w:val="bullet"/>
      <w:lvlText w:val="―"/>
      <w:lvlJc w:val="left"/>
      <w:pPr>
        <w:tabs>
          <w:tab w:val="num" w:pos="5040"/>
        </w:tabs>
        <w:ind w:left="5040" w:hanging="360"/>
      </w:pPr>
      <w:rPr>
        <w:rFonts w:ascii="Arial Narrow" w:hAnsi="Arial Narrow" w:hint="default"/>
      </w:rPr>
    </w:lvl>
    <w:lvl w:ilvl="7" w:tplc="DC880856" w:tentative="1">
      <w:start w:val="1"/>
      <w:numFmt w:val="bullet"/>
      <w:lvlText w:val="―"/>
      <w:lvlJc w:val="left"/>
      <w:pPr>
        <w:tabs>
          <w:tab w:val="num" w:pos="5760"/>
        </w:tabs>
        <w:ind w:left="5760" w:hanging="360"/>
      </w:pPr>
      <w:rPr>
        <w:rFonts w:ascii="Arial Narrow" w:hAnsi="Arial Narrow" w:hint="default"/>
      </w:rPr>
    </w:lvl>
    <w:lvl w:ilvl="8" w:tplc="16146EC4" w:tentative="1">
      <w:start w:val="1"/>
      <w:numFmt w:val="bullet"/>
      <w:lvlText w:val="―"/>
      <w:lvlJc w:val="left"/>
      <w:pPr>
        <w:tabs>
          <w:tab w:val="num" w:pos="6480"/>
        </w:tabs>
        <w:ind w:left="6480" w:hanging="360"/>
      </w:pPr>
      <w:rPr>
        <w:rFonts w:ascii="Arial Narrow" w:hAnsi="Arial Narrow" w:hint="default"/>
      </w:rPr>
    </w:lvl>
  </w:abstractNum>
  <w:abstractNum w:abstractNumId="10">
    <w:nsid w:val="23B64767"/>
    <w:multiLevelType w:val="hybridMultilevel"/>
    <w:tmpl w:val="068A50E6"/>
    <w:lvl w:ilvl="0" w:tplc="E68C1DAA">
      <w:start w:val="1"/>
      <w:numFmt w:val="bullet"/>
      <w:lvlText w:val="―"/>
      <w:lvlJc w:val="left"/>
      <w:pPr>
        <w:tabs>
          <w:tab w:val="num" w:pos="720"/>
        </w:tabs>
        <w:ind w:left="720" w:hanging="360"/>
      </w:pPr>
      <w:rPr>
        <w:rFonts w:ascii="Arial Narrow" w:hAnsi="Arial Narrow" w:hint="default"/>
      </w:rPr>
    </w:lvl>
    <w:lvl w:ilvl="1" w:tplc="8C4E29B2">
      <w:start w:val="1"/>
      <w:numFmt w:val="bullet"/>
      <w:lvlText w:val="―"/>
      <w:lvlJc w:val="left"/>
      <w:pPr>
        <w:tabs>
          <w:tab w:val="num" w:pos="1440"/>
        </w:tabs>
        <w:ind w:left="1440" w:hanging="360"/>
      </w:pPr>
      <w:rPr>
        <w:rFonts w:ascii="Arial Narrow" w:hAnsi="Arial Narrow" w:hint="default"/>
      </w:rPr>
    </w:lvl>
    <w:lvl w:ilvl="2" w:tplc="0F6CE384">
      <w:start w:val="27"/>
      <w:numFmt w:val="bullet"/>
      <w:lvlText w:val="•"/>
      <w:lvlJc w:val="left"/>
      <w:pPr>
        <w:tabs>
          <w:tab w:val="num" w:pos="2160"/>
        </w:tabs>
        <w:ind w:left="2160" w:hanging="360"/>
      </w:pPr>
      <w:rPr>
        <w:rFonts w:ascii="Arial" w:hAnsi="Arial" w:hint="default"/>
      </w:rPr>
    </w:lvl>
    <w:lvl w:ilvl="3" w:tplc="D76CC382" w:tentative="1">
      <w:start w:val="1"/>
      <w:numFmt w:val="bullet"/>
      <w:lvlText w:val="―"/>
      <w:lvlJc w:val="left"/>
      <w:pPr>
        <w:tabs>
          <w:tab w:val="num" w:pos="2880"/>
        </w:tabs>
        <w:ind w:left="2880" w:hanging="360"/>
      </w:pPr>
      <w:rPr>
        <w:rFonts w:ascii="Arial Narrow" w:hAnsi="Arial Narrow" w:hint="default"/>
      </w:rPr>
    </w:lvl>
    <w:lvl w:ilvl="4" w:tplc="02B089CA" w:tentative="1">
      <w:start w:val="1"/>
      <w:numFmt w:val="bullet"/>
      <w:lvlText w:val="―"/>
      <w:lvlJc w:val="left"/>
      <w:pPr>
        <w:tabs>
          <w:tab w:val="num" w:pos="3600"/>
        </w:tabs>
        <w:ind w:left="3600" w:hanging="360"/>
      </w:pPr>
      <w:rPr>
        <w:rFonts w:ascii="Arial Narrow" w:hAnsi="Arial Narrow" w:hint="default"/>
      </w:rPr>
    </w:lvl>
    <w:lvl w:ilvl="5" w:tplc="A24CBEE6" w:tentative="1">
      <w:start w:val="1"/>
      <w:numFmt w:val="bullet"/>
      <w:lvlText w:val="―"/>
      <w:lvlJc w:val="left"/>
      <w:pPr>
        <w:tabs>
          <w:tab w:val="num" w:pos="4320"/>
        </w:tabs>
        <w:ind w:left="4320" w:hanging="360"/>
      </w:pPr>
      <w:rPr>
        <w:rFonts w:ascii="Arial Narrow" w:hAnsi="Arial Narrow" w:hint="default"/>
      </w:rPr>
    </w:lvl>
    <w:lvl w:ilvl="6" w:tplc="ED90365C" w:tentative="1">
      <w:start w:val="1"/>
      <w:numFmt w:val="bullet"/>
      <w:lvlText w:val="―"/>
      <w:lvlJc w:val="left"/>
      <w:pPr>
        <w:tabs>
          <w:tab w:val="num" w:pos="5040"/>
        </w:tabs>
        <w:ind w:left="5040" w:hanging="360"/>
      </w:pPr>
      <w:rPr>
        <w:rFonts w:ascii="Arial Narrow" w:hAnsi="Arial Narrow" w:hint="default"/>
      </w:rPr>
    </w:lvl>
    <w:lvl w:ilvl="7" w:tplc="EDA8E8EC" w:tentative="1">
      <w:start w:val="1"/>
      <w:numFmt w:val="bullet"/>
      <w:lvlText w:val="―"/>
      <w:lvlJc w:val="left"/>
      <w:pPr>
        <w:tabs>
          <w:tab w:val="num" w:pos="5760"/>
        </w:tabs>
        <w:ind w:left="5760" w:hanging="360"/>
      </w:pPr>
      <w:rPr>
        <w:rFonts w:ascii="Arial Narrow" w:hAnsi="Arial Narrow" w:hint="default"/>
      </w:rPr>
    </w:lvl>
    <w:lvl w:ilvl="8" w:tplc="5900D30E" w:tentative="1">
      <w:start w:val="1"/>
      <w:numFmt w:val="bullet"/>
      <w:lvlText w:val="―"/>
      <w:lvlJc w:val="left"/>
      <w:pPr>
        <w:tabs>
          <w:tab w:val="num" w:pos="6480"/>
        </w:tabs>
        <w:ind w:left="6480" w:hanging="360"/>
      </w:pPr>
      <w:rPr>
        <w:rFonts w:ascii="Arial Narrow" w:hAnsi="Arial Narrow" w:hint="default"/>
      </w:rPr>
    </w:lvl>
  </w:abstractNum>
  <w:abstractNum w:abstractNumId="11">
    <w:nsid w:val="27E53649"/>
    <w:multiLevelType w:val="hybridMultilevel"/>
    <w:tmpl w:val="3BBCE6D6"/>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2">
    <w:nsid w:val="28F212F0"/>
    <w:multiLevelType w:val="hybridMultilevel"/>
    <w:tmpl w:val="A0AA059C"/>
    <w:lvl w:ilvl="0" w:tplc="1009000F">
      <w:start w:val="1"/>
      <w:numFmt w:val="decimal"/>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3">
    <w:nsid w:val="29A90408"/>
    <w:multiLevelType w:val="hybridMultilevel"/>
    <w:tmpl w:val="8AD6AF10"/>
    <w:lvl w:ilvl="0" w:tplc="94784CC0">
      <w:start w:val="1"/>
      <w:numFmt w:val="bullet"/>
      <w:lvlText w:val="―"/>
      <w:lvlJc w:val="left"/>
      <w:pPr>
        <w:tabs>
          <w:tab w:val="num" w:pos="720"/>
        </w:tabs>
        <w:ind w:left="720" w:hanging="360"/>
      </w:pPr>
      <w:rPr>
        <w:rFonts w:ascii="Arial Narrow" w:hAnsi="Arial Narrow" w:hint="default"/>
      </w:rPr>
    </w:lvl>
    <w:lvl w:ilvl="1" w:tplc="CCE2A580">
      <w:start w:val="1"/>
      <w:numFmt w:val="bullet"/>
      <w:lvlText w:val="―"/>
      <w:lvlJc w:val="left"/>
      <w:pPr>
        <w:tabs>
          <w:tab w:val="num" w:pos="1440"/>
        </w:tabs>
        <w:ind w:left="1440" w:hanging="360"/>
      </w:pPr>
      <w:rPr>
        <w:rFonts w:ascii="Arial Narrow" w:hAnsi="Arial Narrow" w:hint="default"/>
      </w:rPr>
    </w:lvl>
    <w:lvl w:ilvl="2" w:tplc="9C04F33C">
      <w:start w:val="27"/>
      <w:numFmt w:val="bullet"/>
      <w:lvlText w:val="•"/>
      <w:lvlJc w:val="left"/>
      <w:pPr>
        <w:tabs>
          <w:tab w:val="num" w:pos="2160"/>
        </w:tabs>
        <w:ind w:left="2160" w:hanging="360"/>
      </w:pPr>
      <w:rPr>
        <w:rFonts w:ascii="Arial" w:hAnsi="Arial" w:hint="default"/>
      </w:rPr>
    </w:lvl>
    <w:lvl w:ilvl="3" w:tplc="DCB0E322" w:tentative="1">
      <w:start w:val="1"/>
      <w:numFmt w:val="bullet"/>
      <w:lvlText w:val="―"/>
      <w:lvlJc w:val="left"/>
      <w:pPr>
        <w:tabs>
          <w:tab w:val="num" w:pos="2880"/>
        </w:tabs>
        <w:ind w:left="2880" w:hanging="360"/>
      </w:pPr>
      <w:rPr>
        <w:rFonts w:ascii="Arial Narrow" w:hAnsi="Arial Narrow" w:hint="default"/>
      </w:rPr>
    </w:lvl>
    <w:lvl w:ilvl="4" w:tplc="43B041B4" w:tentative="1">
      <w:start w:val="1"/>
      <w:numFmt w:val="bullet"/>
      <w:lvlText w:val="―"/>
      <w:lvlJc w:val="left"/>
      <w:pPr>
        <w:tabs>
          <w:tab w:val="num" w:pos="3600"/>
        </w:tabs>
        <w:ind w:left="3600" w:hanging="360"/>
      </w:pPr>
      <w:rPr>
        <w:rFonts w:ascii="Arial Narrow" w:hAnsi="Arial Narrow" w:hint="default"/>
      </w:rPr>
    </w:lvl>
    <w:lvl w:ilvl="5" w:tplc="F8B24808" w:tentative="1">
      <w:start w:val="1"/>
      <w:numFmt w:val="bullet"/>
      <w:lvlText w:val="―"/>
      <w:lvlJc w:val="left"/>
      <w:pPr>
        <w:tabs>
          <w:tab w:val="num" w:pos="4320"/>
        </w:tabs>
        <w:ind w:left="4320" w:hanging="360"/>
      </w:pPr>
      <w:rPr>
        <w:rFonts w:ascii="Arial Narrow" w:hAnsi="Arial Narrow" w:hint="default"/>
      </w:rPr>
    </w:lvl>
    <w:lvl w:ilvl="6" w:tplc="CFC656D0" w:tentative="1">
      <w:start w:val="1"/>
      <w:numFmt w:val="bullet"/>
      <w:lvlText w:val="―"/>
      <w:lvlJc w:val="left"/>
      <w:pPr>
        <w:tabs>
          <w:tab w:val="num" w:pos="5040"/>
        </w:tabs>
        <w:ind w:left="5040" w:hanging="360"/>
      </w:pPr>
      <w:rPr>
        <w:rFonts w:ascii="Arial Narrow" w:hAnsi="Arial Narrow" w:hint="default"/>
      </w:rPr>
    </w:lvl>
    <w:lvl w:ilvl="7" w:tplc="D82CAC94" w:tentative="1">
      <w:start w:val="1"/>
      <w:numFmt w:val="bullet"/>
      <w:lvlText w:val="―"/>
      <w:lvlJc w:val="left"/>
      <w:pPr>
        <w:tabs>
          <w:tab w:val="num" w:pos="5760"/>
        </w:tabs>
        <w:ind w:left="5760" w:hanging="360"/>
      </w:pPr>
      <w:rPr>
        <w:rFonts w:ascii="Arial Narrow" w:hAnsi="Arial Narrow" w:hint="default"/>
      </w:rPr>
    </w:lvl>
    <w:lvl w:ilvl="8" w:tplc="3AA08486" w:tentative="1">
      <w:start w:val="1"/>
      <w:numFmt w:val="bullet"/>
      <w:lvlText w:val="―"/>
      <w:lvlJc w:val="left"/>
      <w:pPr>
        <w:tabs>
          <w:tab w:val="num" w:pos="6480"/>
        </w:tabs>
        <w:ind w:left="6480" w:hanging="360"/>
      </w:pPr>
      <w:rPr>
        <w:rFonts w:ascii="Arial Narrow" w:hAnsi="Arial Narrow" w:hint="default"/>
      </w:rPr>
    </w:lvl>
  </w:abstractNum>
  <w:abstractNum w:abstractNumId="14">
    <w:nsid w:val="2D541F15"/>
    <w:multiLevelType w:val="hybridMultilevel"/>
    <w:tmpl w:val="34983152"/>
    <w:lvl w:ilvl="0" w:tplc="35DA6C3E">
      <w:start w:val="1"/>
      <w:numFmt w:val="decimal"/>
      <w:pStyle w:val="Nummerierung1"/>
      <w:lvlText w:val="%1."/>
      <w:lvlJc w:val="left"/>
      <w:pPr>
        <w:tabs>
          <w:tab w:val="num" w:pos="56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2465406"/>
    <w:multiLevelType w:val="hybridMultilevel"/>
    <w:tmpl w:val="670E03D4"/>
    <w:lvl w:ilvl="0" w:tplc="03F667BE">
      <w:start w:val="4"/>
      <w:numFmt w:val="decimal"/>
      <w:lvlText w:val="%1."/>
      <w:lvlJc w:val="left"/>
      <w:pPr>
        <w:ind w:left="1689" w:hanging="555"/>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6EE7A50"/>
    <w:multiLevelType w:val="hybridMultilevel"/>
    <w:tmpl w:val="8AA44E4C"/>
    <w:lvl w:ilvl="0" w:tplc="C35E9864">
      <w:start w:val="1"/>
      <w:numFmt w:val="decimal"/>
      <w:lvlText w:val="%1."/>
      <w:lvlJc w:val="left"/>
      <w:pPr>
        <w:ind w:left="1689" w:hanging="555"/>
      </w:pPr>
      <w:rPr>
        <w:rFonts w:hint="default"/>
      </w:rPr>
    </w:lvl>
    <w:lvl w:ilvl="1" w:tplc="10090019">
      <w:start w:val="1"/>
      <w:numFmt w:val="lowerLetter"/>
      <w:lvlText w:val="%2."/>
      <w:lvlJc w:val="left"/>
      <w:pPr>
        <w:ind w:left="2214" w:hanging="360"/>
      </w:p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7">
    <w:nsid w:val="389C7A8C"/>
    <w:multiLevelType w:val="hybridMultilevel"/>
    <w:tmpl w:val="0FD83C54"/>
    <w:lvl w:ilvl="0" w:tplc="97D67EEE">
      <w:start w:val="1"/>
      <w:numFmt w:val="lowerRoman"/>
      <w:lvlText w:val="(%1)"/>
      <w:lvlJc w:val="left"/>
      <w:pPr>
        <w:ind w:left="2280" w:hanging="720"/>
      </w:pPr>
      <w:rPr>
        <w:rFonts w:hint="default"/>
      </w:r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18">
    <w:nsid w:val="4022071B"/>
    <w:multiLevelType w:val="hybridMultilevel"/>
    <w:tmpl w:val="21CA880A"/>
    <w:lvl w:ilvl="0" w:tplc="A1EEB200">
      <w:start w:val="1"/>
      <w:numFmt w:val="decimal"/>
      <w:lvlText w:val="(%1)"/>
      <w:lvlJc w:val="left"/>
      <w:pPr>
        <w:ind w:left="649" w:hanging="360"/>
      </w:pPr>
      <w:rPr>
        <w:rFonts w:hint="default"/>
      </w:rPr>
    </w:lvl>
    <w:lvl w:ilvl="1" w:tplc="04070019" w:tentative="1">
      <w:start w:val="1"/>
      <w:numFmt w:val="lowerLetter"/>
      <w:lvlText w:val="%2."/>
      <w:lvlJc w:val="left"/>
      <w:pPr>
        <w:ind w:left="1369" w:hanging="360"/>
      </w:pPr>
    </w:lvl>
    <w:lvl w:ilvl="2" w:tplc="0407001B" w:tentative="1">
      <w:start w:val="1"/>
      <w:numFmt w:val="lowerRoman"/>
      <w:lvlText w:val="%3."/>
      <w:lvlJc w:val="right"/>
      <w:pPr>
        <w:ind w:left="2089" w:hanging="180"/>
      </w:pPr>
    </w:lvl>
    <w:lvl w:ilvl="3" w:tplc="0407000F" w:tentative="1">
      <w:start w:val="1"/>
      <w:numFmt w:val="decimal"/>
      <w:lvlText w:val="%4."/>
      <w:lvlJc w:val="left"/>
      <w:pPr>
        <w:ind w:left="2809" w:hanging="360"/>
      </w:pPr>
    </w:lvl>
    <w:lvl w:ilvl="4" w:tplc="04070019" w:tentative="1">
      <w:start w:val="1"/>
      <w:numFmt w:val="lowerLetter"/>
      <w:lvlText w:val="%5."/>
      <w:lvlJc w:val="left"/>
      <w:pPr>
        <w:ind w:left="3529" w:hanging="360"/>
      </w:pPr>
    </w:lvl>
    <w:lvl w:ilvl="5" w:tplc="0407001B" w:tentative="1">
      <w:start w:val="1"/>
      <w:numFmt w:val="lowerRoman"/>
      <w:lvlText w:val="%6."/>
      <w:lvlJc w:val="right"/>
      <w:pPr>
        <w:ind w:left="4249" w:hanging="180"/>
      </w:pPr>
    </w:lvl>
    <w:lvl w:ilvl="6" w:tplc="0407000F" w:tentative="1">
      <w:start w:val="1"/>
      <w:numFmt w:val="decimal"/>
      <w:lvlText w:val="%7."/>
      <w:lvlJc w:val="left"/>
      <w:pPr>
        <w:ind w:left="4969" w:hanging="360"/>
      </w:pPr>
    </w:lvl>
    <w:lvl w:ilvl="7" w:tplc="04070019" w:tentative="1">
      <w:start w:val="1"/>
      <w:numFmt w:val="lowerLetter"/>
      <w:lvlText w:val="%8."/>
      <w:lvlJc w:val="left"/>
      <w:pPr>
        <w:ind w:left="5689" w:hanging="360"/>
      </w:pPr>
    </w:lvl>
    <w:lvl w:ilvl="8" w:tplc="0407001B" w:tentative="1">
      <w:start w:val="1"/>
      <w:numFmt w:val="lowerRoman"/>
      <w:lvlText w:val="%9."/>
      <w:lvlJc w:val="right"/>
      <w:pPr>
        <w:ind w:left="6409" w:hanging="180"/>
      </w:pPr>
    </w:lvl>
  </w:abstractNum>
  <w:abstractNum w:abstractNumId="19">
    <w:nsid w:val="4259003B"/>
    <w:multiLevelType w:val="hybridMultilevel"/>
    <w:tmpl w:val="1BD86C80"/>
    <w:lvl w:ilvl="0" w:tplc="5A1A2C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D0E57CC"/>
    <w:multiLevelType w:val="hybridMultilevel"/>
    <w:tmpl w:val="4F3621BE"/>
    <w:lvl w:ilvl="0" w:tplc="A560DF26">
      <w:start w:val="1"/>
      <w:numFmt w:val="lowerRoman"/>
      <w:lvlText w:val="(%1)"/>
      <w:lvlJc w:val="left"/>
      <w:pPr>
        <w:ind w:left="2844" w:hanging="72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1">
    <w:nsid w:val="4DF91AEE"/>
    <w:multiLevelType w:val="hybridMultilevel"/>
    <w:tmpl w:val="C4D6DB04"/>
    <w:lvl w:ilvl="0" w:tplc="C922A158">
      <w:start w:val="1"/>
      <w:numFmt w:val="bullet"/>
      <w:lvlText w:val="―"/>
      <w:lvlJc w:val="left"/>
      <w:pPr>
        <w:tabs>
          <w:tab w:val="num" w:pos="720"/>
        </w:tabs>
        <w:ind w:left="720" w:hanging="360"/>
      </w:pPr>
      <w:rPr>
        <w:rFonts w:ascii="Arial Narrow" w:hAnsi="Arial Narrow" w:hint="default"/>
      </w:rPr>
    </w:lvl>
    <w:lvl w:ilvl="1" w:tplc="22F69400">
      <w:start w:val="1"/>
      <w:numFmt w:val="bullet"/>
      <w:lvlText w:val="―"/>
      <w:lvlJc w:val="left"/>
      <w:pPr>
        <w:tabs>
          <w:tab w:val="num" w:pos="1440"/>
        </w:tabs>
        <w:ind w:left="1440" w:hanging="360"/>
      </w:pPr>
      <w:rPr>
        <w:rFonts w:ascii="Arial Narrow" w:hAnsi="Arial Narrow" w:hint="default"/>
      </w:rPr>
    </w:lvl>
    <w:lvl w:ilvl="2" w:tplc="2E5E54F6" w:tentative="1">
      <w:start w:val="1"/>
      <w:numFmt w:val="bullet"/>
      <w:lvlText w:val="―"/>
      <w:lvlJc w:val="left"/>
      <w:pPr>
        <w:tabs>
          <w:tab w:val="num" w:pos="2160"/>
        </w:tabs>
        <w:ind w:left="2160" w:hanging="360"/>
      </w:pPr>
      <w:rPr>
        <w:rFonts w:ascii="Arial Narrow" w:hAnsi="Arial Narrow" w:hint="default"/>
      </w:rPr>
    </w:lvl>
    <w:lvl w:ilvl="3" w:tplc="CE96E74A" w:tentative="1">
      <w:start w:val="1"/>
      <w:numFmt w:val="bullet"/>
      <w:lvlText w:val="―"/>
      <w:lvlJc w:val="left"/>
      <w:pPr>
        <w:tabs>
          <w:tab w:val="num" w:pos="2880"/>
        </w:tabs>
        <w:ind w:left="2880" w:hanging="360"/>
      </w:pPr>
      <w:rPr>
        <w:rFonts w:ascii="Arial Narrow" w:hAnsi="Arial Narrow" w:hint="default"/>
      </w:rPr>
    </w:lvl>
    <w:lvl w:ilvl="4" w:tplc="9168AF22" w:tentative="1">
      <w:start w:val="1"/>
      <w:numFmt w:val="bullet"/>
      <w:lvlText w:val="―"/>
      <w:lvlJc w:val="left"/>
      <w:pPr>
        <w:tabs>
          <w:tab w:val="num" w:pos="3600"/>
        </w:tabs>
        <w:ind w:left="3600" w:hanging="360"/>
      </w:pPr>
      <w:rPr>
        <w:rFonts w:ascii="Arial Narrow" w:hAnsi="Arial Narrow" w:hint="default"/>
      </w:rPr>
    </w:lvl>
    <w:lvl w:ilvl="5" w:tplc="3016414C" w:tentative="1">
      <w:start w:val="1"/>
      <w:numFmt w:val="bullet"/>
      <w:lvlText w:val="―"/>
      <w:lvlJc w:val="left"/>
      <w:pPr>
        <w:tabs>
          <w:tab w:val="num" w:pos="4320"/>
        </w:tabs>
        <w:ind w:left="4320" w:hanging="360"/>
      </w:pPr>
      <w:rPr>
        <w:rFonts w:ascii="Arial Narrow" w:hAnsi="Arial Narrow" w:hint="default"/>
      </w:rPr>
    </w:lvl>
    <w:lvl w:ilvl="6" w:tplc="7518B500" w:tentative="1">
      <w:start w:val="1"/>
      <w:numFmt w:val="bullet"/>
      <w:lvlText w:val="―"/>
      <w:lvlJc w:val="left"/>
      <w:pPr>
        <w:tabs>
          <w:tab w:val="num" w:pos="5040"/>
        </w:tabs>
        <w:ind w:left="5040" w:hanging="360"/>
      </w:pPr>
      <w:rPr>
        <w:rFonts w:ascii="Arial Narrow" w:hAnsi="Arial Narrow" w:hint="default"/>
      </w:rPr>
    </w:lvl>
    <w:lvl w:ilvl="7" w:tplc="4E7C837A" w:tentative="1">
      <w:start w:val="1"/>
      <w:numFmt w:val="bullet"/>
      <w:lvlText w:val="―"/>
      <w:lvlJc w:val="left"/>
      <w:pPr>
        <w:tabs>
          <w:tab w:val="num" w:pos="5760"/>
        </w:tabs>
        <w:ind w:left="5760" w:hanging="360"/>
      </w:pPr>
      <w:rPr>
        <w:rFonts w:ascii="Arial Narrow" w:hAnsi="Arial Narrow" w:hint="default"/>
      </w:rPr>
    </w:lvl>
    <w:lvl w:ilvl="8" w:tplc="505C4226" w:tentative="1">
      <w:start w:val="1"/>
      <w:numFmt w:val="bullet"/>
      <w:lvlText w:val="―"/>
      <w:lvlJc w:val="left"/>
      <w:pPr>
        <w:tabs>
          <w:tab w:val="num" w:pos="6480"/>
        </w:tabs>
        <w:ind w:left="6480" w:hanging="360"/>
      </w:pPr>
      <w:rPr>
        <w:rFonts w:ascii="Arial Narrow" w:hAnsi="Arial Narrow" w:hint="default"/>
      </w:rPr>
    </w:lvl>
  </w:abstractNum>
  <w:abstractNum w:abstractNumId="22">
    <w:nsid w:val="540B7ADB"/>
    <w:multiLevelType w:val="hybridMultilevel"/>
    <w:tmpl w:val="62F4AEE6"/>
    <w:lvl w:ilvl="0" w:tplc="5FD0082A">
      <w:start w:val="1"/>
      <w:numFmt w:val="lowerLetter"/>
      <w:lvlText w:val="(%1)"/>
      <w:lvlJc w:val="left"/>
      <w:pPr>
        <w:ind w:left="840" w:hanging="360"/>
      </w:pPr>
      <w:rPr>
        <w:rFonts w:ascii="Times New Roman" w:hAnsi="Times New Roman" w:cs="Times New Roman" w:hint="default"/>
        <w:strike w:val="0"/>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23">
    <w:nsid w:val="57C912C2"/>
    <w:multiLevelType w:val="hybridMultilevel"/>
    <w:tmpl w:val="A4A03682"/>
    <w:lvl w:ilvl="0" w:tplc="77009FF6">
      <w:start w:val="1"/>
      <w:numFmt w:val="bullet"/>
      <w:lvlText w:val=""/>
      <w:lvlJc w:val="left"/>
      <w:pPr>
        <w:tabs>
          <w:tab w:val="num" w:pos="720"/>
        </w:tabs>
        <w:ind w:left="720" w:hanging="360"/>
      </w:pPr>
      <w:rPr>
        <w:rFonts w:ascii="Wingdings" w:hAnsi="Wingdings" w:hint="default"/>
      </w:rPr>
    </w:lvl>
    <w:lvl w:ilvl="1" w:tplc="3C76C7DE">
      <w:start w:val="27"/>
      <w:numFmt w:val="bullet"/>
      <w:lvlText w:val="―"/>
      <w:lvlJc w:val="left"/>
      <w:pPr>
        <w:tabs>
          <w:tab w:val="num" w:pos="1440"/>
        </w:tabs>
        <w:ind w:left="1440" w:hanging="360"/>
      </w:pPr>
      <w:rPr>
        <w:rFonts w:ascii="Arial Narrow" w:hAnsi="Arial Narrow" w:hint="default"/>
      </w:rPr>
    </w:lvl>
    <w:lvl w:ilvl="2" w:tplc="2D9C206C">
      <w:start w:val="1"/>
      <w:numFmt w:val="bullet"/>
      <w:lvlText w:val=""/>
      <w:lvlJc w:val="left"/>
      <w:pPr>
        <w:tabs>
          <w:tab w:val="num" w:pos="2160"/>
        </w:tabs>
        <w:ind w:left="2160" w:hanging="360"/>
      </w:pPr>
      <w:rPr>
        <w:rFonts w:ascii="Wingdings" w:hAnsi="Wingdings" w:hint="default"/>
      </w:rPr>
    </w:lvl>
    <w:lvl w:ilvl="3" w:tplc="52F297F2" w:tentative="1">
      <w:start w:val="1"/>
      <w:numFmt w:val="bullet"/>
      <w:lvlText w:val=""/>
      <w:lvlJc w:val="left"/>
      <w:pPr>
        <w:tabs>
          <w:tab w:val="num" w:pos="2880"/>
        </w:tabs>
        <w:ind w:left="2880" w:hanging="360"/>
      </w:pPr>
      <w:rPr>
        <w:rFonts w:ascii="Wingdings" w:hAnsi="Wingdings" w:hint="default"/>
      </w:rPr>
    </w:lvl>
    <w:lvl w:ilvl="4" w:tplc="B9B00314" w:tentative="1">
      <w:start w:val="1"/>
      <w:numFmt w:val="bullet"/>
      <w:lvlText w:val=""/>
      <w:lvlJc w:val="left"/>
      <w:pPr>
        <w:tabs>
          <w:tab w:val="num" w:pos="3600"/>
        </w:tabs>
        <w:ind w:left="3600" w:hanging="360"/>
      </w:pPr>
      <w:rPr>
        <w:rFonts w:ascii="Wingdings" w:hAnsi="Wingdings" w:hint="default"/>
      </w:rPr>
    </w:lvl>
    <w:lvl w:ilvl="5" w:tplc="76AE5514" w:tentative="1">
      <w:start w:val="1"/>
      <w:numFmt w:val="bullet"/>
      <w:lvlText w:val=""/>
      <w:lvlJc w:val="left"/>
      <w:pPr>
        <w:tabs>
          <w:tab w:val="num" w:pos="4320"/>
        </w:tabs>
        <w:ind w:left="4320" w:hanging="360"/>
      </w:pPr>
      <w:rPr>
        <w:rFonts w:ascii="Wingdings" w:hAnsi="Wingdings" w:hint="default"/>
      </w:rPr>
    </w:lvl>
    <w:lvl w:ilvl="6" w:tplc="4D6C9AD4" w:tentative="1">
      <w:start w:val="1"/>
      <w:numFmt w:val="bullet"/>
      <w:lvlText w:val=""/>
      <w:lvlJc w:val="left"/>
      <w:pPr>
        <w:tabs>
          <w:tab w:val="num" w:pos="5040"/>
        </w:tabs>
        <w:ind w:left="5040" w:hanging="360"/>
      </w:pPr>
      <w:rPr>
        <w:rFonts w:ascii="Wingdings" w:hAnsi="Wingdings" w:hint="default"/>
      </w:rPr>
    </w:lvl>
    <w:lvl w:ilvl="7" w:tplc="33280AB0" w:tentative="1">
      <w:start w:val="1"/>
      <w:numFmt w:val="bullet"/>
      <w:lvlText w:val=""/>
      <w:lvlJc w:val="left"/>
      <w:pPr>
        <w:tabs>
          <w:tab w:val="num" w:pos="5760"/>
        </w:tabs>
        <w:ind w:left="5760" w:hanging="360"/>
      </w:pPr>
      <w:rPr>
        <w:rFonts w:ascii="Wingdings" w:hAnsi="Wingdings" w:hint="default"/>
      </w:rPr>
    </w:lvl>
    <w:lvl w:ilvl="8" w:tplc="745EBF94" w:tentative="1">
      <w:start w:val="1"/>
      <w:numFmt w:val="bullet"/>
      <w:lvlText w:val=""/>
      <w:lvlJc w:val="left"/>
      <w:pPr>
        <w:tabs>
          <w:tab w:val="num" w:pos="6480"/>
        </w:tabs>
        <w:ind w:left="6480" w:hanging="360"/>
      </w:pPr>
      <w:rPr>
        <w:rFonts w:ascii="Wingdings" w:hAnsi="Wingdings" w:hint="default"/>
      </w:rPr>
    </w:lvl>
  </w:abstractNum>
  <w:abstractNum w:abstractNumId="24">
    <w:nsid w:val="589D37A2"/>
    <w:multiLevelType w:val="hybridMultilevel"/>
    <w:tmpl w:val="25F45068"/>
    <w:lvl w:ilvl="0" w:tplc="BADC1BA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C795A5B"/>
    <w:multiLevelType w:val="hybridMultilevel"/>
    <w:tmpl w:val="3CD41712"/>
    <w:lvl w:ilvl="0" w:tplc="2410BAD2">
      <w:start w:val="10"/>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61D61E64"/>
    <w:multiLevelType w:val="hybridMultilevel"/>
    <w:tmpl w:val="CC100146"/>
    <w:lvl w:ilvl="0" w:tplc="3F562986">
      <w:start w:val="1"/>
      <w:numFmt w:val="lowerRoman"/>
      <w:lvlText w:val="(%1)"/>
      <w:lvlJc w:val="left"/>
      <w:pPr>
        <w:ind w:left="720" w:hanging="360"/>
      </w:pPr>
      <w:rPr>
        <w:rFonts w:hint="default"/>
        <w:b w:val="0"/>
        <w:i w:val="0"/>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8862366"/>
    <w:multiLevelType w:val="hybridMultilevel"/>
    <w:tmpl w:val="523E6D94"/>
    <w:lvl w:ilvl="0" w:tplc="47E80D4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8">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0AE20A5"/>
    <w:multiLevelType w:val="multilevel"/>
    <w:tmpl w:val="126AAD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2063313"/>
    <w:multiLevelType w:val="hybridMultilevel"/>
    <w:tmpl w:val="1CC6596E"/>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num w:numId="1">
    <w:abstractNumId w:val="2"/>
  </w:num>
  <w:num w:numId="2">
    <w:abstractNumId w:val="27"/>
  </w:num>
  <w:num w:numId="3">
    <w:abstractNumId w:val="25"/>
  </w:num>
  <w:num w:numId="4">
    <w:abstractNumId w:val="14"/>
  </w:num>
  <w:num w:numId="5">
    <w:abstractNumId w:val="28"/>
  </w:num>
  <w:num w:numId="6">
    <w:abstractNumId w:val="28"/>
    <w:lvlOverride w:ilvl="0">
      <w:startOverride w:val="1"/>
    </w:lvlOverride>
  </w:num>
  <w:num w:numId="7">
    <w:abstractNumId w:val="29"/>
  </w:num>
  <w:num w:numId="8">
    <w:abstractNumId w:val="5"/>
  </w:num>
  <w:num w:numId="9">
    <w:abstractNumId w:val="18"/>
  </w:num>
  <w:num w:numId="10">
    <w:abstractNumId w:val="12"/>
  </w:num>
  <w:num w:numId="11">
    <w:abstractNumId w:val="11"/>
  </w:num>
  <w:num w:numId="12">
    <w:abstractNumId w:val="3"/>
  </w:num>
  <w:num w:numId="13">
    <w:abstractNumId w:val="30"/>
  </w:num>
  <w:num w:numId="14">
    <w:abstractNumId w:val="16"/>
  </w:num>
  <w:num w:numId="15">
    <w:abstractNumId w:val="1"/>
  </w:num>
  <w:num w:numId="16">
    <w:abstractNumId w:val="24"/>
  </w:num>
  <w:num w:numId="17">
    <w:abstractNumId w:val="26"/>
  </w:num>
  <w:num w:numId="18">
    <w:abstractNumId w:val="22"/>
  </w:num>
  <w:num w:numId="19">
    <w:abstractNumId w:val="17"/>
  </w:num>
  <w:num w:numId="20">
    <w:abstractNumId w:val="19"/>
  </w:num>
  <w:num w:numId="21">
    <w:abstractNumId w:val="8"/>
  </w:num>
  <w:num w:numId="22">
    <w:abstractNumId w:val="6"/>
  </w:num>
  <w:num w:numId="23">
    <w:abstractNumId w:val="10"/>
  </w:num>
  <w:num w:numId="24">
    <w:abstractNumId w:val="23"/>
  </w:num>
  <w:num w:numId="25">
    <w:abstractNumId w:val="9"/>
  </w:num>
  <w:num w:numId="26">
    <w:abstractNumId w:val="13"/>
  </w:num>
  <w:num w:numId="27">
    <w:abstractNumId w:val="21"/>
  </w:num>
  <w:num w:numId="28">
    <w:abstractNumId w:val="15"/>
  </w:num>
  <w:num w:numId="29">
    <w:abstractNumId w:val="7"/>
  </w:num>
  <w:num w:numId="30">
    <w:abstractNumId w:val="4"/>
  </w:num>
  <w:num w:numId="31">
    <w:abstractNumId w:val="20"/>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31C"/>
    <w:rsid w:val="000005CD"/>
    <w:rsid w:val="00000768"/>
    <w:rsid w:val="00000C95"/>
    <w:rsid w:val="000015A8"/>
    <w:rsid w:val="00002EFA"/>
    <w:rsid w:val="00005266"/>
    <w:rsid w:val="000054F7"/>
    <w:rsid w:val="00005A9B"/>
    <w:rsid w:val="00005EE1"/>
    <w:rsid w:val="00007D11"/>
    <w:rsid w:val="000115BC"/>
    <w:rsid w:val="000161ED"/>
    <w:rsid w:val="00016EE1"/>
    <w:rsid w:val="00024261"/>
    <w:rsid w:val="00024ECE"/>
    <w:rsid w:val="0002575A"/>
    <w:rsid w:val="0003612E"/>
    <w:rsid w:val="0004797A"/>
    <w:rsid w:val="00047B11"/>
    <w:rsid w:val="00050F6B"/>
    <w:rsid w:val="000510DC"/>
    <w:rsid w:val="0005167F"/>
    <w:rsid w:val="000516E8"/>
    <w:rsid w:val="00064422"/>
    <w:rsid w:val="00064F06"/>
    <w:rsid w:val="00072295"/>
    <w:rsid w:val="00072C8C"/>
    <w:rsid w:val="00074FC1"/>
    <w:rsid w:val="00076008"/>
    <w:rsid w:val="000768B5"/>
    <w:rsid w:val="00080525"/>
    <w:rsid w:val="00083B47"/>
    <w:rsid w:val="000931C0"/>
    <w:rsid w:val="000960CB"/>
    <w:rsid w:val="00096EA6"/>
    <w:rsid w:val="000976B7"/>
    <w:rsid w:val="000A10E8"/>
    <w:rsid w:val="000B175B"/>
    <w:rsid w:val="000B3A0F"/>
    <w:rsid w:val="000B3EC8"/>
    <w:rsid w:val="000B4E1E"/>
    <w:rsid w:val="000B502A"/>
    <w:rsid w:val="000B6933"/>
    <w:rsid w:val="000B7636"/>
    <w:rsid w:val="000D396F"/>
    <w:rsid w:val="000E0415"/>
    <w:rsid w:val="000E26C9"/>
    <w:rsid w:val="000E2EAC"/>
    <w:rsid w:val="000E427C"/>
    <w:rsid w:val="000E5995"/>
    <w:rsid w:val="000E7A5F"/>
    <w:rsid w:val="000E7B2F"/>
    <w:rsid w:val="000F081A"/>
    <w:rsid w:val="000F0C42"/>
    <w:rsid w:val="000F2D7D"/>
    <w:rsid w:val="000F4BC1"/>
    <w:rsid w:val="00100CA2"/>
    <w:rsid w:val="00101420"/>
    <w:rsid w:val="00102412"/>
    <w:rsid w:val="0010383F"/>
    <w:rsid w:val="001054E0"/>
    <w:rsid w:val="00111F1B"/>
    <w:rsid w:val="00120E8D"/>
    <w:rsid w:val="001220B8"/>
    <w:rsid w:val="0012406C"/>
    <w:rsid w:val="00125DE6"/>
    <w:rsid w:val="00132DFF"/>
    <w:rsid w:val="0013648D"/>
    <w:rsid w:val="00141681"/>
    <w:rsid w:val="0014506D"/>
    <w:rsid w:val="001478B7"/>
    <w:rsid w:val="00157742"/>
    <w:rsid w:val="00162177"/>
    <w:rsid w:val="00163963"/>
    <w:rsid w:val="001856D3"/>
    <w:rsid w:val="00194883"/>
    <w:rsid w:val="001952FD"/>
    <w:rsid w:val="00195B70"/>
    <w:rsid w:val="001968A6"/>
    <w:rsid w:val="00196D27"/>
    <w:rsid w:val="001A0B30"/>
    <w:rsid w:val="001A1189"/>
    <w:rsid w:val="001A45FA"/>
    <w:rsid w:val="001A4CA2"/>
    <w:rsid w:val="001B4B04"/>
    <w:rsid w:val="001B5232"/>
    <w:rsid w:val="001B63DC"/>
    <w:rsid w:val="001C567E"/>
    <w:rsid w:val="001C6663"/>
    <w:rsid w:val="001C7895"/>
    <w:rsid w:val="001D26DF"/>
    <w:rsid w:val="001D279C"/>
    <w:rsid w:val="001E2F5B"/>
    <w:rsid w:val="001E3A1E"/>
    <w:rsid w:val="001E3F52"/>
    <w:rsid w:val="001F04C3"/>
    <w:rsid w:val="002040CA"/>
    <w:rsid w:val="00211E0B"/>
    <w:rsid w:val="00214894"/>
    <w:rsid w:val="00220045"/>
    <w:rsid w:val="002216C5"/>
    <w:rsid w:val="00224988"/>
    <w:rsid w:val="002272A1"/>
    <w:rsid w:val="00230A43"/>
    <w:rsid w:val="002405A7"/>
    <w:rsid w:val="00242C1C"/>
    <w:rsid w:val="00242CC7"/>
    <w:rsid w:val="0024378A"/>
    <w:rsid w:val="00244F4D"/>
    <w:rsid w:val="0024550A"/>
    <w:rsid w:val="00251623"/>
    <w:rsid w:val="00253550"/>
    <w:rsid w:val="002547A1"/>
    <w:rsid w:val="0025753E"/>
    <w:rsid w:val="002605A2"/>
    <w:rsid w:val="0026649D"/>
    <w:rsid w:val="002810F7"/>
    <w:rsid w:val="00281810"/>
    <w:rsid w:val="0028290D"/>
    <w:rsid w:val="002917B1"/>
    <w:rsid w:val="00291BD4"/>
    <w:rsid w:val="00296553"/>
    <w:rsid w:val="00296746"/>
    <w:rsid w:val="002A350E"/>
    <w:rsid w:val="002A76F9"/>
    <w:rsid w:val="002C7EE4"/>
    <w:rsid w:val="002D6C59"/>
    <w:rsid w:val="002E24E3"/>
    <w:rsid w:val="002E2516"/>
    <w:rsid w:val="002E4478"/>
    <w:rsid w:val="002E64F0"/>
    <w:rsid w:val="002F0084"/>
    <w:rsid w:val="002F3539"/>
    <w:rsid w:val="00302A9C"/>
    <w:rsid w:val="00303441"/>
    <w:rsid w:val="003107FA"/>
    <w:rsid w:val="0031463F"/>
    <w:rsid w:val="00315552"/>
    <w:rsid w:val="003177B8"/>
    <w:rsid w:val="0032124C"/>
    <w:rsid w:val="003229D8"/>
    <w:rsid w:val="00322C71"/>
    <w:rsid w:val="00325012"/>
    <w:rsid w:val="00327140"/>
    <w:rsid w:val="00330C53"/>
    <w:rsid w:val="00332654"/>
    <w:rsid w:val="00336CF2"/>
    <w:rsid w:val="0033745A"/>
    <w:rsid w:val="003428F2"/>
    <w:rsid w:val="003432D3"/>
    <w:rsid w:val="0034583F"/>
    <w:rsid w:val="0035039D"/>
    <w:rsid w:val="00353222"/>
    <w:rsid w:val="00362AF0"/>
    <w:rsid w:val="003677A6"/>
    <w:rsid w:val="00367EE6"/>
    <w:rsid w:val="00380C1E"/>
    <w:rsid w:val="00383C0D"/>
    <w:rsid w:val="003855B1"/>
    <w:rsid w:val="00386021"/>
    <w:rsid w:val="0039277A"/>
    <w:rsid w:val="00395821"/>
    <w:rsid w:val="00395ABA"/>
    <w:rsid w:val="00396858"/>
    <w:rsid w:val="003972E0"/>
    <w:rsid w:val="003A3627"/>
    <w:rsid w:val="003B0AEE"/>
    <w:rsid w:val="003B13C3"/>
    <w:rsid w:val="003B1C3C"/>
    <w:rsid w:val="003B4B4A"/>
    <w:rsid w:val="003B5E5B"/>
    <w:rsid w:val="003B6364"/>
    <w:rsid w:val="003B6CAF"/>
    <w:rsid w:val="003C007B"/>
    <w:rsid w:val="003C162A"/>
    <w:rsid w:val="003C2CC4"/>
    <w:rsid w:val="003C3936"/>
    <w:rsid w:val="003C3F2A"/>
    <w:rsid w:val="003C4269"/>
    <w:rsid w:val="003C4ABF"/>
    <w:rsid w:val="003C62A0"/>
    <w:rsid w:val="003C7211"/>
    <w:rsid w:val="003D48F7"/>
    <w:rsid w:val="003D4B23"/>
    <w:rsid w:val="003E1027"/>
    <w:rsid w:val="003E28F7"/>
    <w:rsid w:val="003E37C7"/>
    <w:rsid w:val="003E3F87"/>
    <w:rsid w:val="003E486C"/>
    <w:rsid w:val="003E489D"/>
    <w:rsid w:val="003E4B08"/>
    <w:rsid w:val="003E7D4D"/>
    <w:rsid w:val="003F1ED3"/>
    <w:rsid w:val="003F3553"/>
    <w:rsid w:val="003F5346"/>
    <w:rsid w:val="003F5E9D"/>
    <w:rsid w:val="003F6C4E"/>
    <w:rsid w:val="00402904"/>
    <w:rsid w:val="0040793A"/>
    <w:rsid w:val="00407CD5"/>
    <w:rsid w:val="004128F0"/>
    <w:rsid w:val="00416880"/>
    <w:rsid w:val="004178EE"/>
    <w:rsid w:val="004225A5"/>
    <w:rsid w:val="00425041"/>
    <w:rsid w:val="00430C76"/>
    <w:rsid w:val="004325CB"/>
    <w:rsid w:val="00443089"/>
    <w:rsid w:val="00445CD3"/>
    <w:rsid w:val="00446DE4"/>
    <w:rsid w:val="0044704D"/>
    <w:rsid w:val="00447158"/>
    <w:rsid w:val="00447BE2"/>
    <w:rsid w:val="00451856"/>
    <w:rsid w:val="00451BC0"/>
    <w:rsid w:val="00460DD9"/>
    <w:rsid w:val="00461898"/>
    <w:rsid w:val="004624EA"/>
    <w:rsid w:val="00464F83"/>
    <w:rsid w:val="0047254D"/>
    <w:rsid w:val="00481430"/>
    <w:rsid w:val="00481B2B"/>
    <w:rsid w:val="00481EB2"/>
    <w:rsid w:val="0048239B"/>
    <w:rsid w:val="00483D2A"/>
    <w:rsid w:val="00484F9A"/>
    <w:rsid w:val="0048793F"/>
    <w:rsid w:val="00490FA7"/>
    <w:rsid w:val="004938C9"/>
    <w:rsid w:val="0049716C"/>
    <w:rsid w:val="004A13E0"/>
    <w:rsid w:val="004A41CA"/>
    <w:rsid w:val="004A4E97"/>
    <w:rsid w:val="004A5A05"/>
    <w:rsid w:val="004B5BBA"/>
    <w:rsid w:val="004C1B40"/>
    <w:rsid w:val="004C3795"/>
    <w:rsid w:val="004C3901"/>
    <w:rsid w:val="004C4A39"/>
    <w:rsid w:val="004C6328"/>
    <w:rsid w:val="004C7387"/>
    <w:rsid w:val="004C7904"/>
    <w:rsid w:val="004D0637"/>
    <w:rsid w:val="004D6EF2"/>
    <w:rsid w:val="004D7A56"/>
    <w:rsid w:val="004E0EB2"/>
    <w:rsid w:val="004E2C30"/>
    <w:rsid w:val="004E2DDA"/>
    <w:rsid w:val="004E2E53"/>
    <w:rsid w:val="004F0DC2"/>
    <w:rsid w:val="004F1D7C"/>
    <w:rsid w:val="00503228"/>
    <w:rsid w:val="00504D5F"/>
    <w:rsid w:val="00505384"/>
    <w:rsid w:val="005113AA"/>
    <w:rsid w:val="005138AF"/>
    <w:rsid w:val="00515909"/>
    <w:rsid w:val="00520F1F"/>
    <w:rsid w:val="00521405"/>
    <w:rsid w:val="005234C1"/>
    <w:rsid w:val="00525196"/>
    <w:rsid w:val="005305C1"/>
    <w:rsid w:val="00531DCF"/>
    <w:rsid w:val="00535C9A"/>
    <w:rsid w:val="0053602D"/>
    <w:rsid w:val="005420F2"/>
    <w:rsid w:val="0055358F"/>
    <w:rsid w:val="00554E9D"/>
    <w:rsid w:val="005564E1"/>
    <w:rsid w:val="0055758E"/>
    <w:rsid w:val="00563DD8"/>
    <w:rsid w:val="00565A67"/>
    <w:rsid w:val="00570429"/>
    <w:rsid w:val="00571761"/>
    <w:rsid w:val="0057268F"/>
    <w:rsid w:val="00573639"/>
    <w:rsid w:val="00574E8D"/>
    <w:rsid w:val="0057599D"/>
    <w:rsid w:val="005762EC"/>
    <w:rsid w:val="00581FD4"/>
    <w:rsid w:val="0058339A"/>
    <w:rsid w:val="00584267"/>
    <w:rsid w:val="00585FEF"/>
    <w:rsid w:val="005861D0"/>
    <w:rsid w:val="0059437E"/>
    <w:rsid w:val="005973B9"/>
    <w:rsid w:val="005A0D33"/>
    <w:rsid w:val="005B0ACA"/>
    <w:rsid w:val="005B0FA2"/>
    <w:rsid w:val="005B3C87"/>
    <w:rsid w:val="005B3DB3"/>
    <w:rsid w:val="005B6A7B"/>
    <w:rsid w:val="005B7EA8"/>
    <w:rsid w:val="005C0FE9"/>
    <w:rsid w:val="005C260B"/>
    <w:rsid w:val="005C505F"/>
    <w:rsid w:val="005D1DD0"/>
    <w:rsid w:val="005D5B38"/>
    <w:rsid w:val="005D6A83"/>
    <w:rsid w:val="005E10A1"/>
    <w:rsid w:val="005E7692"/>
    <w:rsid w:val="005F2F03"/>
    <w:rsid w:val="005F61C7"/>
    <w:rsid w:val="005F79E9"/>
    <w:rsid w:val="005F7B5F"/>
    <w:rsid w:val="00600609"/>
    <w:rsid w:val="00600981"/>
    <w:rsid w:val="00600A3E"/>
    <w:rsid w:val="0061033B"/>
    <w:rsid w:val="00611FC4"/>
    <w:rsid w:val="0061475B"/>
    <w:rsid w:val="006157DB"/>
    <w:rsid w:val="006176FB"/>
    <w:rsid w:val="006240A6"/>
    <w:rsid w:val="00624639"/>
    <w:rsid w:val="00626270"/>
    <w:rsid w:val="00627ED0"/>
    <w:rsid w:val="0063371B"/>
    <w:rsid w:val="00634C05"/>
    <w:rsid w:val="00635396"/>
    <w:rsid w:val="006361AC"/>
    <w:rsid w:val="00636D47"/>
    <w:rsid w:val="00637A4A"/>
    <w:rsid w:val="00637B88"/>
    <w:rsid w:val="00637EB2"/>
    <w:rsid w:val="006409BE"/>
    <w:rsid w:val="00640B26"/>
    <w:rsid w:val="006522BF"/>
    <w:rsid w:val="00656FFF"/>
    <w:rsid w:val="006618F8"/>
    <w:rsid w:val="006625E2"/>
    <w:rsid w:val="006652A0"/>
    <w:rsid w:val="00665595"/>
    <w:rsid w:val="00666E89"/>
    <w:rsid w:val="0066790F"/>
    <w:rsid w:val="00676A07"/>
    <w:rsid w:val="00677221"/>
    <w:rsid w:val="00683202"/>
    <w:rsid w:val="0068677A"/>
    <w:rsid w:val="00691F20"/>
    <w:rsid w:val="006921C5"/>
    <w:rsid w:val="00692E0C"/>
    <w:rsid w:val="00693303"/>
    <w:rsid w:val="00693C13"/>
    <w:rsid w:val="00693E94"/>
    <w:rsid w:val="00695780"/>
    <w:rsid w:val="006972CE"/>
    <w:rsid w:val="006979D8"/>
    <w:rsid w:val="006A2D41"/>
    <w:rsid w:val="006A7392"/>
    <w:rsid w:val="006B2C20"/>
    <w:rsid w:val="006B5ADF"/>
    <w:rsid w:val="006C153E"/>
    <w:rsid w:val="006C18AA"/>
    <w:rsid w:val="006D0CD5"/>
    <w:rsid w:val="006D3789"/>
    <w:rsid w:val="006E221E"/>
    <w:rsid w:val="006E3191"/>
    <w:rsid w:val="006E564B"/>
    <w:rsid w:val="006E5867"/>
    <w:rsid w:val="006F03DE"/>
    <w:rsid w:val="006F044B"/>
    <w:rsid w:val="007006C3"/>
    <w:rsid w:val="0070454E"/>
    <w:rsid w:val="00704953"/>
    <w:rsid w:val="0070499B"/>
    <w:rsid w:val="00704E77"/>
    <w:rsid w:val="0070749A"/>
    <w:rsid w:val="007119DE"/>
    <w:rsid w:val="00715A98"/>
    <w:rsid w:val="00720DEB"/>
    <w:rsid w:val="0072632A"/>
    <w:rsid w:val="00727B00"/>
    <w:rsid w:val="00731451"/>
    <w:rsid w:val="00732486"/>
    <w:rsid w:val="007332D2"/>
    <w:rsid w:val="00733AAE"/>
    <w:rsid w:val="0074475E"/>
    <w:rsid w:val="00746066"/>
    <w:rsid w:val="00747703"/>
    <w:rsid w:val="007501B0"/>
    <w:rsid w:val="00753625"/>
    <w:rsid w:val="007537E5"/>
    <w:rsid w:val="007549FF"/>
    <w:rsid w:val="007556E0"/>
    <w:rsid w:val="00756C81"/>
    <w:rsid w:val="00757987"/>
    <w:rsid w:val="0076384D"/>
    <w:rsid w:val="00767DE9"/>
    <w:rsid w:val="0077723B"/>
    <w:rsid w:val="00777B6B"/>
    <w:rsid w:val="00785C3A"/>
    <w:rsid w:val="00785E07"/>
    <w:rsid w:val="00787D5E"/>
    <w:rsid w:val="00787DE5"/>
    <w:rsid w:val="007A1636"/>
    <w:rsid w:val="007A317E"/>
    <w:rsid w:val="007A587E"/>
    <w:rsid w:val="007B6BA5"/>
    <w:rsid w:val="007C2A62"/>
    <w:rsid w:val="007C30F2"/>
    <w:rsid w:val="007C3390"/>
    <w:rsid w:val="007C4ED5"/>
    <w:rsid w:val="007C4F4B"/>
    <w:rsid w:val="007D2FBA"/>
    <w:rsid w:val="007D642B"/>
    <w:rsid w:val="007D69B9"/>
    <w:rsid w:val="007E3B33"/>
    <w:rsid w:val="007E42C1"/>
    <w:rsid w:val="007F0B83"/>
    <w:rsid w:val="007F0D2A"/>
    <w:rsid w:val="007F2720"/>
    <w:rsid w:val="007F316E"/>
    <w:rsid w:val="007F4285"/>
    <w:rsid w:val="007F4FCD"/>
    <w:rsid w:val="007F6611"/>
    <w:rsid w:val="008030B2"/>
    <w:rsid w:val="008058D1"/>
    <w:rsid w:val="00807BCD"/>
    <w:rsid w:val="0081165A"/>
    <w:rsid w:val="00813BAE"/>
    <w:rsid w:val="00815B10"/>
    <w:rsid w:val="00816D7E"/>
    <w:rsid w:val="008175E9"/>
    <w:rsid w:val="00821B90"/>
    <w:rsid w:val="00821CD3"/>
    <w:rsid w:val="008220B7"/>
    <w:rsid w:val="008242D7"/>
    <w:rsid w:val="008250F8"/>
    <w:rsid w:val="0082714A"/>
    <w:rsid w:val="00827E05"/>
    <w:rsid w:val="008311A3"/>
    <w:rsid w:val="00832416"/>
    <w:rsid w:val="008329A2"/>
    <w:rsid w:val="00835EDD"/>
    <w:rsid w:val="0083741D"/>
    <w:rsid w:val="00843463"/>
    <w:rsid w:val="00851BC1"/>
    <w:rsid w:val="0085249E"/>
    <w:rsid w:val="008532B4"/>
    <w:rsid w:val="0086444D"/>
    <w:rsid w:val="00867D51"/>
    <w:rsid w:val="00871668"/>
    <w:rsid w:val="00871FD5"/>
    <w:rsid w:val="00874D68"/>
    <w:rsid w:val="00882788"/>
    <w:rsid w:val="00882F4D"/>
    <w:rsid w:val="00883242"/>
    <w:rsid w:val="00883344"/>
    <w:rsid w:val="00885E8B"/>
    <w:rsid w:val="0089517F"/>
    <w:rsid w:val="0089578F"/>
    <w:rsid w:val="0089721E"/>
    <w:rsid w:val="008979B1"/>
    <w:rsid w:val="008A0412"/>
    <w:rsid w:val="008A1176"/>
    <w:rsid w:val="008A3266"/>
    <w:rsid w:val="008A6866"/>
    <w:rsid w:val="008A6B25"/>
    <w:rsid w:val="008A6C4F"/>
    <w:rsid w:val="008A6D13"/>
    <w:rsid w:val="008B7E91"/>
    <w:rsid w:val="008D1C54"/>
    <w:rsid w:val="008E0E46"/>
    <w:rsid w:val="008E0E76"/>
    <w:rsid w:val="008E172C"/>
    <w:rsid w:val="008E7D79"/>
    <w:rsid w:val="008F14C8"/>
    <w:rsid w:val="008F1B1E"/>
    <w:rsid w:val="008F55AE"/>
    <w:rsid w:val="00907AD2"/>
    <w:rsid w:val="00910614"/>
    <w:rsid w:val="00913146"/>
    <w:rsid w:val="009165C3"/>
    <w:rsid w:val="00917A40"/>
    <w:rsid w:val="009201A5"/>
    <w:rsid w:val="00920515"/>
    <w:rsid w:val="00921C16"/>
    <w:rsid w:val="0092258D"/>
    <w:rsid w:val="00922620"/>
    <w:rsid w:val="0093061D"/>
    <w:rsid w:val="0093392A"/>
    <w:rsid w:val="009371A0"/>
    <w:rsid w:val="009377CD"/>
    <w:rsid w:val="0094098D"/>
    <w:rsid w:val="0094137B"/>
    <w:rsid w:val="0094234B"/>
    <w:rsid w:val="00943512"/>
    <w:rsid w:val="00945653"/>
    <w:rsid w:val="0095111C"/>
    <w:rsid w:val="00951DB5"/>
    <w:rsid w:val="00955F14"/>
    <w:rsid w:val="0095705F"/>
    <w:rsid w:val="00963CBA"/>
    <w:rsid w:val="00966397"/>
    <w:rsid w:val="00974A8D"/>
    <w:rsid w:val="00976143"/>
    <w:rsid w:val="009761B4"/>
    <w:rsid w:val="00977544"/>
    <w:rsid w:val="0098044E"/>
    <w:rsid w:val="009804C0"/>
    <w:rsid w:val="009822AD"/>
    <w:rsid w:val="00982DF7"/>
    <w:rsid w:val="0098566B"/>
    <w:rsid w:val="0099001C"/>
    <w:rsid w:val="00990DFD"/>
    <w:rsid w:val="00991261"/>
    <w:rsid w:val="00991CEC"/>
    <w:rsid w:val="00991E2C"/>
    <w:rsid w:val="0099354A"/>
    <w:rsid w:val="00994C9F"/>
    <w:rsid w:val="00995336"/>
    <w:rsid w:val="00995B71"/>
    <w:rsid w:val="009A0FDC"/>
    <w:rsid w:val="009A6878"/>
    <w:rsid w:val="009A6E50"/>
    <w:rsid w:val="009B0181"/>
    <w:rsid w:val="009B2B69"/>
    <w:rsid w:val="009B66E5"/>
    <w:rsid w:val="009B77B0"/>
    <w:rsid w:val="009C3E2F"/>
    <w:rsid w:val="009C515C"/>
    <w:rsid w:val="009D40E9"/>
    <w:rsid w:val="009D7C3A"/>
    <w:rsid w:val="009E081C"/>
    <w:rsid w:val="009E1FF8"/>
    <w:rsid w:val="009E25B0"/>
    <w:rsid w:val="009E6179"/>
    <w:rsid w:val="009E61DE"/>
    <w:rsid w:val="009E6799"/>
    <w:rsid w:val="009F38BE"/>
    <w:rsid w:val="009F3A17"/>
    <w:rsid w:val="009F7093"/>
    <w:rsid w:val="00A01AB6"/>
    <w:rsid w:val="00A01ACE"/>
    <w:rsid w:val="00A0212E"/>
    <w:rsid w:val="00A023EE"/>
    <w:rsid w:val="00A0552B"/>
    <w:rsid w:val="00A10646"/>
    <w:rsid w:val="00A1427D"/>
    <w:rsid w:val="00A16987"/>
    <w:rsid w:val="00A17C19"/>
    <w:rsid w:val="00A219B4"/>
    <w:rsid w:val="00A263B6"/>
    <w:rsid w:val="00A338D3"/>
    <w:rsid w:val="00A339CC"/>
    <w:rsid w:val="00A4068E"/>
    <w:rsid w:val="00A43F7C"/>
    <w:rsid w:val="00A45A8C"/>
    <w:rsid w:val="00A5176B"/>
    <w:rsid w:val="00A54C19"/>
    <w:rsid w:val="00A567A8"/>
    <w:rsid w:val="00A570B1"/>
    <w:rsid w:val="00A6071A"/>
    <w:rsid w:val="00A64747"/>
    <w:rsid w:val="00A6496B"/>
    <w:rsid w:val="00A671A6"/>
    <w:rsid w:val="00A72F22"/>
    <w:rsid w:val="00A748A6"/>
    <w:rsid w:val="00A771C3"/>
    <w:rsid w:val="00A805EB"/>
    <w:rsid w:val="00A818C0"/>
    <w:rsid w:val="00A8249D"/>
    <w:rsid w:val="00A85230"/>
    <w:rsid w:val="00A879A4"/>
    <w:rsid w:val="00A905E2"/>
    <w:rsid w:val="00AA0177"/>
    <w:rsid w:val="00AA4655"/>
    <w:rsid w:val="00AA496B"/>
    <w:rsid w:val="00AA4BAD"/>
    <w:rsid w:val="00AA60DA"/>
    <w:rsid w:val="00AA6D57"/>
    <w:rsid w:val="00AA7550"/>
    <w:rsid w:val="00AB0952"/>
    <w:rsid w:val="00AB215A"/>
    <w:rsid w:val="00AB38C5"/>
    <w:rsid w:val="00AB5568"/>
    <w:rsid w:val="00AB7E2E"/>
    <w:rsid w:val="00AC0A0E"/>
    <w:rsid w:val="00AC115E"/>
    <w:rsid w:val="00AC59DE"/>
    <w:rsid w:val="00AD23A3"/>
    <w:rsid w:val="00AD2E40"/>
    <w:rsid w:val="00AE6495"/>
    <w:rsid w:val="00AF3992"/>
    <w:rsid w:val="00AF4E17"/>
    <w:rsid w:val="00AF5761"/>
    <w:rsid w:val="00B005C6"/>
    <w:rsid w:val="00B01438"/>
    <w:rsid w:val="00B02D39"/>
    <w:rsid w:val="00B05A3A"/>
    <w:rsid w:val="00B06019"/>
    <w:rsid w:val="00B1086B"/>
    <w:rsid w:val="00B12DCF"/>
    <w:rsid w:val="00B147C9"/>
    <w:rsid w:val="00B25488"/>
    <w:rsid w:val="00B27161"/>
    <w:rsid w:val="00B30179"/>
    <w:rsid w:val="00B32301"/>
    <w:rsid w:val="00B327A2"/>
    <w:rsid w:val="00B33EC0"/>
    <w:rsid w:val="00B34E47"/>
    <w:rsid w:val="00B35EB5"/>
    <w:rsid w:val="00B373EB"/>
    <w:rsid w:val="00B424ED"/>
    <w:rsid w:val="00B425F6"/>
    <w:rsid w:val="00B4577C"/>
    <w:rsid w:val="00B546E7"/>
    <w:rsid w:val="00B54F7C"/>
    <w:rsid w:val="00B5755B"/>
    <w:rsid w:val="00B60385"/>
    <w:rsid w:val="00B63869"/>
    <w:rsid w:val="00B65DED"/>
    <w:rsid w:val="00B65E77"/>
    <w:rsid w:val="00B66B2D"/>
    <w:rsid w:val="00B66DA7"/>
    <w:rsid w:val="00B72B7B"/>
    <w:rsid w:val="00B75369"/>
    <w:rsid w:val="00B8014E"/>
    <w:rsid w:val="00B81E12"/>
    <w:rsid w:val="00B821A5"/>
    <w:rsid w:val="00B83769"/>
    <w:rsid w:val="00B934A7"/>
    <w:rsid w:val="00BA453A"/>
    <w:rsid w:val="00BA4FE9"/>
    <w:rsid w:val="00BA57B1"/>
    <w:rsid w:val="00BB2667"/>
    <w:rsid w:val="00BB385E"/>
    <w:rsid w:val="00BB48DC"/>
    <w:rsid w:val="00BB67D2"/>
    <w:rsid w:val="00BB74DF"/>
    <w:rsid w:val="00BC0E23"/>
    <w:rsid w:val="00BC5E8F"/>
    <w:rsid w:val="00BC7387"/>
    <w:rsid w:val="00BC73AE"/>
    <w:rsid w:val="00BC74E9"/>
    <w:rsid w:val="00BD0670"/>
    <w:rsid w:val="00BD167F"/>
    <w:rsid w:val="00BD2146"/>
    <w:rsid w:val="00BD2D9A"/>
    <w:rsid w:val="00BE457F"/>
    <w:rsid w:val="00BE4F74"/>
    <w:rsid w:val="00BE618E"/>
    <w:rsid w:val="00BE69E5"/>
    <w:rsid w:val="00BF4C25"/>
    <w:rsid w:val="00BF567F"/>
    <w:rsid w:val="00BF7AFA"/>
    <w:rsid w:val="00C00EF6"/>
    <w:rsid w:val="00C015BB"/>
    <w:rsid w:val="00C021C3"/>
    <w:rsid w:val="00C0258C"/>
    <w:rsid w:val="00C03EC5"/>
    <w:rsid w:val="00C04BFE"/>
    <w:rsid w:val="00C061BF"/>
    <w:rsid w:val="00C063BC"/>
    <w:rsid w:val="00C17699"/>
    <w:rsid w:val="00C23E07"/>
    <w:rsid w:val="00C27500"/>
    <w:rsid w:val="00C316C3"/>
    <w:rsid w:val="00C40357"/>
    <w:rsid w:val="00C40A3B"/>
    <w:rsid w:val="00C40CC6"/>
    <w:rsid w:val="00C41A28"/>
    <w:rsid w:val="00C43F4B"/>
    <w:rsid w:val="00C45D11"/>
    <w:rsid w:val="00C463DD"/>
    <w:rsid w:val="00C50B41"/>
    <w:rsid w:val="00C53716"/>
    <w:rsid w:val="00C55BD0"/>
    <w:rsid w:val="00C56B97"/>
    <w:rsid w:val="00C571E0"/>
    <w:rsid w:val="00C631DF"/>
    <w:rsid w:val="00C63BE1"/>
    <w:rsid w:val="00C647B7"/>
    <w:rsid w:val="00C745C3"/>
    <w:rsid w:val="00C86F11"/>
    <w:rsid w:val="00C96F40"/>
    <w:rsid w:val="00CA40EB"/>
    <w:rsid w:val="00CA5971"/>
    <w:rsid w:val="00CB14B7"/>
    <w:rsid w:val="00CB4A0F"/>
    <w:rsid w:val="00CC0B5B"/>
    <w:rsid w:val="00CC2911"/>
    <w:rsid w:val="00CD0525"/>
    <w:rsid w:val="00CD0F34"/>
    <w:rsid w:val="00CD2C06"/>
    <w:rsid w:val="00CD3DB7"/>
    <w:rsid w:val="00CE1078"/>
    <w:rsid w:val="00CE4A8F"/>
    <w:rsid w:val="00CF0224"/>
    <w:rsid w:val="00CF0CC8"/>
    <w:rsid w:val="00CF2274"/>
    <w:rsid w:val="00D03535"/>
    <w:rsid w:val="00D07709"/>
    <w:rsid w:val="00D121E9"/>
    <w:rsid w:val="00D15364"/>
    <w:rsid w:val="00D2031B"/>
    <w:rsid w:val="00D21413"/>
    <w:rsid w:val="00D216C6"/>
    <w:rsid w:val="00D24D73"/>
    <w:rsid w:val="00D25FE2"/>
    <w:rsid w:val="00D317BB"/>
    <w:rsid w:val="00D31BED"/>
    <w:rsid w:val="00D4189E"/>
    <w:rsid w:val="00D41B1D"/>
    <w:rsid w:val="00D42C7C"/>
    <w:rsid w:val="00D43252"/>
    <w:rsid w:val="00D44017"/>
    <w:rsid w:val="00D55553"/>
    <w:rsid w:val="00D55CD9"/>
    <w:rsid w:val="00D55D25"/>
    <w:rsid w:val="00D578B2"/>
    <w:rsid w:val="00D57E21"/>
    <w:rsid w:val="00D60CED"/>
    <w:rsid w:val="00D60D83"/>
    <w:rsid w:val="00D65A0D"/>
    <w:rsid w:val="00D65ED8"/>
    <w:rsid w:val="00D72087"/>
    <w:rsid w:val="00D83F1A"/>
    <w:rsid w:val="00D841C7"/>
    <w:rsid w:val="00D91FDB"/>
    <w:rsid w:val="00D923B9"/>
    <w:rsid w:val="00D9384A"/>
    <w:rsid w:val="00D978C6"/>
    <w:rsid w:val="00DA15A1"/>
    <w:rsid w:val="00DA2A68"/>
    <w:rsid w:val="00DA3853"/>
    <w:rsid w:val="00DA3B28"/>
    <w:rsid w:val="00DA67AD"/>
    <w:rsid w:val="00DB07A9"/>
    <w:rsid w:val="00DB5D0F"/>
    <w:rsid w:val="00DB6B7A"/>
    <w:rsid w:val="00DC0D4F"/>
    <w:rsid w:val="00DC3242"/>
    <w:rsid w:val="00DC4877"/>
    <w:rsid w:val="00DD29F4"/>
    <w:rsid w:val="00DE0263"/>
    <w:rsid w:val="00DE2B19"/>
    <w:rsid w:val="00DE364E"/>
    <w:rsid w:val="00DE445A"/>
    <w:rsid w:val="00DE5724"/>
    <w:rsid w:val="00DE707B"/>
    <w:rsid w:val="00DE71F2"/>
    <w:rsid w:val="00DF12F7"/>
    <w:rsid w:val="00DF2536"/>
    <w:rsid w:val="00DF2AEC"/>
    <w:rsid w:val="00DF2C64"/>
    <w:rsid w:val="00DF3F05"/>
    <w:rsid w:val="00DF528B"/>
    <w:rsid w:val="00DF5A01"/>
    <w:rsid w:val="00DF7586"/>
    <w:rsid w:val="00E02346"/>
    <w:rsid w:val="00E02C81"/>
    <w:rsid w:val="00E05C71"/>
    <w:rsid w:val="00E130AB"/>
    <w:rsid w:val="00E14A3E"/>
    <w:rsid w:val="00E14AA3"/>
    <w:rsid w:val="00E15273"/>
    <w:rsid w:val="00E157A4"/>
    <w:rsid w:val="00E15D70"/>
    <w:rsid w:val="00E1770E"/>
    <w:rsid w:val="00E20E31"/>
    <w:rsid w:val="00E22B3B"/>
    <w:rsid w:val="00E240C3"/>
    <w:rsid w:val="00E346EC"/>
    <w:rsid w:val="00E36DAF"/>
    <w:rsid w:val="00E44E73"/>
    <w:rsid w:val="00E46890"/>
    <w:rsid w:val="00E478CC"/>
    <w:rsid w:val="00E52EB7"/>
    <w:rsid w:val="00E5375A"/>
    <w:rsid w:val="00E571E3"/>
    <w:rsid w:val="00E57F34"/>
    <w:rsid w:val="00E63A35"/>
    <w:rsid w:val="00E65CD5"/>
    <w:rsid w:val="00E6662D"/>
    <w:rsid w:val="00E707A8"/>
    <w:rsid w:val="00E72215"/>
    <w:rsid w:val="00E7260F"/>
    <w:rsid w:val="00E7470E"/>
    <w:rsid w:val="00E77E9F"/>
    <w:rsid w:val="00E80622"/>
    <w:rsid w:val="00E87921"/>
    <w:rsid w:val="00E87B11"/>
    <w:rsid w:val="00E87E25"/>
    <w:rsid w:val="00E907EF"/>
    <w:rsid w:val="00E924E8"/>
    <w:rsid w:val="00E94D6E"/>
    <w:rsid w:val="00E95607"/>
    <w:rsid w:val="00E96630"/>
    <w:rsid w:val="00EA264E"/>
    <w:rsid w:val="00EA527E"/>
    <w:rsid w:val="00EA6ED3"/>
    <w:rsid w:val="00EB0448"/>
    <w:rsid w:val="00EB2EB0"/>
    <w:rsid w:val="00EB53A0"/>
    <w:rsid w:val="00EC5159"/>
    <w:rsid w:val="00EC6764"/>
    <w:rsid w:val="00ED0007"/>
    <w:rsid w:val="00ED0F1B"/>
    <w:rsid w:val="00ED7A2A"/>
    <w:rsid w:val="00EE5977"/>
    <w:rsid w:val="00EE5D1E"/>
    <w:rsid w:val="00EF1D7F"/>
    <w:rsid w:val="00EF2230"/>
    <w:rsid w:val="00EF403B"/>
    <w:rsid w:val="00EF47F1"/>
    <w:rsid w:val="00EF4B0A"/>
    <w:rsid w:val="00F03803"/>
    <w:rsid w:val="00F03DD3"/>
    <w:rsid w:val="00F06722"/>
    <w:rsid w:val="00F11F73"/>
    <w:rsid w:val="00F15000"/>
    <w:rsid w:val="00F16267"/>
    <w:rsid w:val="00F20A9C"/>
    <w:rsid w:val="00F26761"/>
    <w:rsid w:val="00F26C9F"/>
    <w:rsid w:val="00F30485"/>
    <w:rsid w:val="00F31133"/>
    <w:rsid w:val="00F32CDC"/>
    <w:rsid w:val="00F33744"/>
    <w:rsid w:val="00F33B67"/>
    <w:rsid w:val="00F47447"/>
    <w:rsid w:val="00F50D57"/>
    <w:rsid w:val="00F53EDA"/>
    <w:rsid w:val="00F54C60"/>
    <w:rsid w:val="00F57822"/>
    <w:rsid w:val="00F6181B"/>
    <w:rsid w:val="00F6349D"/>
    <w:rsid w:val="00F66708"/>
    <w:rsid w:val="00F67183"/>
    <w:rsid w:val="00F71364"/>
    <w:rsid w:val="00F73FA4"/>
    <w:rsid w:val="00F7753D"/>
    <w:rsid w:val="00F8367C"/>
    <w:rsid w:val="00F84153"/>
    <w:rsid w:val="00F84DBF"/>
    <w:rsid w:val="00F85209"/>
    <w:rsid w:val="00F85639"/>
    <w:rsid w:val="00F85F34"/>
    <w:rsid w:val="00F9748C"/>
    <w:rsid w:val="00F97A5D"/>
    <w:rsid w:val="00FA06F7"/>
    <w:rsid w:val="00FA4216"/>
    <w:rsid w:val="00FB171A"/>
    <w:rsid w:val="00FB3CFE"/>
    <w:rsid w:val="00FB6D65"/>
    <w:rsid w:val="00FC1B59"/>
    <w:rsid w:val="00FC58BF"/>
    <w:rsid w:val="00FC68B7"/>
    <w:rsid w:val="00FC7A5C"/>
    <w:rsid w:val="00FD71A2"/>
    <w:rsid w:val="00FD7BF6"/>
    <w:rsid w:val="00FE08D7"/>
    <w:rsid w:val="00FE1910"/>
    <w:rsid w:val="00FE2BAF"/>
    <w:rsid w:val="00FE40F1"/>
    <w:rsid w:val="00FF098A"/>
    <w:rsid w:val="00FF348E"/>
    <w:rsid w:val="00FF77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E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fr-FR" w:eastAsia="fr-FR" w:bidi="fr-FR"/>
    </w:rPr>
  </w:style>
  <w:style w:type="paragraph" w:styleId="BodyTextIndent">
    <w:name w:val="Body Text Indent"/>
    <w:basedOn w:val="Normal"/>
    <w:rsid w:val="0035039D"/>
    <w:pPr>
      <w:tabs>
        <w:tab w:val="left" w:pos="567"/>
        <w:tab w:val="left" w:pos="1134"/>
        <w:tab w:val="left" w:pos="1701"/>
      </w:tabs>
      <w:suppressAutoHyphens w:val="0"/>
      <w:spacing w:line="240" w:lineRule="auto"/>
      <w:ind w:left="567" w:hanging="567"/>
      <w:jc w:val="center"/>
    </w:pPr>
    <w:rPr>
      <w:sz w:val="28"/>
      <w:szCs w:val="24"/>
    </w:rPr>
  </w:style>
  <w:style w:type="paragraph" w:styleId="BodyTextIndent3">
    <w:name w:val="Body Text Indent 3"/>
    <w:basedOn w:val="Normal"/>
    <w:rsid w:val="0035039D"/>
    <w:pPr>
      <w:spacing w:after="120"/>
      <w:ind w:left="360"/>
    </w:pPr>
    <w:rPr>
      <w:sz w:val="16"/>
      <w:szCs w:val="16"/>
    </w:rPr>
  </w:style>
  <w:style w:type="paragraph" w:customStyle="1" w:styleId="Nummerierung1">
    <w:name w:val="Nummerierung 1"/>
    <w:basedOn w:val="Normal"/>
    <w:rsid w:val="0061033B"/>
    <w:pPr>
      <w:numPr>
        <w:numId w:val="4"/>
      </w:numPr>
      <w:suppressAutoHyphens w:val="0"/>
      <w:spacing w:line="240" w:lineRule="auto"/>
      <w:jc w:val="both"/>
    </w:pPr>
    <w:rPr>
      <w:sz w:val="24"/>
      <w:szCs w:val="24"/>
    </w:rPr>
  </w:style>
  <w:style w:type="character" w:customStyle="1" w:styleId="SingleTxtGChar">
    <w:name w:val="_ Single Txt_G Char"/>
    <w:link w:val="SingleTxtG"/>
    <w:rsid w:val="0061033B"/>
    <w:rPr>
      <w:lang w:val="fr-FR" w:eastAsia="fr-FR" w:bidi="fr-FR"/>
    </w:rPr>
  </w:style>
  <w:style w:type="paragraph" w:customStyle="1" w:styleId="Nummerierung">
    <w:name w:val="Nummerierung"/>
    <w:basedOn w:val="Normal"/>
    <w:rsid w:val="00A85230"/>
    <w:pPr>
      <w:numPr>
        <w:numId w:val="5"/>
      </w:numPr>
      <w:suppressAutoHyphens w:val="0"/>
      <w:spacing w:line="240" w:lineRule="auto"/>
    </w:pPr>
    <w:rPr>
      <w:sz w:val="24"/>
      <w:szCs w:val="24"/>
    </w:rPr>
  </w:style>
  <w:style w:type="paragraph" w:styleId="BodyText3">
    <w:name w:val="Body Text 3"/>
    <w:basedOn w:val="Normal"/>
    <w:rsid w:val="0070454E"/>
    <w:pPr>
      <w:spacing w:after="120"/>
    </w:pPr>
    <w:rPr>
      <w:sz w:val="16"/>
      <w:szCs w:val="16"/>
    </w:rPr>
  </w:style>
  <w:style w:type="paragraph" w:customStyle="1" w:styleId="Style1">
    <w:name w:val="Style1"/>
    <w:basedOn w:val="Normal"/>
    <w:rsid w:val="0070454E"/>
    <w:pPr>
      <w:suppressAutoHyphens w:val="0"/>
      <w:spacing w:line="240" w:lineRule="auto"/>
    </w:pPr>
    <w:rPr>
      <w:sz w:val="22"/>
      <w:szCs w:val="24"/>
    </w:rPr>
  </w:style>
  <w:style w:type="character" w:customStyle="1" w:styleId="StyleBold">
    <w:name w:val="Style Bold"/>
    <w:semiHidden/>
    <w:rsid w:val="0070454E"/>
    <w:rPr>
      <w:rFonts w:ascii="Times New Roman" w:hAnsi="Times New Roman"/>
      <w:b/>
      <w:bCs/>
    </w:rPr>
  </w:style>
  <w:style w:type="character" w:customStyle="1" w:styleId="StyleBoldStrikethrough">
    <w:name w:val="Style Bold Strikethrough"/>
    <w:semiHidden/>
    <w:rsid w:val="0070454E"/>
    <w:rPr>
      <w:rFonts w:ascii="Times New Roman" w:hAnsi="Times New Roman"/>
      <w:b/>
      <w:bCs/>
      <w:strike/>
      <w:dstrike w:val="0"/>
    </w:rPr>
  </w:style>
  <w:style w:type="character" w:customStyle="1" w:styleId="StyleBold2">
    <w:name w:val="Style Bold2"/>
    <w:semiHidden/>
    <w:rsid w:val="0070454E"/>
    <w:rPr>
      <w:rFonts w:ascii="Times New Roman" w:hAnsi="Times New Roman"/>
      <w:b/>
      <w:bCs/>
    </w:rPr>
  </w:style>
  <w:style w:type="paragraph" w:styleId="BalloonText">
    <w:name w:val="Balloon Text"/>
    <w:basedOn w:val="Normal"/>
    <w:semiHidden/>
    <w:rsid w:val="0070454E"/>
    <w:pPr>
      <w:tabs>
        <w:tab w:val="left" w:pos="360"/>
      </w:tabs>
      <w:suppressAutoHyphens w:val="0"/>
      <w:spacing w:line="240" w:lineRule="auto"/>
    </w:pPr>
    <w:rPr>
      <w:rFonts w:ascii="Tahoma" w:hAnsi="Tahoma"/>
      <w:sz w:val="16"/>
      <w:szCs w:val="16"/>
    </w:rPr>
  </w:style>
  <w:style w:type="paragraph" w:customStyle="1" w:styleId="H1">
    <w:name w:val="_ H_1"/>
    <w:basedOn w:val="Normal"/>
    <w:next w:val="SingleTxt"/>
    <w:rsid w:val="009D40E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
    <w:name w:val="__Single Txt"/>
    <w:basedOn w:val="Normal"/>
    <w:rsid w:val="009D40E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BodyTextIndent2">
    <w:name w:val="Body Text Indent 2"/>
    <w:basedOn w:val="Normal"/>
    <w:link w:val="BodyTextIndent2Char"/>
    <w:rsid w:val="005973B9"/>
    <w:pPr>
      <w:numPr>
        <w:ilvl w:val="12"/>
      </w:numPr>
      <w:tabs>
        <w:tab w:val="left" w:pos="2268"/>
        <w:tab w:val="left" w:pos="2835"/>
      </w:tabs>
      <w:suppressAutoHyphens w:val="0"/>
      <w:autoSpaceDE w:val="0"/>
      <w:autoSpaceDN w:val="0"/>
      <w:adjustRightInd w:val="0"/>
      <w:spacing w:line="240" w:lineRule="auto"/>
      <w:ind w:left="2269" w:hanging="851"/>
      <w:jc w:val="both"/>
    </w:pPr>
    <w:rPr>
      <w:sz w:val="22"/>
      <w:szCs w:val="22"/>
    </w:rPr>
  </w:style>
  <w:style w:type="character" w:customStyle="1" w:styleId="BodyTextIndent2Char">
    <w:name w:val="Body Text Indent 2 Char"/>
    <w:link w:val="BodyTextIndent2"/>
    <w:rsid w:val="005973B9"/>
    <w:rPr>
      <w:sz w:val="22"/>
      <w:szCs w:val="22"/>
      <w:lang w:eastAsia="fr-FR"/>
    </w:rPr>
  </w:style>
  <w:style w:type="paragraph" w:styleId="BodyText">
    <w:name w:val="Body Text"/>
    <w:basedOn w:val="Normal"/>
    <w:link w:val="BodyTextChar"/>
    <w:rsid w:val="005973B9"/>
    <w:pPr>
      <w:tabs>
        <w:tab w:val="left" w:pos="1418"/>
      </w:tabs>
      <w:suppressAutoHyphens w:val="0"/>
      <w:autoSpaceDE w:val="0"/>
      <w:autoSpaceDN w:val="0"/>
      <w:adjustRightInd w:val="0"/>
      <w:spacing w:line="240" w:lineRule="auto"/>
      <w:jc w:val="both"/>
    </w:pPr>
    <w:rPr>
      <w:sz w:val="22"/>
      <w:szCs w:val="22"/>
    </w:rPr>
  </w:style>
  <w:style w:type="character" w:customStyle="1" w:styleId="BodyTextChar">
    <w:name w:val="Body Text Char"/>
    <w:link w:val="BodyText"/>
    <w:rsid w:val="005973B9"/>
    <w:rPr>
      <w:sz w:val="22"/>
      <w:szCs w:val="22"/>
      <w:lang w:eastAsia="fr-FR"/>
    </w:rPr>
  </w:style>
  <w:style w:type="paragraph" w:customStyle="1" w:styleId="ManualBodyText">
    <w:name w:val="Manual Body Text"/>
    <w:basedOn w:val="BodyText"/>
    <w:rsid w:val="005973B9"/>
    <w:pPr>
      <w:numPr>
        <w:ilvl w:val="12"/>
      </w:numPr>
    </w:pPr>
  </w:style>
  <w:style w:type="paragraph" w:customStyle="1" w:styleId="ManualHeading1">
    <w:name w:val="Manual Heading 1"/>
    <w:basedOn w:val="ManualBodyText"/>
    <w:next w:val="ManualBodyText"/>
    <w:rsid w:val="005973B9"/>
    <w:pPr>
      <w:keepNext/>
      <w:keepLines/>
      <w:tabs>
        <w:tab w:val="clear" w:pos="1418"/>
      </w:tabs>
      <w:jc w:val="center"/>
    </w:pPr>
    <w:rPr>
      <w:b/>
      <w:sz w:val="26"/>
      <w:szCs w:val="26"/>
    </w:rPr>
  </w:style>
  <w:style w:type="paragraph" w:customStyle="1" w:styleId="ManualHeading2">
    <w:name w:val="Manual Heading 2"/>
    <w:basedOn w:val="ManualBodyText"/>
    <w:next w:val="ManualBodyText"/>
    <w:rsid w:val="005973B9"/>
    <w:pPr>
      <w:keepNext/>
      <w:keepLines/>
    </w:pPr>
    <w:rPr>
      <w:b/>
    </w:rPr>
  </w:style>
  <w:style w:type="character" w:styleId="CommentReference">
    <w:name w:val="annotation reference"/>
    <w:uiPriority w:val="99"/>
    <w:rsid w:val="005973B9"/>
    <w:rPr>
      <w:sz w:val="16"/>
      <w:szCs w:val="16"/>
    </w:rPr>
  </w:style>
  <w:style w:type="paragraph" w:styleId="CommentText">
    <w:name w:val="annotation text"/>
    <w:basedOn w:val="Normal"/>
    <w:link w:val="CommentTextChar"/>
    <w:uiPriority w:val="99"/>
    <w:rsid w:val="005973B9"/>
    <w:pPr>
      <w:suppressAutoHyphens w:val="0"/>
      <w:autoSpaceDE w:val="0"/>
      <w:autoSpaceDN w:val="0"/>
      <w:adjustRightInd w:val="0"/>
      <w:spacing w:line="240" w:lineRule="auto"/>
    </w:pPr>
    <w:rPr>
      <w:rFonts w:ascii="CG Times" w:hAnsi="CG Times"/>
    </w:rPr>
  </w:style>
  <w:style w:type="character" w:customStyle="1" w:styleId="CommentTextChar">
    <w:name w:val="Comment Text Char"/>
    <w:link w:val="CommentText"/>
    <w:uiPriority w:val="99"/>
    <w:rsid w:val="005973B9"/>
    <w:rPr>
      <w:rFonts w:ascii="CG Times" w:hAnsi="CG Times"/>
      <w:lang w:val="fr-FR" w:eastAsia="fr-FR"/>
    </w:rPr>
  </w:style>
  <w:style w:type="character" w:customStyle="1" w:styleId="FooterChar">
    <w:name w:val="Footer Char"/>
    <w:aliases w:val="3_G Char"/>
    <w:link w:val="Footer"/>
    <w:uiPriority w:val="99"/>
    <w:rsid w:val="008532B4"/>
    <w:rPr>
      <w:sz w:val="16"/>
      <w:lang w:eastAsia="fr-FR"/>
    </w:rPr>
  </w:style>
  <w:style w:type="character" w:customStyle="1" w:styleId="FootnoteTextChar">
    <w:name w:val="Footnote Text Char"/>
    <w:aliases w:val="5_G Char"/>
    <w:link w:val="FootnoteText"/>
    <w:uiPriority w:val="99"/>
    <w:rsid w:val="0049716C"/>
    <w:rPr>
      <w:sz w:val="18"/>
      <w:lang w:eastAsia="fr-FR"/>
    </w:rPr>
  </w:style>
  <w:style w:type="paragraph" w:styleId="CommentSubject">
    <w:name w:val="annotation subject"/>
    <w:basedOn w:val="CommentText"/>
    <w:next w:val="CommentText"/>
    <w:link w:val="CommentSubjectChar"/>
    <w:rsid w:val="004A4E97"/>
    <w:pPr>
      <w:suppressAutoHyphens/>
      <w:autoSpaceDE/>
      <w:autoSpaceDN/>
      <w:adjustRightInd/>
      <w:spacing w:line="240" w:lineRule="atLeast"/>
    </w:pPr>
    <w:rPr>
      <w:rFonts w:ascii="Times New Roman" w:hAnsi="Times New Roman"/>
      <w:b/>
      <w:bCs/>
    </w:rPr>
  </w:style>
  <w:style w:type="character" w:customStyle="1" w:styleId="CommentSubjectChar">
    <w:name w:val="Comment Subject Char"/>
    <w:link w:val="CommentSubject"/>
    <w:rsid w:val="004A4E97"/>
    <w:rPr>
      <w:rFonts w:ascii="CG Times" w:hAnsi="CG Times"/>
      <w:b/>
      <w:bCs/>
      <w:lang w:val="fr-FR" w:eastAsia="fr-FR"/>
    </w:rPr>
  </w:style>
  <w:style w:type="paragraph" w:styleId="Revision">
    <w:name w:val="Revision"/>
    <w:hidden/>
    <w:uiPriority w:val="99"/>
    <w:semiHidden/>
    <w:rsid w:val="004A4E97"/>
  </w:style>
  <w:style w:type="paragraph" w:styleId="Caption">
    <w:name w:val="caption"/>
    <w:basedOn w:val="Normal"/>
    <w:next w:val="Normal"/>
    <w:unhideWhenUsed/>
    <w:qFormat/>
    <w:rsid w:val="007119DE"/>
    <w:pPr>
      <w:spacing w:after="200" w:line="240" w:lineRule="auto"/>
    </w:pPr>
    <w:rPr>
      <w:b/>
      <w:bCs/>
      <w:color w:val="4F81BD"/>
      <w:sz w:val="18"/>
      <w:szCs w:val="18"/>
    </w:rPr>
  </w:style>
  <w:style w:type="paragraph" w:styleId="ListParagraph">
    <w:name w:val="List Paragraph"/>
    <w:basedOn w:val="Normal"/>
    <w:uiPriority w:val="34"/>
    <w:qFormat/>
    <w:rsid w:val="004C6328"/>
    <w:pPr>
      <w:ind w:left="720"/>
      <w:contextualSpacing/>
    </w:pPr>
  </w:style>
  <w:style w:type="character" w:customStyle="1" w:styleId="HeaderChar">
    <w:name w:val="Header Char"/>
    <w:aliases w:val="6_G Char"/>
    <w:link w:val="Header"/>
    <w:uiPriority w:val="99"/>
    <w:rsid w:val="004C6328"/>
    <w:rPr>
      <w:b/>
      <w:sz w:val="18"/>
      <w:lang w:val="fr-FR" w:eastAsia="fr-FR"/>
    </w:rPr>
  </w:style>
  <w:style w:type="paragraph" w:styleId="NormalWeb">
    <w:name w:val="Normal (Web)"/>
    <w:basedOn w:val="Normal"/>
    <w:uiPriority w:val="99"/>
    <w:semiHidden/>
    <w:unhideWhenUsed/>
    <w:rsid w:val="00E571E3"/>
    <w:pPr>
      <w:suppressAutoHyphens w:val="0"/>
      <w:spacing w:before="100" w:beforeAutospacing="1" w:after="100" w:afterAutospacing="1" w:line="240" w:lineRule="auto"/>
    </w:pPr>
    <w:rPr>
      <w:rFonts w:eastAsiaTheme="minorEastAsia"/>
      <w:sz w:val="24"/>
      <w:szCs w:val="24"/>
    </w:rPr>
  </w:style>
  <w:style w:type="paragraph" w:customStyle="1" w:styleId="Default">
    <w:name w:val="Default"/>
    <w:rsid w:val="005F2F03"/>
    <w:pPr>
      <w:autoSpaceDE w:val="0"/>
      <w:autoSpaceDN w:val="0"/>
      <w:adjustRightInd w:val="0"/>
    </w:pPr>
    <w:rPr>
      <w:rFonts w:eastAsiaTheme="minorHAnsi"/>
      <w:color w:val="000000"/>
      <w:sz w:val="24"/>
      <w:szCs w:val="24"/>
    </w:rPr>
  </w:style>
  <w:style w:type="paragraph" w:styleId="NoSpacing">
    <w:name w:val="No Spacing"/>
    <w:uiPriority w:val="1"/>
    <w:qFormat/>
    <w:rsid w:val="005F2F03"/>
    <w:rPr>
      <w:rFonts w:asciiTheme="minorHAnsi" w:eastAsiaTheme="minorHAnsi" w:hAnsiTheme="minorHAnsi" w:cstheme="minorBidi"/>
      <w:sz w:val="22"/>
      <w:szCs w:val="22"/>
    </w:rPr>
  </w:style>
  <w:style w:type="paragraph" w:styleId="ListBullet">
    <w:name w:val="List Bullet"/>
    <w:basedOn w:val="Normal"/>
    <w:semiHidden/>
    <w:rsid w:val="0025753E"/>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fr-FR" w:eastAsia="fr-FR" w:bidi="fr-FR"/>
    </w:rPr>
  </w:style>
  <w:style w:type="paragraph" w:styleId="BodyTextIndent">
    <w:name w:val="Body Text Indent"/>
    <w:basedOn w:val="Normal"/>
    <w:rsid w:val="0035039D"/>
    <w:pPr>
      <w:tabs>
        <w:tab w:val="left" w:pos="567"/>
        <w:tab w:val="left" w:pos="1134"/>
        <w:tab w:val="left" w:pos="1701"/>
      </w:tabs>
      <w:suppressAutoHyphens w:val="0"/>
      <w:spacing w:line="240" w:lineRule="auto"/>
      <w:ind w:left="567" w:hanging="567"/>
      <w:jc w:val="center"/>
    </w:pPr>
    <w:rPr>
      <w:sz w:val="28"/>
      <w:szCs w:val="24"/>
    </w:rPr>
  </w:style>
  <w:style w:type="paragraph" w:styleId="BodyTextIndent3">
    <w:name w:val="Body Text Indent 3"/>
    <w:basedOn w:val="Normal"/>
    <w:rsid w:val="0035039D"/>
    <w:pPr>
      <w:spacing w:after="120"/>
      <w:ind w:left="360"/>
    </w:pPr>
    <w:rPr>
      <w:sz w:val="16"/>
      <w:szCs w:val="16"/>
    </w:rPr>
  </w:style>
  <w:style w:type="paragraph" w:customStyle="1" w:styleId="Nummerierung1">
    <w:name w:val="Nummerierung 1"/>
    <w:basedOn w:val="Normal"/>
    <w:rsid w:val="0061033B"/>
    <w:pPr>
      <w:numPr>
        <w:numId w:val="4"/>
      </w:numPr>
      <w:suppressAutoHyphens w:val="0"/>
      <w:spacing w:line="240" w:lineRule="auto"/>
      <w:jc w:val="both"/>
    </w:pPr>
    <w:rPr>
      <w:sz w:val="24"/>
      <w:szCs w:val="24"/>
    </w:rPr>
  </w:style>
  <w:style w:type="character" w:customStyle="1" w:styleId="SingleTxtGChar">
    <w:name w:val="_ Single Txt_G Char"/>
    <w:link w:val="SingleTxtG"/>
    <w:rsid w:val="0061033B"/>
    <w:rPr>
      <w:lang w:val="fr-FR" w:eastAsia="fr-FR" w:bidi="fr-FR"/>
    </w:rPr>
  </w:style>
  <w:style w:type="paragraph" w:customStyle="1" w:styleId="Nummerierung">
    <w:name w:val="Nummerierung"/>
    <w:basedOn w:val="Normal"/>
    <w:rsid w:val="00A85230"/>
    <w:pPr>
      <w:numPr>
        <w:numId w:val="5"/>
      </w:numPr>
      <w:suppressAutoHyphens w:val="0"/>
      <w:spacing w:line="240" w:lineRule="auto"/>
    </w:pPr>
    <w:rPr>
      <w:sz w:val="24"/>
      <w:szCs w:val="24"/>
    </w:rPr>
  </w:style>
  <w:style w:type="paragraph" w:styleId="BodyText3">
    <w:name w:val="Body Text 3"/>
    <w:basedOn w:val="Normal"/>
    <w:rsid w:val="0070454E"/>
    <w:pPr>
      <w:spacing w:after="120"/>
    </w:pPr>
    <w:rPr>
      <w:sz w:val="16"/>
      <w:szCs w:val="16"/>
    </w:rPr>
  </w:style>
  <w:style w:type="paragraph" w:customStyle="1" w:styleId="Style1">
    <w:name w:val="Style1"/>
    <w:basedOn w:val="Normal"/>
    <w:rsid w:val="0070454E"/>
    <w:pPr>
      <w:suppressAutoHyphens w:val="0"/>
      <w:spacing w:line="240" w:lineRule="auto"/>
    </w:pPr>
    <w:rPr>
      <w:sz w:val="22"/>
      <w:szCs w:val="24"/>
    </w:rPr>
  </w:style>
  <w:style w:type="character" w:customStyle="1" w:styleId="StyleBold">
    <w:name w:val="Style Bold"/>
    <w:semiHidden/>
    <w:rsid w:val="0070454E"/>
    <w:rPr>
      <w:rFonts w:ascii="Times New Roman" w:hAnsi="Times New Roman"/>
      <w:b/>
      <w:bCs/>
    </w:rPr>
  </w:style>
  <w:style w:type="character" w:customStyle="1" w:styleId="StyleBoldStrikethrough">
    <w:name w:val="Style Bold Strikethrough"/>
    <w:semiHidden/>
    <w:rsid w:val="0070454E"/>
    <w:rPr>
      <w:rFonts w:ascii="Times New Roman" w:hAnsi="Times New Roman"/>
      <w:b/>
      <w:bCs/>
      <w:strike/>
      <w:dstrike w:val="0"/>
    </w:rPr>
  </w:style>
  <w:style w:type="character" w:customStyle="1" w:styleId="StyleBold2">
    <w:name w:val="Style Bold2"/>
    <w:semiHidden/>
    <w:rsid w:val="0070454E"/>
    <w:rPr>
      <w:rFonts w:ascii="Times New Roman" w:hAnsi="Times New Roman"/>
      <w:b/>
      <w:bCs/>
    </w:rPr>
  </w:style>
  <w:style w:type="paragraph" w:styleId="BalloonText">
    <w:name w:val="Balloon Text"/>
    <w:basedOn w:val="Normal"/>
    <w:semiHidden/>
    <w:rsid w:val="0070454E"/>
    <w:pPr>
      <w:tabs>
        <w:tab w:val="left" w:pos="360"/>
      </w:tabs>
      <w:suppressAutoHyphens w:val="0"/>
      <w:spacing w:line="240" w:lineRule="auto"/>
    </w:pPr>
    <w:rPr>
      <w:rFonts w:ascii="Tahoma" w:hAnsi="Tahoma"/>
      <w:sz w:val="16"/>
      <w:szCs w:val="16"/>
    </w:rPr>
  </w:style>
  <w:style w:type="paragraph" w:customStyle="1" w:styleId="H1">
    <w:name w:val="_ H_1"/>
    <w:basedOn w:val="Normal"/>
    <w:next w:val="SingleTxt"/>
    <w:rsid w:val="009D40E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
    <w:name w:val="__Single Txt"/>
    <w:basedOn w:val="Normal"/>
    <w:rsid w:val="009D40E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BodyTextIndent2">
    <w:name w:val="Body Text Indent 2"/>
    <w:basedOn w:val="Normal"/>
    <w:link w:val="BodyTextIndent2Char"/>
    <w:rsid w:val="005973B9"/>
    <w:pPr>
      <w:numPr>
        <w:ilvl w:val="12"/>
      </w:numPr>
      <w:tabs>
        <w:tab w:val="left" w:pos="2268"/>
        <w:tab w:val="left" w:pos="2835"/>
      </w:tabs>
      <w:suppressAutoHyphens w:val="0"/>
      <w:autoSpaceDE w:val="0"/>
      <w:autoSpaceDN w:val="0"/>
      <w:adjustRightInd w:val="0"/>
      <w:spacing w:line="240" w:lineRule="auto"/>
      <w:ind w:left="2269" w:hanging="851"/>
      <w:jc w:val="both"/>
    </w:pPr>
    <w:rPr>
      <w:sz w:val="22"/>
      <w:szCs w:val="22"/>
    </w:rPr>
  </w:style>
  <w:style w:type="character" w:customStyle="1" w:styleId="BodyTextIndent2Char">
    <w:name w:val="Body Text Indent 2 Char"/>
    <w:link w:val="BodyTextIndent2"/>
    <w:rsid w:val="005973B9"/>
    <w:rPr>
      <w:sz w:val="22"/>
      <w:szCs w:val="22"/>
      <w:lang w:eastAsia="fr-FR"/>
    </w:rPr>
  </w:style>
  <w:style w:type="paragraph" w:styleId="BodyText">
    <w:name w:val="Body Text"/>
    <w:basedOn w:val="Normal"/>
    <w:link w:val="BodyTextChar"/>
    <w:rsid w:val="005973B9"/>
    <w:pPr>
      <w:tabs>
        <w:tab w:val="left" w:pos="1418"/>
      </w:tabs>
      <w:suppressAutoHyphens w:val="0"/>
      <w:autoSpaceDE w:val="0"/>
      <w:autoSpaceDN w:val="0"/>
      <w:adjustRightInd w:val="0"/>
      <w:spacing w:line="240" w:lineRule="auto"/>
      <w:jc w:val="both"/>
    </w:pPr>
    <w:rPr>
      <w:sz w:val="22"/>
      <w:szCs w:val="22"/>
    </w:rPr>
  </w:style>
  <w:style w:type="character" w:customStyle="1" w:styleId="BodyTextChar">
    <w:name w:val="Body Text Char"/>
    <w:link w:val="BodyText"/>
    <w:rsid w:val="005973B9"/>
    <w:rPr>
      <w:sz w:val="22"/>
      <w:szCs w:val="22"/>
      <w:lang w:eastAsia="fr-FR"/>
    </w:rPr>
  </w:style>
  <w:style w:type="paragraph" w:customStyle="1" w:styleId="ManualBodyText">
    <w:name w:val="Manual Body Text"/>
    <w:basedOn w:val="BodyText"/>
    <w:rsid w:val="005973B9"/>
    <w:pPr>
      <w:numPr>
        <w:ilvl w:val="12"/>
      </w:numPr>
    </w:pPr>
  </w:style>
  <w:style w:type="paragraph" w:customStyle="1" w:styleId="ManualHeading1">
    <w:name w:val="Manual Heading 1"/>
    <w:basedOn w:val="ManualBodyText"/>
    <w:next w:val="ManualBodyText"/>
    <w:rsid w:val="005973B9"/>
    <w:pPr>
      <w:keepNext/>
      <w:keepLines/>
      <w:tabs>
        <w:tab w:val="clear" w:pos="1418"/>
      </w:tabs>
      <w:jc w:val="center"/>
    </w:pPr>
    <w:rPr>
      <w:b/>
      <w:sz w:val="26"/>
      <w:szCs w:val="26"/>
    </w:rPr>
  </w:style>
  <w:style w:type="paragraph" w:customStyle="1" w:styleId="ManualHeading2">
    <w:name w:val="Manual Heading 2"/>
    <w:basedOn w:val="ManualBodyText"/>
    <w:next w:val="ManualBodyText"/>
    <w:rsid w:val="005973B9"/>
    <w:pPr>
      <w:keepNext/>
      <w:keepLines/>
    </w:pPr>
    <w:rPr>
      <w:b/>
    </w:rPr>
  </w:style>
  <w:style w:type="character" w:styleId="CommentReference">
    <w:name w:val="annotation reference"/>
    <w:uiPriority w:val="99"/>
    <w:rsid w:val="005973B9"/>
    <w:rPr>
      <w:sz w:val="16"/>
      <w:szCs w:val="16"/>
    </w:rPr>
  </w:style>
  <w:style w:type="paragraph" w:styleId="CommentText">
    <w:name w:val="annotation text"/>
    <w:basedOn w:val="Normal"/>
    <w:link w:val="CommentTextChar"/>
    <w:uiPriority w:val="99"/>
    <w:rsid w:val="005973B9"/>
    <w:pPr>
      <w:suppressAutoHyphens w:val="0"/>
      <w:autoSpaceDE w:val="0"/>
      <w:autoSpaceDN w:val="0"/>
      <w:adjustRightInd w:val="0"/>
      <w:spacing w:line="240" w:lineRule="auto"/>
    </w:pPr>
    <w:rPr>
      <w:rFonts w:ascii="CG Times" w:hAnsi="CG Times"/>
    </w:rPr>
  </w:style>
  <w:style w:type="character" w:customStyle="1" w:styleId="CommentTextChar">
    <w:name w:val="Comment Text Char"/>
    <w:link w:val="CommentText"/>
    <w:uiPriority w:val="99"/>
    <w:rsid w:val="005973B9"/>
    <w:rPr>
      <w:rFonts w:ascii="CG Times" w:hAnsi="CG Times"/>
      <w:lang w:val="fr-FR" w:eastAsia="fr-FR"/>
    </w:rPr>
  </w:style>
  <w:style w:type="character" w:customStyle="1" w:styleId="FooterChar">
    <w:name w:val="Footer Char"/>
    <w:aliases w:val="3_G Char"/>
    <w:link w:val="Footer"/>
    <w:uiPriority w:val="99"/>
    <w:rsid w:val="008532B4"/>
    <w:rPr>
      <w:sz w:val="16"/>
      <w:lang w:eastAsia="fr-FR"/>
    </w:rPr>
  </w:style>
  <w:style w:type="character" w:customStyle="1" w:styleId="FootnoteTextChar">
    <w:name w:val="Footnote Text Char"/>
    <w:aliases w:val="5_G Char"/>
    <w:link w:val="FootnoteText"/>
    <w:uiPriority w:val="99"/>
    <w:rsid w:val="0049716C"/>
    <w:rPr>
      <w:sz w:val="18"/>
      <w:lang w:eastAsia="fr-FR"/>
    </w:rPr>
  </w:style>
  <w:style w:type="paragraph" w:styleId="CommentSubject">
    <w:name w:val="annotation subject"/>
    <w:basedOn w:val="CommentText"/>
    <w:next w:val="CommentText"/>
    <w:link w:val="CommentSubjectChar"/>
    <w:rsid w:val="004A4E97"/>
    <w:pPr>
      <w:suppressAutoHyphens/>
      <w:autoSpaceDE/>
      <w:autoSpaceDN/>
      <w:adjustRightInd/>
      <w:spacing w:line="240" w:lineRule="atLeast"/>
    </w:pPr>
    <w:rPr>
      <w:rFonts w:ascii="Times New Roman" w:hAnsi="Times New Roman"/>
      <w:b/>
      <w:bCs/>
    </w:rPr>
  </w:style>
  <w:style w:type="character" w:customStyle="1" w:styleId="CommentSubjectChar">
    <w:name w:val="Comment Subject Char"/>
    <w:link w:val="CommentSubject"/>
    <w:rsid w:val="004A4E97"/>
    <w:rPr>
      <w:rFonts w:ascii="CG Times" w:hAnsi="CG Times"/>
      <w:b/>
      <w:bCs/>
      <w:lang w:val="fr-FR" w:eastAsia="fr-FR"/>
    </w:rPr>
  </w:style>
  <w:style w:type="paragraph" w:styleId="Revision">
    <w:name w:val="Revision"/>
    <w:hidden/>
    <w:uiPriority w:val="99"/>
    <w:semiHidden/>
    <w:rsid w:val="004A4E97"/>
  </w:style>
  <w:style w:type="paragraph" w:styleId="Caption">
    <w:name w:val="caption"/>
    <w:basedOn w:val="Normal"/>
    <w:next w:val="Normal"/>
    <w:unhideWhenUsed/>
    <w:qFormat/>
    <w:rsid w:val="007119DE"/>
    <w:pPr>
      <w:spacing w:after="200" w:line="240" w:lineRule="auto"/>
    </w:pPr>
    <w:rPr>
      <w:b/>
      <w:bCs/>
      <w:color w:val="4F81BD"/>
      <w:sz w:val="18"/>
      <w:szCs w:val="18"/>
    </w:rPr>
  </w:style>
  <w:style w:type="paragraph" w:styleId="ListParagraph">
    <w:name w:val="List Paragraph"/>
    <w:basedOn w:val="Normal"/>
    <w:uiPriority w:val="34"/>
    <w:qFormat/>
    <w:rsid w:val="004C6328"/>
    <w:pPr>
      <w:ind w:left="720"/>
      <w:contextualSpacing/>
    </w:pPr>
  </w:style>
  <w:style w:type="character" w:customStyle="1" w:styleId="HeaderChar">
    <w:name w:val="Header Char"/>
    <w:aliases w:val="6_G Char"/>
    <w:link w:val="Header"/>
    <w:uiPriority w:val="99"/>
    <w:rsid w:val="004C6328"/>
    <w:rPr>
      <w:b/>
      <w:sz w:val="18"/>
      <w:lang w:val="fr-FR" w:eastAsia="fr-FR"/>
    </w:rPr>
  </w:style>
  <w:style w:type="paragraph" w:styleId="NormalWeb">
    <w:name w:val="Normal (Web)"/>
    <w:basedOn w:val="Normal"/>
    <w:uiPriority w:val="99"/>
    <w:semiHidden/>
    <w:unhideWhenUsed/>
    <w:rsid w:val="00E571E3"/>
    <w:pPr>
      <w:suppressAutoHyphens w:val="0"/>
      <w:spacing w:before="100" w:beforeAutospacing="1" w:after="100" w:afterAutospacing="1" w:line="240" w:lineRule="auto"/>
    </w:pPr>
    <w:rPr>
      <w:rFonts w:eastAsiaTheme="minorEastAsia"/>
      <w:sz w:val="24"/>
      <w:szCs w:val="24"/>
    </w:rPr>
  </w:style>
  <w:style w:type="paragraph" w:customStyle="1" w:styleId="Default">
    <w:name w:val="Default"/>
    <w:rsid w:val="005F2F03"/>
    <w:pPr>
      <w:autoSpaceDE w:val="0"/>
      <w:autoSpaceDN w:val="0"/>
      <w:adjustRightInd w:val="0"/>
    </w:pPr>
    <w:rPr>
      <w:rFonts w:eastAsiaTheme="minorHAnsi"/>
      <w:color w:val="000000"/>
      <w:sz w:val="24"/>
      <w:szCs w:val="24"/>
    </w:rPr>
  </w:style>
  <w:style w:type="paragraph" w:styleId="NoSpacing">
    <w:name w:val="No Spacing"/>
    <w:uiPriority w:val="1"/>
    <w:qFormat/>
    <w:rsid w:val="005F2F03"/>
    <w:rPr>
      <w:rFonts w:asciiTheme="minorHAnsi" w:eastAsiaTheme="minorHAnsi" w:hAnsiTheme="minorHAnsi" w:cstheme="minorBidi"/>
      <w:sz w:val="22"/>
      <w:szCs w:val="22"/>
    </w:rPr>
  </w:style>
  <w:style w:type="paragraph" w:styleId="ListBullet">
    <w:name w:val="List Bullet"/>
    <w:basedOn w:val="Normal"/>
    <w:semiHidden/>
    <w:rsid w:val="0025753E"/>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079">
      <w:bodyDiv w:val="1"/>
      <w:marLeft w:val="0"/>
      <w:marRight w:val="0"/>
      <w:marTop w:val="0"/>
      <w:marBottom w:val="0"/>
      <w:divBdr>
        <w:top w:val="none" w:sz="0" w:space="0" w:color="auto"/>
        <w:left w:val="none" w:sz="0" w:space="0" w:color="auto"/>
        <w:bottom w:val="none" w:sz="0" w:space="0" w:color="auto"/>
        <w:right w:val="none" w:sz="0" w:space="0" w:color="auto"/>
      </w:divBdr>
    </w:div>
    <w:div w:id="191891275">
      <w:bodyDiv w:val="1"/>
      <w:marLeft w:val="0"/>
      <w:marRight w:val="0"/>
      <w:marTop w:val="0"/>
      <w:marBottom w:val="0"/>
      <w:divBdr>
        <w:top w:val="none" w:sz="0" w:space="0" w:color="auto"/>
        <w:left w:val="none" w:sz="0" w:space="0" w:color="auto"/>
        <w:bottom w:val="none" w:sz="0" w:space="0" w:color="auto"/>
        <w:right w:val="none" w:sz="0" w:space="0" w:color="auto"/>
      </w:divBdr>
      <w:divsChild>
        <w:div w:id="1100030727">
          <w:marLeft w:val="907"/>
          <w:marRight w:val="0"/>
          <w:marTop w:val="0"/>
          <w:marBottom w:val="120"/>
          <w:divBdr>
            <w:top w:val="none" w:sz="0" w:space="0" w:color="auto"/>
            <w:left w:val="none" w:sz="0" w:space="0" w:color="auto"/>
            <w:bottom w:val="none" w:sz="0" w:space="0" w:color="auto"/>
            <w:right w:val="none" w:sz="0" w:space="0" w:color="auto"/>
          </w:divBdr>
        </w:div>
        <w:div w:id="1873300028">
          <w:marLeft w:val="1166"/>
          <w:marRight w:val="0"/>
          <w:marTop w:val="0"/>
          <w:marBottom w:val="120"/>
          <w:divBdr>
            <w:top w:val="none" w:sz="0" w:space="0" w:color="auto"/>
            <w:left w:val="none" w:sz="0" w:space="0" w:color="auto"/>
            <w:bottom w:val="none" w:sz="0" w:space="0" w:color="auto"/>
            <w:right w:val="none" w:sz="0" w:space="0" w:color="auto"/>
          </w:divBdr>
        </w:div>
        <w:div w:id="2135176860">
          <w:marLeft w:val="1166"/>
          <w:marRight w:val="0"/>
          <w:marTop w:val="0"/>
          <w:marBottom w:val="120"/>
          <w:divBdr>
            <w:top w:val="none" w:sz="0" w:space="0" w:color="auto"/>
            <w:left w:val="none" w:sz="0" w:space="0" w:color="auto"/>
            <w:bottom w:val="none" w:sz="0" w:space="0" w:color="auto"/>
            <w:right w:val="none" w:sz="0" w:space="0" w:color="auto"/>
          </w:divBdr>
        </w:div>
        <w:div w:id="1975402978">
          <w:marLeft w:val="1166"/>
          <w:marRight w:val="0"/>
          <w:marTop w:val="0"/>
          <w:marBottom w:val="120"/>
          <w:divBdr>
            <w:top w:val="none" w:sz="0" w:space="0" w:color="auto"/>
            <w:left w:val="none" w:sz="0" w:space="0" w:color="auto"/>
            <w:bottom w:val="none" w:sz="0" w:space="0" w:color="auto"/>
            <w:right w:val="none" w:sz="0" w:space="0" w:color="auto"/>
          </w:divBdr>
        </w:div>
      </w:divsChild>
    </w:div>
    <w:div w:id="220943477">
      <w:bodyDiv w:val="1"/>
      <w:marLeft w:val="0"/>
      <w:marRight w:val="0"/>
      <w:marTop w:val="0"/>
      <w:marBottom w:val="0"/>
      <w:divBdr>
        <w:top w:val="none" w:sz="0" w:space="0" w:color="auto"/>
        <w:left w:val="none" w:sz="0" w:space="0" w:color="auto"/>
        <w:bottom w:val="none" w:sz="0" w:space="0" w:color="auto"/>
        <w:right w:val="none" w:sz="0" w:space="0" w:color="auto"/>
      </w:divBdr>
    </w:div>
    <w:div w:id="441582713">
      <w:bodyDiv w:val="1"/>
      <w:marLeft w:val="0"/>
      <w:marRight w:val="0"/>
      <w:marTop w:val="0"/>
      <w:marBottom w:val="0"/>
      <w:divBdr>
        <w:top w:val="none" w:sz="0" w:space="0" w:color="auto"/>
        <w:left w:val="none" w:sz="0" w:space="0" w:color="auto"/>
        <w:bottom w:val="none" w:sz="0" w:space="0" w:color="auto"/>
        <w:right w:val="none" w:sz="0" w:space="0" w:color="auto"/>
      </w:divBdr>
      <w:divsChild>
        <w:div w:id="1742755620">
          <w:marLeft w:val="0"/>
          <w:marRight w:val="0"/>
          <w:marTop w:val="0"/>
          <w:marBottom w:val="0"/>
          <w:divBdr>
            <w:top w:val="none" w:sz="0" w:space="0" w:color="auto"/>
            <w:left w:val="none" w:sz="0" w:space="0" w:color="auto"/>
            <w:bottom w:val="none" w:sz="0" w:space="0" w:color="auto"/>
            <w:right w:val="none" w:sz="0" w:space="0" w:color="auto"/>
          </w:divBdr>
          <w:divsChild>
            <w:div w:id="166675071">
              <w:marLeft w:val="0"/>
              <w:marRight w:val="0"/>
              <w:marTop w:val="0"/>
              <w:marBottom w:val="0"/>
              <w:divBdr>
                <w:top w:val="none" w:sz="0" w:space="0" w:color="auto"/>
                <w:left w:val="none" w:sz="0" w:space="0" w:color="auto"/>
                <w:bottom w:val="none" w:sz="0" w:space="0" w:color="auto"/>
                <w:right w:val="none" w:sz="0" w:space="0" w:color="auto"/>
              </w:divBdr>
            </w:div>
            <w:div w:id="200633156">
              <w:marLeft w:val="0"/>
              <w:marRight w:val="0"/>
              <w:marTop w:val="0"/>
              <w:marBottom w:val="0"/>
              <w:divBdr>
                <w:top w:val="none" w:sz="0" w:space="0" w:color="auto"/>
                <w:left w:val="none" w:sz="0" w:space="0" w:color="auto"/>
                <w:bottom w:val="none" w:sz="0" w:space="0" w:color="auto"/>
                <w:right w:val="none" w:sz="0" w:space="0" w:color="auto"/>
              </w:divBdr>
            </w:div>
            <w:div w:id="276720668">
              <w:marLeft w:val="0"/>
              <w:marRight w:val="0"/>
              <w:marTop w:val="0"/>
              <w:marBottom w:val="0"/>
              <w:divBdr>
                <w:top w:val="none" w:sz="0" w:space="0" w:color="auto"/>
                <w:left w:val="none" w:sz="0" w:space="0" w:color="auto"/>
                <w:bottom w:val="none" w:sz="0" w:space="0" w:color="auto"/>
                <w:right w:val="none" w:sz="0" w:space="0" w:color="auto"/>
              </w:divBdr>
            </w:div>
            <w:div w:id="611471564">
              <w:marLeft w:val="0"/>
              <w:marRight w:val="0"/>
              <w:marTop w:val="0"/>
              <w:marBottom w:val="0"/>
              <w:divBdr>
                <w:top w:val="none" w:sz="0" w:space="0" w:color="auto"/>
                <w:left w:val="none" w:sz="0" w:space="0" w:color="auto"/>
                <w:bottom w:val="none" w:sz="0" w:space="0" w:color="auto"/>
                <w:right w:val="none" w:sz="0" w:space="0" w:color="auto"/>
              </w:divBdr>
            </w:div>
            <w:div w:id="886913749">
              <w:marLeft w:val="0"/>
              <w:marRight w:val="0"/>
              <w:marTop w:val="0"/>
              <w:marBottom w:val="0"/>
              <w:divBdr>
                <w:top w:val="none" w:sz="0" w:space="0" w:color="auto"/>
                <w:left w:val="none" w:sz="0" w:space="0" w:color="auto"/>
                <w:bottom w:val="none" w:sz="0" w:space="0" w:color="auto"/>
                <w:right w:val="none" w:sz="0" w:space="0" w:color="auto"/>
              </w:divBdr>
            </w:div>
            <w:div w:id="1143042719">
              <w:marLeft w:val="0"/>
              <w:marRight w:val="0"/>
              <w:marTop w:val="0"/>
              <w:marBottom w:val="0"/>
              <w:divBdr>
                <w:top w:val="none" w:sz="0" w:space="0" w:color="auto"/>
                <w:left w:val="none" w:sz="0" w:space="0" w:color="auto"/>
                <w:bottom w:val="none" w:sz="0" w:space="0" w:color="auto"/>
                <w:right w:val="none" w:sz="0" w:space="0" w:color="auto"/>
              </w:divBdr>
            </w:div>
            <w:div w:id="16132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8977">
      <w:bodyDiv w:val="1"/>
      <w:marLeft w:val="0"/>
      <w:marRight w:val="0"/>
      <w:marTop w:val="0"/>
      <w:marBottom w:val="0"/>
      <w:divBdr>
        <w:top w:val="none" w:sz="0" w:space="0" w:color="auto"/>
        <w:left w:val="none" w:sz="0" w:space="0" w:color="auto"/>
        <w:bottom w:val="none" w:sz="0" w:space="0" w:color="auto"/>
        <w:right w:val="none" w:sz="0" w:space="0" w:color="auto"/>
      </w:divBdr>
      <w:divsChild>
        <w:div w:id="503976615">
          <w:marLeft w:val="374"/>
          <w:marRight w:val="0"/>
          <w:marTop w:val="0"/>
          <w:marBottom w:val="120"/>
          <w:divBdr>
            <w:top w:val="none" w:sz="0" w:space="0" w:color="auto"/>
            <w:left w:val="none" w:sz="0" w:space="0" w:color="auto"/>
            <w:bottom w:val="none" w:sz="0" w:space="0" w:color="auto"/>
            <w:right w:val="none" w:sz="0" w:space="0" w:color="auto"/>
          </w:divBdr>
        </w:div>
        <w:div w:id="1813599785">
          <w:marLeft w:val="907"/>
          <w:marRight w:val="0"/>
          <w:marTop w:val="0"/>
          <w:marBottom w:val="120"/>
          <w:divBdr>
            <w:top w:val="none" w:sz="0" w:space="0" w:color="auto"/>
            <w:left w:val="none" w:sz="0" w:space="0" w:color="auto"/>
            <w:bottom w:val="none" w:sz="0" w:space="0" w:color="auto"/>
            <w:right w:val="none" w:sz="0" w:space="0" w:color="auto"/>
          </w:divBdr>
        </w:div>
        <w:div w:id="529877606">
          <w:marLeft w:val="907"/>
          <w:marRight w:val="0"/>
          <w:marTop w:val="0"/>
          <w:marBottom w:val="120"/>
          <w:divBdr>
            <w:top w:val="none" w:sz="0" w:space="0" w:color="auto"/>
            <w:left w:val="none" w:sz="0" w:space="0" w:color="auto"/>
            <w:bottom w:val="none" w:sz="0" w:space="0" w:color="auto"/>
            <w:right w:val="none" w:sz="0" w:space="0" w:color="auto"/>
          </w:divBdr>
        </w:div>
        <w:div w:id="254285012">
          <w:marLeft w:val="907"/>
          <w:marRight w:val="0"/>
          <w:marTop w:val="0"/>
          <w:marBottom w:val="120"/>
          <w:divBdr>
            <w:top w:val="none" w:sz="0" w:space="0" w:color="auto"/>
            <w:left w:val="none" w:sz="0" w:space="0" w:color="auto"/>
            <w:bottom w:val="none" w:sz="0" w:space="0" w:color="auto"/>
            <w:right w:val="none" w:sz="0" w:space="0" w:color="auto"/>
          </w:divBdr>
        </w:div>
      </w:divsChild>
    </w:div>
    <w:div w:id="701785867">
      <w:bodyDiv w:val="1"/>
      <w:marLeft w:val="0"/>
      <w:marRight w:val="0"/>
      <w:marTop w:val="0"/>
      <w:marBottom w:val="0"/>
      <w:divBdr>
        <w:top w:val="none" w:sz="0" w:space="0" w:color="auto"/>
        <w:left w:val="none" w:sz="0" w:space="0" w:color="auto"/>
        <w:bottom w:val="none" w:sz="0" w:space="0" w:color="auto"/>
        <w:right w:val="none" w:sz="0" w:space="0" w:color="auto"/>
      </w:divBdr>
    </w:div>
    <w:div w:id="966933721">
      <w:bodyDiv w:val="1"/>
      <w:marLeft w:val="0"/>
      <w:marRight w:val="0"/>
      <w:marTop w:val="0"/>
      <w:marBottom w:val="0"/>
      <w:divBdr>
        <w:top w:val="none" w:sz="0" w:space="0" w:color="auto"/>
        <w:left w:val="none" w:sz="0" w:space="0" w:color="auto"/>
        <w:bottom w:val="none" w:sz="0" w:space="0" w:color="auto"/>
        <w:right w:val="none" w:sz="0" w:space="0" w:color="auto"/>
      </w:divBdr>
      <w:divsChild>
        <w:div w:id="1860775848">
          <w:marLeft w:val="907"/>
          <w:marRight w:val="0"/>
          <w:marTop w:val="0"/>
          <w:marBottom w:val="120"/>
          <w:divBdr>
            <w:top w:val="none" w:sz="0" w:space="0" w:color="auto"/>
            <w:left w:val="none" w:sz="0" w:space="0" w:color="auto"/>
            <w:bottom w:val="none" w:sz="0" w:space="0" w:color="auto"/>
            <w:right w:val="none" w:sz="0" w:space="0" w:color="auto"/>
          </w:divBdr>
        </w:div>
        <w:div w:id="813525498">
          <w:marLeft w:val="1166"/>
          <w:marRight w:val="0"/>
          <w:marTop w:val="0"/>
          <w:marBottom w:val="120"/>
          <w:divBdr>
            <w:top w:val="none" w:sz="0" w:space="0" w:color="auto"/>
            <w:left w:val="none" w:sz="0" w:space="0" w:color="auto"/>
            <w:bottom w:val="none" w:sz="0" w:space="0" w:color="auto"/>
            <w:right w:val="none" w:sz="0" w:space="0" w:color="auto"/>
          </w:divBdr>
        </w:div>
      </w:divsChild>
    </w:div>
    <w:div w:id="1075011243">
      <w:bodyDiv w:val="1"/>
      <w:marLeft w:val="0"/>
      <w:marRight w:val="0"/>
      <w:marTop w:val="0"/>
      <w:marBottom w:val="0"/>
      <w:divBdr>
        <w:top w:val="none" w:sz="0" w:space="0" w:color="auto"/>
        <w:left w:val="none" w:sz="0" w:space="0" w:color="auto"/>
        <w:bottom w:val="none" w:sz="0" w:space="0" w:color="auto"/>
        <w:right w:val="none" w:sz="0" w:space="0" w:color="auto"/>
      </w:divBdr>
    </w:div>
    <w:div w:id="1230535267">
      <w:bodyDiv w:val="1"/>
      <w:marLeft w:val="0"/>
      <w:marRight w:val="0"/>
      <w:marTop w:val="0"/>
      <w:marBottom w:val="0"/>
      <w:divBdr>
        <w:top w:val="none" w:sz="0" w:space="0" w:color="auto"/>
        <w:left w:val="none" w:sz="0" w:space="0" w:color="auto"/>
        <w:bottom w:val="none" w:sz="0" w:space="0" w:color="auto"/>
        <w:right w:val="none" w:sz="0" w:space="0" w:color="auto"/>
      </w:divBdr>
      <w:divsChild>
        <w:div w:id="415447066">
          <w:marLeft w:val="907"/>
          <w:marRight w:val="0"/>
          <w:marTop w:val="0"/>
          <w:marBottom w:val="120"/>
          <w:divBdr>
            <w:top w:val="none" w:sz="0" w:space="0" w:color="auto"/>
            <w:left w:val="none" w:sz="0" w:space="0" w:color="auto"/>
            <w:bottom w:val="none" w:sz="0" w:space="0" w:color="auto"/>
            <w:right w:val="none" w:sz="0" w:space="0" w:color="auto"/>
          </w:divBdr>
        </w:div>
      </w:divsChild>
    </w:div>
    <w:div w:id="1284918291">
      <w:bodyDiv w:val="1"/>
      <w:marLeft w:val="0"/>
      <w:marRight w:val="0"/>
      <w:marTop w:val="0"/>
      <w:marBottom w:val="0"/>
      <w:divBdr>
        <w:top w:val="none" w:sz="0" w:space="0" w:color="auto"/>
        <w:left w:val="none" w:sz="0" w:space="0" w:color="auto"/>
        <w:bottom w:val="none" w:sz="0" w:space="0" w:color="auto"/>
        <w:right w:val="none" w:sz="0" w:space="0" w:color="auto"/>
      </w:divBdr>
      <w:divsChild>
        <w:div w:id="948976526">
          <w:marLeft w:val="0"/>
          <w:marRight w:val="0"/>
          <w:marTop w:val="0"/>
          <w:marBottom w:val="0"/>
          <w:divBdr>
            <w:top w:val="none" w:sz="0" w:space="0" w:color="auto"/>
            <w:left w:val="none" w:sz="0" w:space="0" w:color="auto"/>
            <w:bottom w:val="none" w:sz="0" w:space="0" w:color="auto"/>
            <w:right w:val="none" w:sz="0" w:space="0" w:color="auto"/>
          </w:divBdr>
          <w:divsChild>
            <w:div w:id="569540113">
              <w:marLeft w:val="0"/>
              <w:marRight w:val="0"/>
              <w:marTop w:val="0"/>
              <w:marBottom w:val="0"/>
              <w:divBdr>
                <w:top w:val="none" w:sz="0" w:space="0" w:color="auto"/>
                <w:left w:val="none" w:sz="0" w:space="0" w:color="auto"/>
                <w:bottom w:val="none" w:sz="0" w:space="0" w:color="auto"/>
                <w:right w:val="none" w:sz="0" w:space="0" w:color="auto"/>
              </w:divBdr>
            </w:div>
            <w:div w:id="1031033850">
              <w:marLeft w:val="0"/>
              <w:marRight w:val="0"/>
              <w:marTop w:val="0"/>
              <w:marBottom w:val="0"/>
              <w:divBdr>
                <w:top w:val="none" w:sz="0" w:space="0" w:color="auto"/>
                <w:left w:val="none" w:sz="0" w:space="0" w:color="auto"/>
                <w:bottom w:val="none" w:sz="0" w:space="0" w:color="auto"/>
                <w:right w:val="none" w:sz="0" w:space="0" w:color="auto"/>
              </w:divBdr>
            </w:div>
            <w:div w:id="1611551262">
              <w:marLeft w:val="0"/>
              <w:marRight w:val="0"/>
              <w:marTop w:val="0"/>
              <w:marBottom w:val="0"/>
              <w:divBdr>
                <w:top w:val="none" w:sz="0" w:space="0" w:color="auto"/>
                <w:left w:val="none" w:sz="0" w:space="0" w:color="auto"/>
                <w:bottom w:val="none" w:sz="0" w:space="0" w:color="auto"/>
                <w:right w:val="none" w:sz="0" w:space="0" w:color="auto"/>
              </w:divBdr>
            </w:div>
            <w:div w:id="1814784819">
              <w:marLeft w:val="0"/>
              <w:marRight w:val="0"/>
              <w:marTop w:val="0"/>
              <w:marBottom w:val="0"/>
              <w:divBdr>
                <w:top w:val="none" w:sz="0" w:space="0" w:color="auto"/>
                <w:left w:val="none" w:sz="0" w:space="0" w:color="auto"/>
                <w:bottom w:val="none" w:sz="0" w:space="0" w:color="auto"/>
                <w:right w:val="none" w:sz="0" w:space="0" w:color="auto"/>
              </w:divBdr>
            </w:div>
            <w:div w:id="1816948503">
              <w:marLeft w:val="0"/>
              <w:marRight w:val="0"/>
              <w:marTop w:val="0"/>
              <w:marBottom w:val="0"/>
              <w:divBdr>
                <w:top w:val="none" w:sz="0" w:space="0" w:color="auto"/>
                <w:left w:val="none" w:sz="0" w:space="0" w:color="auto"/>
                <w:bottom w:val="none" w:sz="0" w:space="0" w:color="auto"/>
                <w:right w:val="none" w:sz="0" w:space="0" w:color="auto"/>
              </w:divBdr>
            </w:div>
            <w:div w:id="1854610176">
              <w:marLeft w:val="0"/>
              <w:marRight w:val="0"/>
              <w:marTop w:val="0"/>
              <w:marBottom w:val="0"/>
              <w:divBdr>
                <w:top w:val="none" w:sz="0" w:space="0" w:color="auto"/>
                <w:left w:val="none" w:sz="0" w:space="0" w:color="auto"/>
                <w:bottom w:val="none" w:sz="0" w:space="0" w:color="auto"/>
                <w:right w:val="none" w:sz="0" w:space="0" w:color="auto"/>
              </w:divBdr>
            </w:div>
            <w:div w:id="20067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4661">
      <w:bodyDiv w:val="1"/>
      <w:marLeft w:val="0"/>
      <w:marRight w:val="0"/>
      <w:marTop w:val="0"/>
      <w:marBottom w:val="0"/>
      <w:divBdr>
        <w:top w:val="none" w:sz="0" w:space="0" w:color="auto"/>
        <w:left w:val="none" w:sz="0" w:space="0" w:color="auto"/>
        <w:bottom w:val="none" w:sz="0" w:space="0" w:color="auto"/>
        <w:right w:val="none" w:sz="0" w:space="0" w:color="auto"/>
      </w:divBdr>
      <w:divsChild>
        <w:div w:id="733357955">
          <w:marLeft w:val="907"/>
          <w:marRight w:val="0"/>
          <w:marTop w:val="0"/>
          <w:marBottom w:val="120"/>
          <w:divBdr>
            <w:top w:val="none" w:sz="0" w:space="0" w:color="auto"/>
            <w:left w:val="none" w:sz="0" w:space="0" w:color="auto"/>
            <w:bottom w:val="none" w:sz="0" w:space="0" w:color="auto"/>
            <w:right w:val="none" w:sz="0" w:space="0" w:color="auto"/>
          </w:divBdr>
        </w:div>
      </w:divsChild>
    </w:div>
    <w:div w:id="1844587702">
      <w:bodyDiv w:val="1"/>
      <w:marLeft w:val="0"/>
      <w:marRight w:val="0"/>
      <w:marTop w:val="0"/>
      <w:marBottom w:val="0"/>
      <w:divBdr>
        <w:top w:val="none" w:sz="0" w:space="0" w:color="auto"/>
        <w:left w:val="none" w:sz="0" w:space="0" w:color="auto"/>
        <w:bottom w:val="none" w:sz="0" w:space="0" w:color="auto"/>
        <w:right w:val="none" w:sz="0" w:space="0" w:color="auto"/>
      </w:divBdr>
      <w:divsChild>
        <w:div w:id="680663102">
          <w:marLeft w:val="374"/>
          <w:marRight w:val="0"/>
          <w:marTop w:val="0"/>
          <w:marBottom w:val="120"/>
          <w:divBdr>
            <w:top w:val="none" w:sz="0" w:space="0" w:color="auto"/>
            <w:left w:val="none" w:sz="0" w:space="0" w:color="auto"/>
            <w:bottom w:val="none" w:sz="0" w:space="0" w:color="auto"/>
            <w:right w:val="none" w:sz="0" w:space="0" w:color="auto"/>
          </w:divBdr>
        </w:div>
        <w:div w:id="772941779">
          <w:marLeft w:val="907"/>
          <w:marRight w:val="0"/>
          <w:marTop w:val="0"/>
          <w:marBottom w:val="120"/>
          <w:divBdr>
            <w:top w:val="none" w:sz="0" w:space="0" w:color="auto"/>
            <w:left w:val="none" w:sz="0" w:space="0" w:color="auto"/>
            <w:bottom w:val="none" w:sz="0" w:space="0" w:color="auto"/>
            <w:right w:val="none" w:sz="0" w:space="0" w:color="auto"/>
          </w:divBdr>
        </w:div>
        <w:div w:id="820073267">
          <w:marLeft w:val="1166"/>
          <w:marRight w:val="0"/>
          <w:marTop w:val="0"/>
          <w:marBottom w:val="120"/>
          <w:divBdr>
            <w:top w:val="none" w:sz="0" w:space="0" w:color="auto"/>
            <w:left w:val="none" w:sz="0" w:space="0" w:color="auto"/>
            <w:bottom w:val="none" w:sz="0" w:space="0" w:color="auto"/>
            <w:right w:val="none" w:sz="0" w:space="0" w:color="auto"/>
          </w:divBdr>
        </w:div>
      </w:divsChild>
    </w:div>
    <w:div w:id="2013682584">
      <w:bodyDiv w:val="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907"/>
          <w:marRight w:val="0"/>
          <w:marTop w:val="0"/>
          <w:marBottom w:val="120"/>
          <w:divBdr>
            <w:top w:val="none" w:sz="0" w:space="0" w:color="auto"/>
            <w:left w:val="none" w:sz="0" w:space="0" w:color="auto"/>
            <w:bottom w:val="none" w:sz="0" w:space="0" w:color="auto"/>
            <w:right w:val="none" w:sz="0" w:space="0" w:color="auto"/>
          </w:divBdr>
        </w:div>
        <w:div w:id="1871845040">
          <w:marLeft w:val="907"/>
          <w:marRight w:val="0"/>
          <w:marTop w:val="0"/>
          <w:marBottom w:val="120"/>
          <w:divBdr>
            <w:top w:val="none" w:sz="0" w:space="0" w:color="auto"/>
            <w:left w:val="none" w:sz="0" w:space="0" w:color="auto"/>
            <w:bottom w:val="none" w:sz="0" w:space="0" w:color="auto"/>
            <w:right w:val="none" w:sz="0" w:space="0" w:color="auto"/>
          </w:divBdr>
        </w:div>
        <w:div w:id="882062013">
          <w:marLeft w:val="907"/>
          <w:marRight w:val="0"/>
          <w:marTop w:val="0"/>
          <w:marBottom w:val="120"/>
          <w:divBdr>
            <w:top w:val="none" w:sz="0" w:space="0" w:color="auto"/>
            <w:left w:val="none" w:sz="0" w:space="0" w:color="auto"/>
            <w:bottom w:val="none" w:sz="0" w:space="0" w:color="auto"/>
            <w:right w:val="none" w:sz="0" w:space="0" w:color="auto"/>
          </w:divBdr>
        </w:div>
        <w:div w:id="573929363">
          <w:marLeft w:val="907"/>
          <w:marRight w:val="0"/>
          <w:marTop w:val="0"/>
          <w:marBottom w:val="120"/>
          <w:divBdr>
            <w:top w:val="none" w:sz="0" w:space="0" w:color="auto"/>
            <w:left w:val="none" w:sz="0" w:space="0" w:color="auto"/>
            <w:bottom w:val="none" w:sz="0" w:space="0" w:color="auto"/>
            <w:right w:val="none" w:sz="0" w:space="0" w:color="auto"/>
          </w:divBdr>
        </w:div>
        <w:div w:id="332103138">
          <w:marLeft w:val="1166"/>
          <w:marRight w:val="0"/>
          <w:marTop w:val="0"/>
          <w:marBottom w:val="120"/>
          <w:divBdr>
            <w:top w:val="none" w:sz="0" w:space="0" w:color="auto"/>
            <w:left w:val="none" w:sz="0" w:space="0" w:color="auto"/>
            <w:bottom w:val="none" w:sz="0" w:space="0" w:color="auto"/>
            <w:right w:val="none" w:sz="0" w:space="0" w:color="auto"/>
          </w:divBdr>
        </w:div>
      </w:divsChild>
    </w:div>
    <w:div w:id="20572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2CA8A-CED0-4E7A-AFDB-686966B2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58</TotalTime>
  <Pages>16</Pages>
  <Words>5328</Words>
  <Characters>29208</Characters>
  <Application>Microsoft Office Word</Application>
  <DocSecurity>0</DocSecurity>
  <Lines>587</Lines>
  <Paragraphs>199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34471</CharactersWithSpaces>
  <SharedDoc>false</SharedDoc>
  <HLinks>
    <vt:vector size="72" baseType="variant">
      <vt:variant>
        <vt:i4>3866636</vt:i4>
      </vt:variant>
      <vt:variant>
        <vt:i4>36</vt:i4>
      </vt:variant>
      <vt:variant>
        <vt:i4>0</vt:i4>
      </vt:variant>
      <vt:variant>
        <vt:i4>5</vt:i4>
      </vt:variant>
      <vt:variant>
        <vt:lpwstr>http://www.unece.org/fileadmin/DAM/trans/doc/2014/dgac10c3/ST-SG-AC10-C3-2014-69_ST-SG-AC10-C4-2014-12e.pdf</vt:lpwstr>
      </vt:variant>
      <vt:variant>
        <vt:lpwstr/>
      </vt:variant>
      <vt:variant>
        <vt:i4>3866636</vt:i4>
      </vt:variant>
      <vt:variant>
        <vt:i4>33</vt:i4>
      </vt:variant>
      <vt:variant>
        <vt:i4>0</vt:i4>
      </vt:variant>
      <vt:variant>
        <vt:i4>5</vt:i4>
      </vt:variant>
      <vt:variant>
        <vt:lpwstr>http://www.unece.org/fileadmin/DAM/trans/doc/2014/dgac10c3/ST-SG-AC10-C3-2014-69_ST-SG-AC10-C4-2014-12e.pdf</vt:lpwstr>
      </vt:variant>
      <vt:variant>
        <vt:lpwstr/>
      </vt:variant>
      <vt:variant>
        <vt:i4>3211267</vt:i4>
      </vt:variant>
      <vt:variant>
        <vt:i4>30</vt:i4>
      </vt:variant>
      <vt:variant>
        <vt:i4>0</vt:i4>
      </vt:variant>
      <vt:variant>
        <vt:i4>5</vt:i4>
      </vt:variant>
      <vt:variant>
        <vt:lpwstr>http://www.unece.org/fileadmin/DAM/trans/doc/2014/dgac10c3/ST-SG-AC.10-C.3-2014-99_ST-SG-AC.10-C.4-2014-18e.pdf</vt:lpwstr>
      </vt:variant>
      <vt:variant>
        <vt:lpwstr/>
      </vt:variant>
      <vt:variant>
        <vt:i4>7274590</vt:i4>
      </vt:variant>
      <vt:variant>
        <vt:i4>27</vt:i4>
      </vt:variant>
      <vt:variant>
        <vt:i4>0</vt:i4>
      </vt:variant>
      <vt:variant>
        <vt:i4>5</vt:i4>
      </vt:variant>
      <vt:variant>
        <vt:lpwstr>http://www.unece.org/fileadmin/DAM/trans/doc/2014/dgac10c3/UN-SCETDG-46-INF71e_UN-SCEGHS-28-INF29e.pdf</vt:lpwstr>
      </vt:variant>
      <vt:variant>
        <vt:lpwstr/>
      </vt:variant>
      <vt:variant>
        <vt:i4>7209042</vt:i4>
      </vt:variant>
      <vt:variant>
        <vt:i4>24</vt:i4>
      </vt:variant>
      <vt:variant>
        <vt:i4>0</vt:i4>
      </vt:variant>
      <vt:variant>
        <vt:i4>5</vt:i4>
      </vt:variant>
      <vt:variant>
        <vt:lpwstr>http://www.unece.org/fileadmin/DAM/trans/doc/2014/dgac10c3/UN-SCETDG-46-INF61e_UN-SCEGHS-28-INF25e.pdf</vt:lpwstr>
      </vt:variant>
      <vt:variant>
        <vt:lpwstr/>
      </vt:variant>
      <vt:variant>
        <vt:i4>7209042</vt:i4>
      </vt:variant>
      <vt:variant>
        <vt:i4>21</vt:i4>
      </vt:variant>
      <vt:variant>
        <vt:i4>0</vt:i4>
      </vt:variant>
      <vt:variant>
        <vt:i4>5</vt:i4>
      </vt:variant>
      <vt:variant>
        <vt:lpwstr>http://www.unece.org/fileadmin/DAM/trans/doc/2014/dgac10c3/UN-SCETDG-46-INF60e_UN-SCEGHS-28-INF24e.pdf</vt:lpwstr>
      </vt:variant>
      <vt:variant>
        <vt:lpwstr/>
      </vt:variant>
      <vt:variant>
        <vt:i4>7077969</vt:i4>
      </vt:variant>
      <vt:variant>
        <vt:i4>18</vt:i4>
      </vt:variant>
      <vt:variant>
        <vt:i4>0</vt:i4>
      </vt:variant>
      <vt:variant>
        <vt:i4>5</vt:i4>
      </vt:variant>
      <vt:variant>
        <vt:lpwstr>http://www.unece.org/fileadmin/DAM/trans/doc/2014/dgac10c3/UN-SCETDG-46-INF46e_UN-SCEGHS-28-INF21e.pdf</vt:lpwstr>
      </vt:variant>
      <vt:variant>
        <vt:lpwstr/>
      </vt:variant>
      <vt:variant>
        <vt:i4>7012435</vt:i4>
      </vt:variant>
      <vt:variant>
        <vt:i4>15</vt:i4>
      </vt:variant>
      <vt:variant>
        <vt:i4>0</vt:i4>
      </vt:variant>
      <vt:variant>
        <vt:i4>5</vt:i4>
      </vt:variant>
      <vt:variant>
        <vt:lpwstr>http://www.unece.org/fileadmin/DAM/trans/doc/2014/dgac10c3/UN-SCETDG-46-INF35e_UN-SCEGHS-28-INF20e.pdf</vt:lpwstr>
      </vt:variant>
      <vt:variant>
        <vt:lpwstr/>
      </vt:variant>
      <vt:variant>
        <vt:i4>8126585</vt:i4>
      </vt:variant>
      <vt:variant>
        <vt:i4>12</vt:i4>
      </vt:variant>
      <vt:variant>
        <vt:i4>0</vt:i4>
      </vt:variant>
      <vt:variant>
        <vt:i4>5</vt:i4>
      </vt:variant>
      <vt:variant>
        <vt:lpwstr>http://www.unece.org/fileadmin/DAM/trans/doc/2014/dgac10c3/UN-SCETDG-46-INF15e-UN-SCEGHS-28-INF07.e.pdf</vt:lpwstr>
      </vt:variant>
      <vt:variant>
        <vt:lpwstr/>
      </vt:variant>
      <vt:variant>
        <vt:i4>393308</vt:i4>
      </vt:variant>
      <vt:variant>
        <vt:i4>9</vt:i4>
      </vt:variant>
      <vt:variant>
        <vt:i4>0</vt:i4>
      </vt:variant>
      <vt:variant>
        <vt:i4>5</vt:i4>
      </vt:variant>
      <vt:variant>
        <vt:lpwstr>http://www.unece.org/fileadmin/DAM/trans/doc/2014/dgac10c3/ST-SG-AC.10-C.3-2014-104e.pdf</vt:lpwstr>
      </vt:variant>
      <vt:variant>
        <vt:lpwstr/>
      </vt:variant>
      <vt:variant>
        <vt:i4>3211267</vt:i4>
      </vt:variant>
      <vt:variant>
        <vt:i4>6</vt:i4>
      </vt:variant>
      <vt:variant>
        <vt:i4>0</vt:i4>
      </vt:variant>
      <vt:variant>
        <vt:i4>5</vt:i4>
      </vt:variant>
      <vt:variant>
        <vt:lpwstr>http://www.unece.org/fileadmin/DAM/trans/doc/2014/dgac10c3/ST-SG-AC.10-C.3-2014-99_ST-SG-AC.10-C.4-2014-18e.pdf</vt:lpwstr>
      </vt:variant>
      <vt:variant>
        <vt:lpwstr/>
      </vt:variant>
      <vt:variant>
        <vt:i4>3866636</vt:i4>
      </vt:variant>
      <vt:variant>
        <vt:i4>3</vt:i4>
      </vt:variant>
      <vt:variant>
        <vt:i4>0</vt:i4>
      </vt:variant>
      <vt:variant>
        <vt:i4>5</vt:i4>
      </vt:variant>
      <vt:variant>
        <vt:lpwstr>http://www.unece.org/fileadmin/DAM/trans/doc/2014/dgac10c3/ST-SG-AC10-C3-2014-69_ST-SG-AC10-C4-2014-12e.pdf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M. Kops (NVZ/AISE)</dc:creator>
  <cp:lastModifiedBy>Laurence Berthet</cp:lastModifiedBy>
  <cp:revision>26</cp:revision>
  <cp:lastPrinted>2016-04-08T15:40:00Z</cp:lastPrinted>
  <dcterms:created xsi:type="dcterms:W3CDTF">2016-03-31T13:30:00Z</dcterms:created>
  <dcterms:modified xsi:type="dcterms:W3CDTF">2016-04-08T15:43:00Z</dcterms:modified>
</cp:coreProperties>
</file>