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756BDE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132EA9" w:rsidRPr="00DB58B5" w:rsidRDefault="00756BDE" w:rsidP="00756BDE">
            <w:pPr>
              <w:jc w:val="right"/>
            </w:pPr>
            <w:r w:rsidRPr="00756BDE">
              <w:rPr>
                <w:sz w:val="40"/>
              </w:rPr>
              <w:t>ST</w:t>
            </w:r>
            <w:r>
              <w:t>/SG/AC.10/C.3/2016/1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756BDE" w:rsidP="009C3129">
            <w:pPr>
              <w:spacing w:before="240"/>
            </w:pPr>
            <w:r>
              <w:t>Distr. générale</w:t>
            </w:r>
          </w:p>
          <w:p w:rsidR="00756BDE" w:rsidRDefault="00756BDE" w:rsidP="00756BDE">
            <w:pPr>
              <w:spacing w:line="240" w:lineRule="exact"/>
            </w:pPr>
            <w:r>
              <w:t>14 mars 2016</w:t>
            </w:r>
          </w:p>
          <w:p w:rsidR="00756BDE" w:rsidRDefault="00756BDE" w:rsidP="00756BDE">
            <w:pPr>
              <w:spacing w:line="240" w:lineRule="exact"/>
            </w:pPr>
            <w:r>
              <w:t>Français</w:t>
            </w:r>
          </w:p>
          <w:p w:rsidR="00756BDE" w:rsidRPr="00DB58B5" w:rsidRDefault="00756BDE" w:rsidP="00756BDE">
            <w:pPr>
              <w:spacing w:line="240" w:lineRule="exact"/>
            </w:pPr>
            <w:r>
              <w:t>Original : anglais</w:t>
            </w:r>
          </w:p>
        </w:tc>
      </w:tr>
    </w:tbl>
    <w:p w:rsidR="008303E8" w:rsidRPr="00CA0680" w:rsidRDefault="008303E8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:rsidR="008303E8" w:rsidRPr="00CA0680" w:rsidRDefault="008303E8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>Comité d’experts du transport des marchandises dangereuses</w:t>
      </w:r>
    </w:p>
    <w:p w:rsidR="008303E8" w:rsidRDefault="008303E8" w:rsidP="000305D3">
      <w:pPr>
        <w:spacing w:before="120"/>
        <w:rPr>
          <w:b/>
        </w:rPr>
      </w:pPr>
      <w:r>
        <w:rPr>
          <w:b/>
        </w:rPr>
        <w:t xml:space="preserve">Quarante-neuvième </w:t>
      </w:r>
      <w:r w:rsidRPr="00CA0680">
        <w:rPr>
          <w:b/>
        </w:rPr>
        <w:t>session</w:t>
      </w:r>
    </w:p>
    <w:p w:rsidR="008303E8" w:rsidRDefault="008303E8" w:rsidP="000305D3">
      <w:r>
        <w:t>Genève, 27 juin-6 juillet 2016</w:t>
      </w:r>
    </w:p>
    <w:p w:rsidR="008303E8" w:rsidRDefault="008303E8" w:rsidP="000305D3">
      <w:r>
        <w:t>Point 6 c) de l’ordre du jour provisoire</w:t>
      </w:r>
    </w:p>
    <w:p w:rsidR="00B55316" w:rsidRPr="008303E8" w:rsidRDefault="00710E74" w:rsidP="008303E8">
      <w:pPr>
        <w:rPr>
          <w:b/>
        </w:rPr>
      </w:pPr>
      <w:r w:rsidRPr="008303E8">
        <w:rPr>
          <w:b/>
        </w:rPr>
        <w:t xml:space="preserve">Propositions </w:t>
      </w:r>
      <w:r w:rsidRPr="008303E8">
        <w:rPr>
          <w:b/>
        </w:rPr>
        <w:t>diverses d</w:t>
      </w:r>
      <w:r w:rsidR="008303E8" w:rsidRPr="008303E8">
        <w:rPr>
          <w:b/>
        </w:rPr>
        <w:t>’</w:t>
      </w:r>
      <w:r w:rsidRPr="008303E8">
        <w:rPr>
          <w:b/>
        </w:rPr>
        <w:t xml:space="preserve">amendements au Règlement type </w:t>
      </w:r>
      <w:r w:rsidR="008303E8">
        <w:rPr>
          <w:b/>
        </w:rPr>
        <w:br/>
      </w:r>
      <w:r w:rsidRPr="008303E8">
        <w:rPr>
          <w:b/>
        </w:rPr>
        <w:t>pour le transport des marchandises dangereuses</w:t>
      </w:r>
      <w:r w:rsidR="008303E8" w:rsidRPr="008303E8">
        <w:rPr>
          <w:b/>
        </w:rPr>
        <w:t> </w:t>
      </w:r>
      <w:r w:rsidRPr="008303E8">
        <w:rPr>
          <w:b/>
        </w:rPr>
        <w:t>: emballages</w:t>
      </w:r>
    </w:p>
    <w:p w:rsidR="00B55316" w:rsidRPr="008303E8" w:rsidRDefault="00710E74" w:rsidP="008303E8">
      <w:pPr>
        <w:pStyle w:val="HChG"/>
      </w:pPr>
      <w:r w:rsidRPr="008303E8">
        <w:tab/>
      </w:r>
      <w:r w:rsidRPr="008303E8">
        <w:tab/>
        <w:t>Épreuves sur modèle type pour les GRV</w:t>
      </w:r>
    </w:p>
    <w:p w:rsidR="00B55316" w:rsidRPr="008303E8" w:rsidRDefault="00710E74" w:rsidP="008303E8">
      <w:pPr>
        <w:pStyle w:val="H1G"/>
      </w:pPr>
      <w:r w:rsidRPr="008303E8">
        <w:tab/>
      </w:r>
      <w:r w:rsidRPr="008303E8">
        <w:tab/>
        <w:t>Communication de l</w:t>
      </w:r>
      <w:r w:rsidR="008303E8" w:rsidRPr="008303E8">
        <w:t>’</w:t>
      </w:r>
      <w:r w:rsidRPr="008303E8">
        <w:t>expert de l</w:t>
      </w:r>
      <w:r w:rsidR="008303E8" w:rsidRPr="008303E8">
        <w:t>’</w:t>
      </w:r>
      <w:r w:rsidRPr="008303E8">
        <w:t>Espagne</w:t>
      </w:r>
      <w:r w:rsidR="008303E8" w:rsidRPr="008303E8">
        <w:rPr>
          <w:rStyle w:val="FootnoteReference"/>
          <w:b w:val="0"/>
        </w:rPr>
        <w:footnoteReference w:id="2"/>
      </w:r>
    </w:p>
    <w:p w:rsidR="00B55316" w:rsidRPr="008303E8" w:rsidRDefault="00710E74" w:rsidP="008303E8">
      <w:pPr>
        <w:pStyle w:val="HChG"/>
        <w:rPr>
          <w:lang w:val="en-US"/>
        </w:rPr>
      </w:pPr>
      <w:r w:rsidRPr="008303E8">
        <w:tab/>
      </w:r>
      <w:r w:rsidRPr="008303E8">
        <w:tab/>
      </w:r>
      <w:r w:rsidRPr="008303E8">
        <w:rPr>
          <w:lang w:val="en-US"/>
        </w:rPr>
        <w:t>Introduction</w:t>
      </w:r>
    </w:p>
    <w:p w:rsidR="00B55316" w:rsidRPr="008303E8" w:rsidRDefault="00710E74" w:rsidP="006576F7">
      <w:pPr>
        <w:pStyle w:val="ParNoG"/>
      </w:pPr>
      <w:r w:rsidRPr="008303E8">
        <w:t>Dans les épreuves sur modèle type que doivent subir les G</w:t>
      </w:r>
      <w:r w:rsidRPr="008303E8">
        <w:t>RV, le nombre d</w:t>
      </w:r>
      <w:r w:rsidR="008303E8" w:rsidRPr="008303E8">
        <w:t>’</w:t>
      </w:r>
      <w:r w:rsidRPr="008303E8">
        <w:t>échantillons est défini pour chaque modèle type. En particulier, au 6.5.6.2.1, il est indiqué ce qui suit</w:t>
      </w:r>
      <w:r w:rsidR="006B5D70">
        <w:t> </w:t>
      </w:r>
      <w:r w:rsidRPr="008303E8">
        <w:t xml:space="preserve">: </w:t>
      </w:r>
      <w:r w:rsidR="006B5D70">
        <w:t>« </w:t>
      </w:r>
      <w:r w:rsidRPr="008303E8">
        <w:t xml:space="preserve">Pour chaque modèle type, taille, épaisseur de paroi et mode de construction, </w:t>
      </w:r>
      <w:r w:rsidRPr="008303E8">
        <w:rPr>
          <w:u w:val="single"/>
        </w:rPr>
        <w:t>un</w:t>
      </w:r>
      <w:r w:rsidRPr="008303E8">
        <w:t xml:space="preserve"> GRV doit être soumis aux épreuves énumérées dans l</w:t>
      </w:r>
      <w:r w:rsidR="008303E8" w:rsidRPr="008303E8">
        <w:t>’</w:t>
      </w:r>
      <w:r w:rsidRPr="008303E8">
        <w:t xml:space="preserve">ordre indiqué au 6.5.6.3.5 conformément aux prescriptions des 6.5.6.4 à </w:t>
      </w:r>
      <w:r w:rsidR="006B5D70">
        <w:t>6.5.6.13… ».</w:t>
      </w:r>
    </w:p>
    <w:p w:rsidR="00B55316" w:rsidRPr="008303E8" w:rsidRDefault="00710E74" w:rsidP="006576F7">
      <w:pPr>
        <w:pStyle w:val="ParNoG"/>
      </w:pPr>
      <w:r w:rsidRPr="008303E8">
        <w:t>Ces épreuves doivent être exécutées dans l</w:t>
      </w:r>
      <w:r w:rsidR="008303E8" w:rsidRPr="008303E8">
        <w:t>’</w:t>
      </w:r>
      <w:r w:rsidRPr="008303E8">
        <w:t>ordre indiqué au 6.5.6.3.5. Selon la note</w:t>
      </w:r>
      <w:r w:rsidR="006B74F2">
        <w:t> </w:t>
      </w:r>
      <w:r w:rsidR="006B74F2" w:rsidRPr="007D50C7">
        <w:rPr>
          <w:i/>
        </w:rPr>
        <w:t>e</w:t>
      </w:r>
      <w:r w:rsidRPr="008303E8">
        <w:t xml:space="preserve"> du tableau du 6.5.6.3.5, </w:t>
      </w:r>
      <w:r w:rsidR="006B74F2">
        <w:t>« </w:t>
      </w:r>
      <w:r w:rsidRPr="008303E8">
        <w:rPr>
          <w:u w:val="single"/>
        </w:rPr>
        <w:t>Un autre</w:t>
      </w:r>
      <w:r w:rsidRPr="008303E8">
        <w:t xml:space="preserve"> GRV du même modèle peut être utilisé pour l</w:t>
      </w:r>
      <w:r w:rsidR="008303E8" w:rsidRPr="008303E8">
        <w:t>’</w:t>
      </w:r>
      <w:r w:rsidRPr="008303E8">
        <w:t>épr</w:t>
      </w:r>
      <w:r w:rsidRPr="008303E8">
        <w:t>euve de chute</w:t>
      </w:r>
      <w:r w:rsidR="006B74F2">
        <w:t> ».</w:t>
      </w:r>
    </w:p>
    <w:p w:rsidR="00B55316" w:rsidRPr="008303E8" w:rsidRDefault="00710E74" w:rsidP="006576F7">
      <w:pPr>
        <w:pStyle w:val="ParNoG"/>
      </w:pPr>
      <w:r w:rsidRPr="008303E8">
        <w:t>Le dernier paragraphe du 6.5.6.9.3 (mode opératoire de l</w:t>
      </w:r>
      <w:r w:rsidR="008303E8" w:rsidRPr="008303E8">
        <w:t>’</w:t>
      </w:r>
      <w:r w:rsidRPr="008303E8">
        <w:t xml:space="preserve">épreuve de chute) est libellé comme suit : </w:t>
      </w:r>
      <w:r w:rsidR="00AC6ADF">
        <w:t>« </w:t>
      </w:r>
      <w:r w:rsidRPr="008303E8">
        <w:t xml:space="preserve">On peut à volonté utiliser </w:t>
      </w:r>
      <w:r w:rsidRPr="008303E8">
        <w:rPr>
          <w:u w:val="single"/>
        </w:rPr>
        <w:t>le même</w:t>
      </w:r>
      <w:r w:rsidRPr="008303E8">
        <w:t xml:space="preserve"> GRV pour tous les essais ou </w:t>
      </w:r>
      <w:r w:rsidRPr="008303E8">
        <w:rPr>
          <w:u w:val="single"/>
        </w:rPr>
        <w:t>un GRV différent</w:t>
      </w:r>
      <w:r w:rsidRPr="008303E8">
        <w:t xml:space="preserve"> pour </w:t>
      </w:r>
      <w:r w:rsidRPr="008303E8">
        <w:rPr>
          <w:u w:val="single"/>
        </w:rPr>
        <w:t>chaque essai</w:t>
      </w:r>
      <w:r w:rsidR="00AC6ADF">
        <w:t>. ».</w:t>
      </w:r>
    </w:p>
    <w:p w:rsidR="00B55316" w:rsidRPr="008303E8" w:rsidRDefault="00710E74" w:rsidP="006576F7">
      <w:pPr>
        <w:pStyle w:val="ParNoG"/>
      </w:pPr>
      <w:r w:rsidRPr="008303E8">
        <w:t xml:space="preserve">Ainsi, alors que le 6.5.6.2.1 </w:t>
      </w:r>
      <w:r w:rsidRPr="008303E8">
        <w:t>énonce la règle générale selon laquelle toutes les épreuves doivent être exécutées sur un même GRV, la note</w:t>
      </w:r>
      <w:r w:rsidR="00443E07">
        <w:t> </w:t>
      </w:r>
      <w:r w:rsidR="00443E07" w:rsidRPr="007D50C7">
        <w:rPr>
          <w:i/>
        </w:rPr>
        <w:t>e</w:t>
      </w:r>
      <w:r w:rsidRPr="008303E8">
        <w:t xml:space="preserve"> du 6.5.6.3.5 prévoit une exception pour l</w:t>
      </w:r>
      <w:r w:rsidR="008303E8" w:rsidRPr="008303E8">
        <w:t>’</w:t>
      </w:r>
      <w:r w:rsidRPr="008303E8">
        <w:t>essai de chute, qui peut être réalisé au moyen d</w:t>
      </w:r>
      <w:r w:rsidR="008303E8" w:rsidRPr="008303E8">
        <w:t>’</w:t>
      </w:r>
      <w:r w:rsidRPr="008303E8">
        <w:t>un autre GRV, tandis que selon le 6.5.6.9.3, jusqu</w:t>
      </w:r>
      <w:r w:rsidR="008303E8" w:rsidRPr="008303E8">
        <w:t>’</w:t>
      </w:r>
      <w:r w:rsidRPr="008303E8">
        <w:t xml:space="preserve">à </w:t>
      </w:r>
      <w:r w:rsidR="00443E07">
        <w:t>4 </w:t>
      </w:r>
      <w:r w:rsidRPr="008303E8">
        <w:t xml:space="preserve">GRV différents (dans le cas de GRV en plastique rigide, </w:t>
      </w:r>
      <w:r w:rsidRPr="008303E8">
        <w:lastRenderedPageBreak/>
        <w:t>composites, en carton et en bois) peuvent être utilisés pour les épreuves de chute (un pour chaque essai).</w:t>
      </w:r>
    </w:p>
    <w:p w:rsidR="00B55316" w:rsidRPr="008303E8" w:rsidRDefault="00710E74" w:rsidP="006576F7">
      <w:pPr>
        <w:pStyle w:val="ParNoG"/>
      </w:pPr>
      <w:r w:rsidRPr="008303E8">
        <w:t>Le libellé actuel de la note</w:t>
      </w:r>
      <w:r w:rsidR="00443E07">
        <w:t> </w:t>
      </w:r>
      <w:r w:rsidR="00443E07" w:rsidRPr="007D50C7">
        <w:rPr>
          <w:i/>
        </w:rPr>
        <w:t>e</w:t>
      </w:r>
      <w:r w:rsidRPr="008303E8">
        <w:t xml:space="preserve"> du 6.5.6.3.5 et du 6.5.6.9.3 ne fixe pas clairement le nombre </w:t>
      </w:r>
      <w:r w:rsidRPr="008303E8">
        <w:t>de GRV qu</w:t>
      </w:r>
      <w:r w:rsidR="008303E8" w:rsidRPr="008303E8">
        <w:t>’</w:t>
      </w:r>
      <w:r w:rsidRPr="008303E8">
        <w:t>on peut utiliser pour l</w:t>
      </w:r>
      <w:r w:rsidR="008303E8" w:rsidRPr="008303E8">
        <w:t>’</w:t>
      </w:r>
      <w:r w:rsidRPr="008303E8">
        <w:t>épreuve de chute. Afin de remédier à cela, l</w:t>
      </w:r>
      <w:r w:rsidR="008303E8" w:rsidRPr="008303E8">
        <w:t>’</w:t>
      </w:r>
      <w:r w:rsidRPr="008303E8">
        <w:t>expert de l</w:t>
      </w:r>
      <w:r w:rsidR="008303E8" w:rsidRPr="008303E8">
        <w:t>’</w:t>
      </w:r>
      <w:r w:rsidRPr="008303E8">
        <w:t>Espagne suggère de modifier la note</w:t>
      </w:r>
      <w:r w:rsidR="007D50C7">
        <w:t> </w:t>
      </w:r>
      <w:r w:rsidR="007D50C7" w:rsidRPr="007D50C7">
        <w:rPr>
          <w:i/>
        </w:rPr>
        <w:t>e</w:t>
      </w:r>
      <w:r w:rsidRPr="008303E8">
        <w:t xml:space="preserve"> du 6.5.6.3.5 ainsi que le 6.5.6.9.3, comme indiqué ci-après.</w:t>
      </w:r>
    </w:p>
    <w:p w:rsidR="00B55316" w:rsidRPr="008303E8" w:rsidRDefault="00710E74" w:rsidP="006576F7">
      <w:pPr>
        <w:pStyle w:val="HChG"/>
        <w:rPr>
          <w:lang w:val="en-US"/>
        </w:rPr>
      </w:pPr>
      <w:r w:rsidRPr="008303E8">
        <w:tab/>
      </w:r>
      <w:r w:rsidRPr="008303E8">
        <w:tab/>
      </w:r>
      <w:r w:rsidRPr="008303E8">
        <w:rPr>
          <w:lang w:val="en-US"/>
        </w:rPr>
        <w:t>Proposition</w:t>
      </w:r>
    </w:p>
    <w:p w:rsidR="00B55316" w:rsidRPr="008303E8" w:rsidRDefault="00710E74" w:rsidP="006576F7">
      <w:pPr>
        <w:pStyle w:val="ParNoG"/>
      </w:pPr>
      <w:r w:rsidRPr="008303E8">
        <w:t>Il est proposé de modifier la note</w:t>
      </w:r>
      <w:r w:rsidR="00443E07">
        <w:t> </w:t>
      </w:r>
      <w:r w:rsidR="007D50C7" w:rsidRPr="007D50C7">
        <w:rPr>
          <w:i/>
        </w:rPr>
        <w:t>e</w:t>
      </w:r>
      <w:r w:rsidR="00443E07">
        <w:t xml:space="preserve"> </w:t>
      </w:r>
      <w:r w:rsidRPr="008303E8">
        <w:t>du 6.5.6.3.5 co</w:t>
      </w:r>
      <w:r w:rsidRPr="008303E8">
        <w:t>mme suit (les ajouts sont soulignés et les suppressions sont biffées)</w:t>
      </w:r>
      <w:r w:rsidR="00443E07">
        <w:t> </w:t>
      </w:r>
      <w:r w:rsidRPr="008303E8">
        <w:t>:</w:t>
      </w:r>
    </w:p>
    <w:p w:rsidR="00B55316" w:rsidRPr="008303E8" w:rsidRDefault="00443E07" w:rsidP="00443E07">
      <w:pPr>
        <w:pStyle w:val="SingleTxtG"/>
        <w:ind w:left="1701"/>
      </w:pPr>
      <w:r>
        <w:t>« </w:t>
      </w:r>
      <w:r w:rsidR="00710E74" w:rsidRPr="007D50C7">
        <w:rPr>
          <w:i/>
        </w:rPr>
        <w:t>e</w:t>
      </w:r>
      <w:r>
        <w:tab/>
      </w:r>
      <w:r w:rsidR="00710E74" w:rsidRPr="00443E07">
        <w:rPr>
          <w:strike/>
        </w:rPr>
        <w:t xml:space="preserve">Un autre </w:t>
      </w:r>
      <w:r w:rsidR="00710E74" w:rsidRPr="00443E07">
        <w:rPr>
          <w:u w:val="single"/>
        </w:rPr>
        <w:t>On peut à volonté utiliser le même</w:t>
      </w:r>
      <w:r w:rsidR="00710E74" w:rsidRPr="008303E8">
        <w:t xml:space="preserve"> GRV </w:t>
      </w:r>
      <w:r w:rsidR="00710E74" w:rsidRPr="00443E07">
        <w:rPr>
          <w:u w:val="single"/>
        </w:rPr>
        <w:t>pour tous les essais ou un autre</w:t>
      </w:r>
      <w:r w:rsidR="00710E74" w:rsidRPr="008303E8">
        <w:t xml:space="preserve"> du même modèle </w:t>
      </w:r>
      <w:r w:rsidR="00710E74" w:rsidRPr="00443E07">
        <w:rPr>
          <w:strike/>
        </w:rPr>
        <w:t>peut être utilisé</w:t>
      </w:r>
      <w:r w:rsidR="00710E74" w:rsidRPr="008303E8">
        <w:t xml:space="preserve"> pour </w:t>
      </w:r>
      <w:r w:rsidR="00710E74" w:rsidRPr="00443E07">
        <w:rPr>
          <w:u w:val="single"/>
        </w:rPr>
        <w:t>chaque essai de</w:t>
      </w:r>
      <w:r w:rsidR="00710E74" w:rsidRPr="008303E8">
        <w:t xml:space="preserve"> l</w:t>
      </w:r>
      <w:r w:rsidR="008303E8" w:rsidRPr="008303E8">
        <w:t>’</w:t>
      </w:r>
      <w:r w:rsidR="00710E74" w:rsidRPr="008303E8">
        <w:t>épreuve de chute.</w:t>
      </w:r>
      <w:r w:rsidR="007D50C7">
        <w:t> »</w:t>
      </w:r>
      <w:r>
        <w:t>.</w:t>
      </w:r>
    </w:p>
    <w:p w:rsidR="00B55316" w:rsidRPr="008303E8" w:rsidRDefault="00710E74" w:rsidP="006576F7">
      <w:pPr>
        <w:pStyle w:val="ParNoG"/>
      </w:pPr>
      <w:r w:rsidRPr="008303E8">
        <w:t>Il est proposé de modi</w:t>
      </w:r>
      <w:r w:rsidRPr="008303E8">
        <w:t>fier le dernier paragraphe du 6.5.6.9.3 comme suit (les ajouts sont soulignés et les suppressions sont biffées)</w:t>
      </w:r>
      <w:r w:rsidR="00443E07">
        <w:t> </w:t>
      </w:r>
      <w:r w:rsidRPr="008303E8">
        <w:t>:</w:t>
      </w:r>
    </w:p>
    <w:p w:rsidR="00446FE5" w:rsidRDefault="00E26CC0" w:rsidP="00443E07">
      <w:pPr>
        <w:pStyle w:val="SingleTxtG"/>
        <w:ind w:left="1701"/>
      </w:pPr>
      <w:r>
        <w:t>« </w:t>
      </w:r>
      <w:r w:rsidR="00710E74" w:rsidRPr="008303E8">
        <w:t xml:space="preserve">On peut à volonté utiliser le même GRV pour tous les essais ou un </w:t>
      </w:r>
      <w:r w:rsidR="00710E74" w:rsidRPr="008303E8">
        <w:rPr>
          <w:u w:val="single"/>
        </w:rPr>
        <w:t>autre</w:t>
      </w:r>
      <w:r w:rsidR="00710E74" w:rsidRPr="008303E8">
        <w:t xml:space="preserve"> GRV </w:t>
      </w:r>
      <w:r w:rsidR="00710E74" w:rsidRPr="008303E8">
        <w:rPr>
          <w:u w:val="single"/>
        </w:rPr>
        <w:t>du même modèle</w:t>
      </w:r>
      <w:r w:rsidR="00710E74" w:rsidRPr="008303E8">
        <w:t xml:space="preserve"> </w:t>
      </w:r>
      <w:r w:rsidR="00710E74" w:rsidRPr="00443E07">
        <w:rPr>
          <w:strike/>
        </w:rPr>
        <w:t>différent</w:t>
      </w:r>
      <w:r w:rsidR="00710E74" w:rsidRPr="008303E8">
        <w:t xml:space="preserve"> pour chaque essai</w:t>
      </w:r>
      <w:r w:rsidR="00443E07">
        <w:t>. ».</w:t>
      </w:r>
    </w:p>
    <w:p w:rsidR="006576F7" w:rsidRPr="006576F7" w:rsidRDefault="006576F7" w:rsidP="006576F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576F7" w:rsidRPr="006576F7" w:rsidSect="00756BDE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A4" w:rsidRDefault="00C778A4" w:rsidP="00F95C08">
      <w:pPr>
        <w:spacing w:line="240" w:lineRule="auto"/>
      </w:pPr>
    </w:p>
  </w:endnote>
  <w:endnote w:type="continuationSeparator" w:id="0">
    <w:p w:rsidR="00C778A4" w:rsidRPr="00AC3823" w:rsidRDefault="00C778A4" w:rsidP="00AC3823">
      <w:pPr>
        <w:pStyle w:val="Footer"/>
      </w:pPr>
    </w:p>
  </w:endnote>
  <w:endnote w:type="continuationNotice" w:id="1">
    <w:p w:rsidR="00C778A4" w:rsidRDefault="00C778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756BDE" w:rsidP="00756BDE">
    <w:pPr>
      <w:pStyle w:val="Footer"/>
      <w:tabs>
        <w:tab w:val="right" w:pos="9638"/>
      </w:tabs>
    </w:pPr>
    <w:r w:rsidRPr="00756BDE">
      <w:rPr>
        <w:b/>
        <w:sz w:val="18"/>
      </w:rPr>
      <w:fldChar w:fldCharType="begin"/>
    </w:r>
    <w:r w:rsidRPr="00756BDE">
      <w:rPr>
        <w:b/>
        <w:sz w:val="18"/>
      </w:rPr>
      <w:instrText xml:space="preserve"> PAGE  \* MERGEFORMAT </w:instrText>
    </w:r>
    <w:r w:rsidRPr="00756BDE">
      <w:rPr>
        <w:b/>
        <w:sz w:val="18"/>
      </w:rPr>
      <w:fldChar w:fldCharType="separate"/>
    </w:r>
    <w:r w:rsidR="00710E74">
      <w:rPr>
        <w:b/>
        <w:noProof/>
        <w:sz w:val="18"/>
      </w:rPr>
      <w:t>2</w:t>
    </w:r>
    <w:r w:rsidRPr="00756BDE">
      <w:rPr>
        <w:b/>
        <w:sz w:val="18"/>
      </w:rPr>
      <w:fldChar w:fldCharType="end"/>
    </w:r>
    <w:r>
      <w:rPr>
        <w:b/>
        <w:sz w:val="18"/>
      </w:rPr>
      <w:tab/>
    </w:r>
    <w:r>
      <w:t>GE.16-04007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756BDE" w:rsidP="00756BDE">
    <w:pPr>
      <w:pStyle w:val="Footer"/>
      <w:tabs>
        <w:tab w:val="right" w:pos="9638"/>
      </w:tabs>
      <w:rPr>
        <w:b/>
        <w:sz w:val="18"/>
      </w:rPr>
    </w:pPr>
    <w:r>
      <w:t>GE.16-04007</w:t>
    </w:r>
    <w:r>
      <w:tab/>
    </w:r>
    <w:r w:rsidRPr="00756BDE">
      <w:rPr>
        <w:b/>
        <w:sz w:val="18"/>
      </w:rPr>
      <w:fldChar w:fldCharType="begin"/>
    </w:r>
    <w:r w:rsidRPr="00756BDE">
      <w:rPr>
        <w:b/>
        <w:sz w:val="18"/>
      </w:rPr>
      <w:instrText xml:space="preserve"> PAGE  \* MERGEFORMAT </w:instrText>
    </w:r>
    <w:r w:rsidRPr="00756BDE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56B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756BDE" w:rsidRDefault="00756BDE" w:rsidP="00756BDE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2AB82DCD" wp14:editId="76C1DE32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16-04007  (F)    120516    130516</w:t>
    </w:r>
    <w:r>
      <w:rPr>
        <w:sz w:val="20"/>
      </w:rPr>
      <w:br/>
    </w:r>
    <w:r w:rsidRPr="00756BDE">
      <w:rPr>
        <w:rFonts w:ascii="C39T30Lfz" w:hAnsi="C39T30Lfz"/>
        <w:sz w:val="56"/>
      </w:rPr>
      <w:t></w:t>
    </w:r>
    <w:r w:rsidRPr="00756BDE">
      <w:rPr>
        <w:rFonts w:ascii="C39T30Lfz" w:hAnsi="C39T30Lfz"/>
        <w:sz w:val="56"/>
      </w:rPr>
      <w:t></w:t>
    </w:r>
    <w:r w:rsidRPr="00756BDE">
      <w:rPr>
        <w:rFonts w:ascii="C39T30Lfz" w:hAnsi="C39T30Lfz"/>
        <w:sz w:val="56"/>
      </w:rPr>
      <w:t></w:t>
    </w:r>
    <w:r w:rsidRPr="00756BDE">
      <w:rPr>
        <w:rFonts w:ascii="C39T30Lfz" w:hAnsi="C39T30Lfz"/>
        <w:sz w:val="56"/>
      </w:rPr>
      <w:t></w:t>
    </w:r>
    <w:r w:rsidRPr="00756BDE">
      <w:rPr>
        <w:rFonts w:ascii="C39T30Lfz" w:hAnsi="C39T30Lfz"/>
        <w:sz w:val="56"/>
      </w:rPr>
      <w:t></w:t>
    </w:r>
    <w:r w:rsidRPr="00756BDE">
      <w:rPr>
        <w:rFonts w:ascii="C39T30Lfz" w:hAnsi="C39T30Lfz"/>
        <w:sz w:val="56"/>
      </w:rPr>
      <w:t></w:t>
    </w:r>
    <w:r w:rsidRPr="00756BDE">
      <w:rPr>
        <w:rFonts w:ascii="C39T30Lfz" w:hAnsi="C39T30Lfz"/>
        <w:sz w:val="56"/>
      </w:rPr>
      <w:t></w:t>
    </w:r>
    <w:r w:rsidRPr="00756BDE">
      <w:rPr>
        <w:rFonts w:ascii="C39T30Lfz" w:hAnsi="C39T30Lfz"/>
        <w:sz w:val="56"/>
      </w:rPr>
      <w:t></w:t>
    </w:r>
    <w:r w:rsidRPr="00756BDE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A4" w:rsidRPr="00AC3823" w:rsidRDefault="00C778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778A4" w:rsidRPr="00AC3823" w:rsidRDefault="00C778A4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778A4" w:rsidRPr="00AC3823" w:rsidRDefault="00C778A4">
      <w:pPr>
        <w:spacing w:line="240" w:lineRule="auto"/>
        <w:rPr>
          <w:sz w:val="2"/>
          <w:szCs w:val="2"/>
        </w:rPr>
      </w:pPr>
    </w:p>
  </w:footnote>
  <w:footnote w:id="2">
    <w:p w:rsidR="008303E8" w:rsidRDefault="008303E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="00710E74" w:rsidRPr="008303E8">
        <w:t xml:space="preserve">Conformément au programme de travail du Sous-Comité pour la </w:t>
      </w:r>
      <w:r w:rsidRPr="008303E8">
        <w:t>période 2015-2016 adopté par le </w:t>
      </w:r>
      <w:r w:rsidR="00710E74" w:rsidRPr="008303E8">
        <w:t>Comité à sa septième session</w:t>
      </w:r>
      <w:r w:rsidRPr="008303E8">
        <w:t xml:space="preserve"> (voir ST/SG/AC.10/C.3/92, par. 95, et ST/SG/AC.10/42, par. </w:t>
      </w:r>
      <w:r w:rsidR="00710E74" w:rsidRPr="008303E8">
        <w:t>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756BDE">
    <w:pPr>
      <w:pStyle w:val="Header"/>
    </w:pPr>
    <w:r>
      <w:t>ST/SG/AC.10/C.3/2016/1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BDE" w:rsidRPr="00756BDE" w:rsidRDefault="00756BDE" w:rsidP="00756BDE">
    <w:pPr>
      <w:pStyle w:val="Header"/>
      <w:jc w:val="right"/>
    </w:pPr>
    <w:r>
      <w:t>ST/SG/AC.10/C.3/2016/1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8A4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6178"/>
    <w:rsid w:val="001F525A"/>
    <w:rsid w:val="00223272"/>
    <w:rsid w:val="0024779E"/>
    <w:rsid w:val="00272FC7"/>
    <w:rsid w:val="00283190"/>
    <w:rsid w:val="002832AC"/>
    <w:rsid w:val="002D7C93"/>
    <w:rsid w:val="00441C3B"/>
    <w:rsid w:val="00443E07"/>
    <w:rsid w:val="00446FE5"/>
    <w:rsid w:val="00452396"/>
    <w:rsid w:val="004D289C"/>
    <w:rsid w:val="004E468C"/>
    <w:rsid w:val="005505B7"/>
    <w:rsid w:val="00573BE5"/>
    <w:rsid w:val="00586ED3"/>
    <w:rsid w:val="00596AA9"/>
    <w:rsid w:val="006576F7"/>
    <w:rsid w:val="0068456F"/>
    <w:rsid w:val="006B5D70"/>
    <w:rsid w:val="006B74F2"/>
    <w:rsid w:val="00707E54"/>
    <w:rsid w:val="00710E74"/>
    <w:rsid w:val="0071601D"/>
    <w:rsid w:val="00756BDE"/>
    <w:rsid w:val="007A62E6"/>
    <w:rsid w:val="007D50C7"/>
    <w:rsid w:val="0080684C"/>
    <w:rsid w:val="008275FD"/>
    <w:rsid w:val="008303E8"/>
    <w:rsid w:val="00871C75"/>
    <w:rsid w:val="008776DC"/>
    <w:rsid w:val="00891146"/>
    <w:rsid w:val="009705C8"/>
    <w:rsid w:val="009C1CF4"/>
    <w:rsid w:val="00A30353"/>
    <w:rsid w:val="00A4394A"/>
    <w:rsid w:val="00AC3823"/>
    <w:rsid w:val="00AC6ADF"/>
    <w:rsid w:val="00AE323C"/>
    <w:rsid w:val="00B00181"/>
    <w:rsid w:val="00B00B0D"/>
    <w:rsid w:val="00B765F7"/>
    <w:rsid w:val="00BA0CA9"/>
    <w:rsid w:val="00C02897"/>
    <w:rsid w:val="00C778A4"/>
    <w:rsid w:val="00CD2E25"/>
    <w:rsid w:val="00D3439C"/>
    <w:rsid w:val="00DB1831"/>
    <w:rsid w:val="00DD3BFD"/>
    <w:rsid w:val="00DF6678"/>
    <w:rsid w:val="00E26CC0"/>
    <w:rsid w:val="00EF2E22"/>
    <w:rsid w:val="00F445F7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98EB-1016-46CA-8628-38B3AE3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ST/SG/AC.10/C.3/2016/1</vt:lpstr>
      <vt:lpstr>ST/SG/AC.10/C.3/2016/1</vt:lpstr>
    </vt:vector>
  </TitlesOfParts>
  <Company>DCM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ST/SG/AC.10/C.3/2016/1</dc:title>
  <dc:subject>final</dc:subject>
  <dc:creator>Deschamps</dc:creator>
  <cp:lastModifiedBy>Laurence Berthet</cp:lastModifiedBy>
  <cp:revision>2</cp:revision>
  <cp:lastPrinted>2016-05-13T13:14:00Z</cp:lastPrinted>
  <dcterms:created xsi:type="dcterms:W3CDTF">2016-05-13T13:15:00Z</dcterms:created>
  <dcterms:modified xsi:type="dcterms:W3CDTF">2016-05-13T13:15:00Z</dcterms:modified>
</cp:coreProperties>
</file>