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6C1F2B">
            <w:pPr>
              <w:jc w:val="right"/>
            </w:pPr>
            <w:r w:rsidRPr="006D12B1">
              <w:rPr>
                <w:sz w:val="40"/>
              </w:rPr>
              <w:t>ST</w:t>
            </w:r>
            <w:r>
              <w:t>/SG/AC.10/C.3/201</w:t>
            </w:r>
            <w:r w:rsidR="00B44060">
              <w:t>6</w:t>
            </w:r>
            <w:r>
              <w:t>/</w:t>
            </w:r>
            <w:r w:rsidR="006C1F2B">
              <w:t>10</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047B0F" w:rsidP="006D12B1">
            <w:pPr>
              <w:spacing w:line="240" w:lineRule="exact"/>
            </w:pPr>
            <w:r>
              <w:t>29</w:t>
            </w:r>
            <w:r w:rsidR="00B44060" w:rsidRPr="00DB63BF">
              <w:t xml:space="preserve"> March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B44060" w:rsidP="00432930">
      <w:pPr>
        <w:spacing w:before="120"/>
        <w:rPr>
          <w:b/>
        </w:rPr>
      </w:pPr>
      <w:r>
        <w:rPr>
          <w:b/>
        </w:rPr>
        <w:t>Forty-ninth</w:t>
      </w:r>
      <w:r w:rsidR="00B51A46" w:rsidRPr="00432930">
        <w:rPr>
          <w:b/>
        </w:rPr>
        <w:t xml:space="preserve"> session</w:t>
      </w:r>
    </w:p>
    <w:p w:rsidR="00B51A46" w:rsidRDefault="00B51A46" w:rsidP="00B51A46">
      <w:pPr>
        <w:pStyle w:val="NormalWeb"/>
        <w:rPr>
          <w:b/>
          <w:sz w:val="20"/>
          <w:szCs w:val="20"/>
        </w:rPr>
      </w:pPr>
      <w:r w:rsidRPr="00432930">
        <w:rPr>
          <w:sz w:val="20"/>
          <w:szCs w:val="20"/>
        </w:rPr>
        <w:t xml:space="preserve">Geneva, </w:t>
      </w:r>
      <w:r w:rsidR="00B44060">
        <w:rPr>
          <w:color w:val="333333"/>
          <w:sz w:val="20"/>
          <w:szCs w:val="20"/>
          <w:lang w:eastAsia="it-IT"/>
        </w:rPr>
        <w:t>27 June – 6 July 2016</w:t>
      </w:r>
      <w:r w:rsidRPr="00432930">
        <w:rPr>
          <w:color w:val="333333"/>
          <w:sz w:val="20"/>
          <w:szCs w:val="20"/>
          <w:lang w:eastAsia="it-IT"/>
        </w:rPr>
        <w:br/>
      </w:r>
      <w:r w:rsidRPr="00DB63BF">
        <w:rPr>
          <w:sz w:val="20"/>
          <w:szCs w:val="20"/>
        </w:rPr>
        <w:t xml:space="preserve">Item </w:t>
      </w:r>
      <w:r w:rsidR="006C1F2B">
        <w:rPr>
          <w:sz w:val="20"/>
          <w:szCs w:val="20"/>
        </w:rPr>
        <w:t>2 (c)</w:t>
      </w:r>
      <w:r w:rsidRPr="00DB63BF">
        <w:rPr>
          <w:sz w:val="20"/>
          <w:szCs w:val="20"/>
        </w:rPr>
        <w:t xml:space="preserve"> of the provisional agenda</w:t>
      </w:r>
      <w:r w:rsidRPr="00DB63BF">
        <w:rPr>
          <w:sz w:val="20"/>
          <w:szCs w:val="20"/>
        </w:rPr>
        <w:br/>
      </w:r>
      <w:r w:rsidR="006C1F2B" w:rsidRPr="006C1F2B">
        <w:rPr>
          <w:b/>
          <w:sz w:val="20"/>
          <w:szCs w:val="20"/>
        </w:rPr>
        <w:t xml:space="preserve">Explosives and related matters: </w:t>
      </w:r>
      <w:r w:rsidR="006C1F2B">
        <w:rPr>
          <w:b/>
          <w:sz w:val="20"/>
          <w:szCs w:val="20"/>
        </w:rPr>
        <w:br/>
      </w:r>
      <w:r w:rsidR="006C1F2B" w:rsidRPr="006C1F2B">
        <w:rPr>
          <w:b/>
          <w:sz w:val="20"/>
          <w:szCs w:val="20"/>
        </w:rPr>
        <w:t>review of tests in parts I and II of the Manual of Tests and Criteria</w:t>
      </w:r>
    </w:p>
    <w:p w:rsidR="006C1F2B" w:rsidRPr="00DE0613" w:rsidRDefault="006C1F2B" w:rsidP="006C1F2B">
      <w:pPr>
        <w:pStyle w:val="HChG"/>
      </w:pPr>
      <w:r>
        <w:tab/>
      </w:r>
      <w:r>
        <w:tab/>
      </w:r>
      <w:r w:rsidRPr="005021D0">
        <w:t>Supporting material for the new design proposal for th</w:t>
      </w:r>
      <w:r w:rsidR="00047B0F">
        <w:t>e standard detonator in the Manual of Tests and C</w:t>
      </w:r>
      <w:r w:rsidRPr="005021D0">
        <w:t>riteria</w:t>
      </w:r>
    </w:p>
    <w:p w:rsidR="006C1F2B" w:rsidRDefault="006C1F2B" w:rsidP="006C1F2B">
      <w:pPr>
        <w:pStyle w:val="H1G"/>
      </w:pPr>
      <w:r>
        <w:tab/>
      </w:r>
      <w:r>
        <w:tab/>
        <w:t>Transmitted by the expert from Germany</w:t>
      </w:r>
      <w:r>
        <w:rPr>
          <w:rStyle w:val="FootnoteReference"/>
        </w:rPr>
        <w:footnoteReference w:id="2"/>
      </w:r>
    </w:p>
    <w:p w:rsidR="006C1F2B" w:rsidRDefault="006C1F2B" w:rsidP="006C1F2B">
      <w:pPr>
        <w:pStyle w:val="HChG"/>
      </w:pPr>
      <w:r>
        <w:tab/>
      </w:r>
      <w:r>
        <w:tab/>
        <w:t>Introduction</w:t>
      </w:r>
    </w:p>
    <w:p w:rsidR="006C1F2B" w:rsidRPr="006C1F2B" w:rsidRDefault="006C1F2B" w:rsidP="006C1F2B">
      <w:pPr>
        <w:pStyle w:val="SingleTxtG"/>
      </w:pPr>
      <w:r>
        <w:t>1.</w:t>
      </w:r>
      <w:r>
        <w:tab/>
      </w:r>
      <w:r w:rsidRPr="006C1F2B">
        <w:t xml:space="preserve">During the </w:t>
      </w:r>
      <w:r>
        <w:t>forty-seventh</w:t>
      </w:r>
      <w:r w:rsidRPr="006C1F2B">
        <w:t xml:space="preserve"> session of the Sub-Committee an amendment to the design for the standard detonator (European type) has been proposed in document ST/SG/AC.10/C.3/2015/26. While there was much general support for an update of the standard detonator specification, discussions in the explosives working group (EWG) led to the result, that further experimental evidence would be desirable to demonstrate, that the amended design performs equally to the previous design.</w:t>
      </w:r>
    </w:p>
    <w:p w:rsidR="006C1F2B" w:rsidRPr="006C1F2B" w:rsidRDefault="006C1F2B" w:rsidP="006C1F2B">
      <w:pPr>
        <w:pStyle w:val="SingleTxtG"/>
      </w:pPr>
      <w:r>
        <w:t>2.</w:t>
      </w:r>
      <w:r>
        <w:tab/>
      </w:r>
      <w:r w:rsidRPr="006C1F2B">
        <w:t xml:space="preserve">Part of such evidence was given in informal </w:t>
      </w:r>
      <w:r w:rsidR="00047B0F">
        <w:t>document</w:t>
      </w:r>
      <w:r w:rsidRPr="006C1F2B">
        <w:t xml:space="preserve"> INF.37</w:t>
      </w:r>
      <w:r>
        <w:t xml:space="preserve"> (47</w:t>
      </w:r>
      <w:r w:rsidRPr="006C1F2B">
        <w:rPr>
          <w:vertAlign w:val="superscript"/>
        </w:rPr>
        <w:t>th</w:t>
      </w:r>
      <w:r>
        <w:t xml:space="preserve"> session)</w:t>
      </w:r>
      <w:r w:rsidRPr="006C1F2B">
        <w:t>, where test results from the Trauzl-test showed that the obtained volumes would be the same, for the previous and for the new standard detonator design.</w:t>
      </w:r>
    </w:p>
    <w:p w:rsidR="006C1F2B" w:rsidRPr="006C1F2B" w:rsidRDefault="006C1F2B" w:rsidP="006C1F2B">
      <w:pPr>
        <w:pStyle w:val="SingleTxtG"/>
      </w:pPr>
      <w:r>
        <w:t>3.</w:t>
      </w:r>
      <w:r>
        <w:tab/>
      </w:r>
      <w:r w:rsidRPr="006C1F2B">
        <w:t xml:space="preserve">Another possibility to compare the detonator’s performance was discussed during the 47th session of the </w:t>
      </w:r>
      <w:r w:rsidR="00047B0F">
        <w:t>Working Group on Explosives</w:t>
      </w:r>
      <w:r w:rsidRPr="006C1F2B">
        <w:t>, which is to consider data from the so called underwater-test. This test measures the shock energy of a detonator by recording the maximum peak pressure and the time for the collapse of the gas bubble generated, when a detonator is fired under water.</w:t>
      </w:r>
    </w:p>
    <w:p w:rsidR="00FB38FD" w:rsidRPr="005439B3" w:rsidRDefault="00FB38FD" w:rsidP="00FB38FD">
      <w:pPr>
        <w:pStyle w:val="SingleTxtG"/>
        <w:rPr>
          <w:lang w:val="en-US"/>
        </w:rPr>
      </w:pPr>
      <w:r>
        <w:rPr>
          <w:lang w:val="en-US"/>
        </w:rPr>
        <w:lastRenderedPageBreak/>
        <w:t>4.</w:t>
      </w:r>
      <w:r>
        <w:rPr>
          <w:lang w:val="en-US"/>
        </w:rPr>
        <w:tab/>
      </w:r>
      <w:r w:rsidRPr="005439B3">
        <w:rPr>
          <w:lang w:val="en-US"/>
        </w:rPr>
        <w:t xml:space="preserve">A </w:t>
      </w:r>
      <w:r w:rsidRPr="00FB38FD">
        <w:t>number</w:t>
      </w:r>
      <w:r w:rsidRPr="005439B3">
        <w:rPr>
          <w:lang w:val="en-US"/>
        </w:rPr>
        <w:t xml:space="preserve"> of tests have been performed in accordance with EN 13763 “Explosives for civil uses – Detonators and relays”</w:t>
      </w:r>
      <w:r>
        <w:rPr>
          <w:lang w:val="en-US"/>
        </w:rPr>
        <w:t>, part 15</w:t>
      </w:r>
      <w:r w:rsidRPr="005439B3">
        <w:rPr>
          <w:lang w:val="en-US"/>
        </w:rPr>
        <w:t xml:space="preserve"> “Determination of equivalent </w:t>
      </w:r>
      <w:r>
        <w:rPr>
          <w:lang w:val="en-US"/>
        </w:rPr>
        <w:t>i</w:t>
      </w:r>
      <w:r w:rsidRPr="005439B3">
        <w:rPr>
          <w:lang w:val="en-US"/>
        </w:rPr>
        <w:t>nitiating capability”</w:t>
      </w:r>
      <w:r>
        <w:rPr>
          <w:lang w:val="en-US"/>
        </w:rPr>
        <w:t xml:space="preserve">. The European standard covers this test with many technical details. Relevant experimental parameter are: a water tank with 500 litre volume is used, and that the pressure gauge is placed at a distance of 400 mm from the detonator. Distance of both shall be at least 200 mm to the walls of the tank and 400 mm under the water surface. Test results for each two detonators of the previous and of the new design are reproduced </w:t>
      </w:r>
      <w:r w:rsidRPr="005439B3">
        <w:rPr>
          <w:lang w:val="en-US"/>
        </w:rPr>
        <w:t xml:space="preserve">in </w:t>
      </w:r>
      <w:r w:rsidR="00047B0F">
        <w:rPr>
          <w:lang w:val="en-US"/>
        </w:rPr>
        <w:t>the annex</w:t>
      </w:r>
      <w:r w:rsidRPr="005439B3">
        <w:rPr>
          <w:lang w:val="en-US"/>
        </w:rPr>
        <w:t xml:space="preserve"> to this document.</w:t>
      </w:r>
    </w:p>
    <w:p w:rsidR="00FB38FD" w:rsidRDefault="00FB38FD" w:rsidP="00FB38FD">
      <w:pPr>
        <w:pStyle w:val="HChG"/>
      </w:pPr>
      <w:r>
        <w:tab/>
      </w:r>
      <w:r>
        <w:tab/>
        <w:t xml:space="preserve">Proposal </w:t>
      </w:r>
    </w:p>
    <w:p w:rsidR="00FB38FD" w:rsidRDefault="00FB38FD" w:rsidP="00FB38FD">
      <w:pPr>
        <w:pStyle w:val="SingleTxtG"/>
        <w:rPr>
          <w:lang w:val="en-US"/>
        </w:rPr>
      </w:pPr>
      <w:r>
        <w:rPr>
          <w:lang w:val="en-US"/>
        </w:rPr>
        <w:t>5.</w:t>
      </w:r>
      <w:r>
        <w:rPr>
          <w:lang w:val="en-US"/>
        </w:rPr>
        <w:tab/>
        <w:t xml:space="preserve">It is proposed that, on the basis of experimental evidence given in this and previous papers, the specification of the standard detonator, is amended. The amended design shall be based on the proposal in </w:t>
      </w:r>
      <w:r w:rsidRPr="000F3842">
        <w:rPr>
          <w:lang w:val="en-US"/>
        </w:rPr>
        <w:t>ST/SG</w:t>
      </w:r>
      <w:r>
        <w:rPr>
          <w:lang w:val="en-US"/>
        </w:rPr>
        <w:t xml:space="preserve">/AC.10/C.3/2015/26, taking into account the comments given in the </w:t>
      </w:r>
      <w:r w:rsidR="00047B0F">
        <w:rPr>
          <w:lang w:val="en-US"/>
        </w:rPr>
        <w:t>report of the Working Group on Explosives (Informal document INF.53, 47</w:t>
      </w:r>
      <w:r w:rsidR="00047B0F" w:rsidRPr="00047B0F">
        <w:rPr>
          <w:vertAlign w:val="superscript"/>
          <w:lang w:val="en-US"/>
        </w:rPr>
        <w:t>th</w:t>
      </w:r>
      <w:r w:rsidR="00047B0F">
        <w:rPr>
          <w:lang w:val="en-US"/>
        </w:rPr>
        <w:t xml:space="preserve"> session)</w:t>
      </w:r>
      <w:r>
        <w:rPr>
          <w:lang w:val="en-US"/>
        </w:rPr>
        <w:t>.</w:t>
      </w:r>
    </w:p>
    <w:p w:rsidR="00FB38FD" w:rsidRDefault="00FB38FD">
      <w:pPr>
        <w:suppressAutoHyphens w:val="0"/>
        <w:spacing w:line="240" w:lineRule="auto"/>
      </w:pPr>
      <w:r>
        <w:br w:type="page"/>
      </w:r>
    </w:p>
    <w:p w:rsidR="00FB38FD" w:rsidRDefault="00047B0F" w:rsidP="00FB38FD">
      <w:pPr>
        <w:pStyle w:val="HChG"/>
        <w:rPr>
          <w:lang w:val="en-US"/>
        </w:rPr>
      </w:pPr>
      <w:r>
        <w:rPr>
          <w:lang w:val="en-US"/>
        </w:rPr>
        <w:lastRenderedPageBreak/>
        <w:tab/>
        <w:t>Annex</w:t>
      </w:r>
    </w:p>
    <w:p w:rsidR="00FB38FD" w:rsidRDefault="0068222F" w:rsidP="0068222F">
      <w:pPr>
        <w:pStyle w:val="HChG"/>
        <w:rPr>
          <w:lang w:val="en-US"/>
        </w:rPr>
      </w:pPr>
      <w:r>
        <w:rPr>
          <w:lang w:val="en-US"/>
        </w:rPr>
        <w:tab/>
      </w:r>
      <w:r>
        <w:rPr>
          <w:lang w:val="en-US"/>
        </w:rPr>
        <w:tab/>
      </w:r>
      <w:r w:rsidR="00FB38FD">
        <w:rPr>
          <w:lang w:val="en-US"/>
        </w:rPr>
        <w:t>Under water tests results with the standard detonator</w:t>
      </w:r>
    </w:p>
    <w:p w:rsidR="00FB38FD" w:rsidRDefault="0068222F" w:rsidP="0068222F">
      <w:pPr>
        <w:pStyle w:val="SingleTxtG"/>
        <w:rPr>
          <w:lang w:val="en-US"/>
        </w:rPr>
      </w:pPr>
      <w:r>
        <w:rPr>
          <w:lang w:val="en-US"/>
        </w:rPr>
        <w:t>1.</w:t>
      </w:r>
      <w:r>
        <w:rPr>
          <w:lang w:val="en-US"/>
        </w:rPr>
        <w:tab/>
      </w:r>
      <w:r w:rsidR="00FB38FD">
        <w:rPr>
          <w:lang w:val="en-US"/>
        </w:rPr>
        <w:t xml:space="preserve">The following graphs show pressure traces recorded at BAM (Federal Institute for Materials </w:t>
      </w:r>
      <w:r w:rsidR="00FB38FD" w:rsidRPr="0068222F">
        <w:t>Research</w:t>
      </w:r>
      <w:r w:rsidR="00FB38FD">
        <w:rPr>
          <w:lang w:val="en-US"/>
        </w:rPr>
        <w:t xml:space="preserve"> and Testing, Germany). The tests are referenced by their original numbering as V20 and V21 for the original detonator design (0.6 g PETN main charge, Copper shell, produced by dyniTEC in Germany). For comparison a detonator with 0.6 g PETN main charge and a Copper shell produced by Austin Detonator, Czech Republic, which contains all elements of the new standard detonator design, was also subjected twice to the underwater test numbered V15 and V16. A table summarizes the values taken from the original data.</w:t>
      </w:r>
    </w:p>
    <w:p w:rsidR="006C1F2B" w:rsidRDefault="0068222F" w:rsidP="0068222F">
      <w:pPr>
        <w:pStyle w:val="SingleTxtG"/>
        <w:jc w:val="center"/>
      </w:pPr>
      <w:r>
        <w:rPr>
          <w:noProof/>
          <w:lang w:eastAsia="en-GB"/>
        </w:rPr>
        <w:drawing>
          <wp:inline distT="0" distB="0" distL="0" distR="0" wp14:anchorId="1EEDDBDB" wp14:editId="2618239F">
            <wp:extent cx="4323600" cy="28800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3600" cy="2880000"/>
                    </a:xfrm>
                    <a:prstGeom prst="rect">
                      <a:avLst/>
                    </a:prstGeom>
                  </pic:spPr>
                </pic:pic>
              </a:graphicData>
            </a:graphic>
          </wp:inline>
        </w:drawing>
      </w:r>
    </w:p>
    <w:p w:rsidR="006C1F2B" w:rsidRDefault="0068222F" w:rsidP="0068222F">
      <w:pPr>
        <w:pStyle w:val="SingleTxtG"/>
        <w:jc w:val="center"/>
      </w:pPr>
      <w:r>
        <w:rPr>
          <w:noProof/>
          <w:lang w:eastAsia="en-GB"/>
        </w:rPr>
        <w:drawing>
          <wp:inline distT="0" distB="0" distL="0" distR="0" wp14:anchorId="1E87B1A6" wp14:editId="56B6F828">
            <wp:extent cx="4323600" cy="28800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3600" cy="2880000"/>
                    </a:xfrm>
                    <a:prstGeom prst="rect">
                      <a:avLst/>
                    </a:prstGeom>
                  </pic:spPr>
                </pic:pic>
              </a:graphicData>
            </a:graphic>
          </wp:inline>
        </w:drawing>
      </w:r>
    </w:p>
    <w:p w:rsidR="006C1F2B" w:rsidRDefault="006C1F2B" w:rsidP="006C1F2B">
      <w:pPr>
        <w:pStyle w:val="SingleTxtG"/>
      </w:pPr>
    </w:p>
    <w:p w:rsidR="006C1F2B" w:rsidRDefault="0068222F" w:rsidP="0068222F">
      <w:pPr>
        <w:pStyle w:val="SingleTxtG"/>
        <w:jc w:val="center"/>
      </w:pPr>
      <w:r>
        <w:rPr>
          <w:noProof/>
          <w:lang w:eastAsia="en-GB"/>
        </w:rPr>
        <w:lastRenderedPageBreak/>
        <w:drawing>
          <wp:inline distT="0" distB="0" distL="0" distR="0" wp14:anchorId="62D78FD2" wp14:editId="02B5522B">
            <wp:extent cx="4316400" cy="2880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6400" cy="2880000"/>
                    </a:xfrm>
                    <a:prstGeom prst="rect">
                      <a:avLst/>
                    </a:prstGeom>
                  </pic:spPr>
                </pic:pic>
              </a:graphicData>
            </a:graphic>
          </wp:inline>
        </w:drawing>
      </w:r>
    </w:p>
    <w:p w:rsidR="006C1F2B" w:rsidRDefault="0068222F" w:rsidP="0068222F">
      <w:pPr>
        <w:pStyle w:val="SingleTxtG"/>
        <w:jc w:val="center"/>
      </w:pPr>
      <w:r>
        <w:rPr>
          <w:noProof/>
          <w:lang w:eastAsia="en-GB"/>
        </w:rPr>
        <w:drawing>
          <wp:inline distT="0" distB="0" distL="0" distR="0" wp14:anchorId="31095BDB" wp14:editId="4F15A86A">
            <wp:extent cx="4323600" cy="288000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3600" cy="2880000"/>
                    </a:xfrm>
                    <a:prstGeom prst="rect">
                      <a:avLst/>
                    </a:prstGeom>
                  </pic:spPr>
                </pic:pic>
              </a:graphicData>
            </a:graphic>
          </wp:inline>
        </w:drawing>
      </w:r>
    </w:p>
    <w:tbl>
      <w:tblPr>
        <w:tblStyle w:val="TableGrid"/>
        <w:tblW w:w="7511" w:type="dxa"/>
        <w:tblInd w:w="1131" w:type="dxa"/>
        <w:tblLook w:val="04A0" w:firstRow="1" w:lastRow="0" w:firstColumn="1" w:lastColumn="0" w:noHBand="0" w:noVBand="1"/>
      </w:tblPr>
      <w:tblGrid>
        <w:gridCol w:w="1007"/>
        <w:gridCol w:w="844"/>
        <w:gridCol w:w="1701"/>
        <w:gridCol w:w="1985"/>
        <w:gridCol w:w="1974"/>
      </w:tblGrid>
      <w:tr w:rsidR="0068222F" w:rsidRPr="002972A4" w:rsidTr="00647C64">
        <w:trPr>
          <w:trHeight w:val="268"/>
        </w:trPr>
        <w:tc>
          <w:tcPr>
            <w:tcW w:w="1007" w:type="dxa"/>
          </w:tcPr>
          <w:p w:rsidR="0068222F" w:rsidRPr="002972A4" w:rsidRDefault="0068222F" w:rsidP="00647C64">
            <w:pPr>
              <w:tabs>
                <w:tab w:val="left" w:pos="3125"/>
              </w:tabs>
              <w:rPr>
                <w:b/>
                <w:lang w:val="en-US"/>
              </w:rPr>
            </w:pPr>
            <w:r w:rsidRPr="002972A4">
              <w:rPr>
                <w:b/>
                <w:lang w:val="en-US"/>
              </w:rPr>
              <w:t>Date</w:t>
            </w:r>
          </w:p>
        </w:tc>
        <w:tc>
          <w:tcPr>
            <w:tcW w:w="844" w:type="dxa"/>
          </w:tcPr>
          <w:p w:rsidR="0068222F" w:rsidRPr="002972A4" w:rsidRDefault="0068222F" w:rsidP="00647C64">
            <w:pPr>
              <w:tabs>
                <w:tab w:val="left" w:pos="3125"/>
              </w:tabs>
              <w:rPr>
                <w:b/>
                <w:lang w:val="en-US"/>
              </w:rPr>
            </w:pPr>
            <w:r w:rsidRPr="002972A4">
              <w:rPr>
                <w:b/>
                <w:lang w:val="en-US"/>
              </w:rPr>
              <w:t>Test no.</w:t>
            </w:r>
          </w:p>
        </w:tc>
        <w:tc>
          <w:tcPr>
            <w:tcW w:w="1701" w:type="dxa"/>
          </w:tcPr>
          <w:p w:rsidR="0068222F" w:rsidRPr="002972A4" w:rsidRDefault="0068222F" w:rsidP="00647C64">
            <w:pPr>
              <w:tabs>
                <w:tab w:val="left" w:pos="3125"/>
              </w:tabs>
              <w:jc w:val="center"/>
              <w:rPr>
                <w:b/>
                <w:lang w:val="en-US"/>
              </w:rPr>
            </w:pPr>
            <w:r>
              <w:rPr>
                <w:b/>
                <w:lang w:val="en-US"/>
              </w:rPr>
              <w:t>Detonator design</w:t>
            </w:r>
          </w:p>
        </w:tc>
        <w:tc>
          <w:tcPr>
            <w:tcW w:w="1985" w:type="dxa"/>
          </w:tcPr>
          <w:p w:rsidR="0068222F" w:rsidRPr="002972A4" w:rsidRDefault="0068222F" w:rsidP="00647C64">
            <w:pPr>
              <w:tabs>
                <w:tab w:val="left" w:pos="3125"/>
              </w:tabs>
              <w:rPr>
                <w:b/>
                <w:lang w:val="en-US"/>
              </w:rPr>
            </w:pPr>
            <w:r w:rsidRPr="002972A4">
              <w:rPr>
                <w:b/>
                <w:lang w:val="en-US"/>
              </w:rPr>
              <w:t>Peak pressure [MPa]</w:t>
            </w:r>
          </w:p>
        </w:tc>
        <w:tc>
          <w:tcPr>
            <w:tcW w:w="1974" w:type="dxa"/>
          </w:tcPr>
          <w:p w:rsidR="0068222F" w:rsidRPr="002972A4" w:rsidRDefault="0068222F" w:rsidP="00647C64">
            <w:pPr>
              <w:tabs>
                <w:tab w:val="left" w:pos="3125"/>
              </w:tabs>
              <w:rPr>
                <w:b/>
                <w:lang w:val="en-US"/>
              </w:rPr>
            </w:pPr>
            <w:r w:rsidRPr="002972A4">
              <w:rPr>
                <w:b/>
                <w:lang w:val="en-US"/>
              </w:rPr>
              <w:t>Time till collapse [ms]</w:t>
            </w:r>
          </w:p>
        </w:tc>
      </w:tr>
      <w:tr w:rsidR="0068222F" w:rsidTr="00647C64">
        <w:trPr>
          <w:trHeight w:val="283"/>
        </w:trPr>
        <w:tc>
          <w:tcPr>
            <w:tcW w:w="1007" w:type="dxa"/>
          </w:tcPr>
          <w:p w:rsidR="0068222F" w:rsidRDefault="0068222F" w:rsidP="00647C64">
            <w:pPr>
              <w:tabs>
                <w:tab w:val="left" w:pos="3125"/>
              </w:tabs>
              <w:jc w:val="center"/>
              <w:rPr>
                <w:lang w:val="en-US"/>
              </w:rPr>
            </w:pPr>
            <w:r>
              <w:rPr>
                <w:lang w:val="en-US"/>
              </w:rPr>
              <w:t>2015-09-02</w:t>
            </w:r>
          </w:p>
        </w:tc>
        <w:tc>
          <w:tcPr>
            <w:tcW w:w="844" w:type="dxa"/>
          </w:tcPr>
          <w:p w:rsidR="0068222F" w:rsidRDefault="0068222F" w:rsidP="00647C64">
            <w:pPr>
              <w:tabs>
                <w:tab w:val="left" w:pos="3125"/>
              </w:tabs>
              <w:jc w:val="center"/>
              <w:rPr>
                <w:lang w:val="en-US"/>
              </w:rPr>
            </w:pPr>
            <w:r>
              <w:rPr>
                <w:lang w:val="en-US"/>
              </w:rPr>
              <w:t>V20</w:t>
            </w:r>
          </w:p>
        </w:tc>
        <w:tc>
          <w:tcPr>
            <w:tcW w:w="1701" w:type="dxa"/>
          </w:tcPr>
          <w:p w:rsidR="0068222F" w:rsidRDefault="0068222F" w:rsidP="00647C64">
            <w:pPr>
              <w:tabs>
                <w:tab w:val="left" w:pos="3125"/>
              </w:tabs>
              <w:jc w:val="center"/>
              <w:rPr>
                <w:lang w:val="en-US"/>
              </w:rPr>
            </w:pPr>
            <w:r>
              <w:rPr>
                <w:lang w:val="en-US"/>
              </w:rPr>
              <w:t>Old</w:t>
            </w:r>
          </w:p>
        </w:tc>
        <w:tc>
          <w:tcPr>
            <w:tcW w:w="1985" w:type="dxa"/>
          </w:tcPr>
          <w:p w:rsidR="0068222F" w:rsidRDefault="0068222F" w:rsidP="00647C64">
            <w:pPr>
              <w:tabs>
                <w:tab w:val="left" w:pos="3125"/>
              </w:tabs>
              <w:jc w:val="center"/>
              <w:rPr>
                <w:lang w:val="en-US"/>
              </w:rPr>
            </w:pPr>
            <w:r>
              <w:rPr>
                <w:lang w:val="en-US"/>
              </w:rPr>
              <w:t>8.41</w:t>
            </w:r>
          </w:p>
        </w:tc>
        <w:tc>
          <w:tcPr>
            <w:tcW w:w="1974" w:type="dxa"/>
          </w:tcPr>
          <w:p w:rsidR="0068222F" w:rsidRDefault="0068222F" w:rsidP="00647C64">
            <w:pPr>
              <w:tabs>
                <w:tab w:val="left" w:pos="3125"/>
              </w:tabs>
              <w:jc w:val="center"/>
              <w:rPr>
                <w:lang w:val="en-US"/>
              </w:rPr>
            </w:pPr>
            <w:r>
              <w:rPr>
                <w:lang w:val="en-US"/>
              </w:rPr>
              <w:t>24.04</w:t>
            </w:r>
          </w:p>
        </w:tc>
      </w:tr>
      <w:tr w:rsidR="0068222F" w:rsidTr="00647C64">
        <w:trPr>
          <w:trHeight w:val="268"/>
        </w:trPr>
        <w:tc>
          <w:tcPr>
            <w:tcW w:w="1007" w:type="dxa"/>
          </w:tcPr>
          <w:p w:rsidR="0068222F" w:rsidRDefault="0068222F" w:rsidP="00647C64">
            <w:pPr>
              <w:tabs>
                <w:tab w:val="left" w:pos="3125"/>
              </w:tabs>
              <w:jc w:val="center"/>
              <w:rPr>
                <w:lang w:val="en-US"/>
              </w:rPr>
            </w:pPr>
            <w:r>
              <w:rPr>
                <w:lang w:val="en-US"/>
              </w:rPr>
              <w:t>2015-09-02</w:t>
            </w:r>
          </w:p>
        </w:tc>
        <w:tc>
          <w:tcPr>
            <w:tcW w:w="844" w:type="dxa"/>
          </w:tcPr>
          <w:p w:rsidR="0068222F" w:rsidRDefault="0068222F" w:rsidP="00647C64">
            <w:pPr>
              <w:tabs>
                <w:tab w:val="left" w:pos="3125"/>
              </w:tabs>
              <w:jc w:val="center"/>
              <w:rPr>
                <w:lang w:val="en-US"/>
              </w:rPr>
            </w:pPr>
            <w:r>
              <w:rPr>
                <w:lang w:val="en-US"/>
              </w:rPr>
              <w:t>V21</w:t>
            </w:r>
          </w:p>
        </w:tc>
        <w:tc>
          <w:tcPr>
            <w:tcW w:w="1701" w:type="dxa"/>
          </w:tcPr>
          <w:p w:rsidR="0068222F" w:rsidRDefault="0068222F" w:rsidP="00647C64">
            <w:pPr>
              <w:tabs>
                <w:tab w:val="left" w:pos="3125"/>
              </w:tabs>
              <w:jc w:val="center"/>
              <w:rPr>
                <w:lang w:val="en-US"/>
              </w:rPr>
            </w:pPr>
            <w:r>
              <w:rPr>
                <w:lang w:val="en-US"/>
              </w:rPr>
              <w:t>Old</w:t>
            </w:r>
          </w:p>
        </w:tc>
        <w:tc>
          <w:tcPr>
            <w:tcW w:w="1985" w:type="dxa"/>
          </w:tcPr>
          <w:p w:rsidR="0068222F" w:rsidRDefault="0068222F" w:rsidP="00647C64">
            <w:pPr>
              <w:tabs>
                <w:tab w:val="left" w:pos="3125"/>
              </w:tabs>
              <w:jc w:val="center"/>
              <w:rPr>
                <w:lang w:val="en-US"/>
              </w:rPr>
            </w:pPr>
            <w:r>
              <w:rPr>
                <w:lang w:val="en-US"/>
              </w:rPr>
              <w:t>8.26</w:t>
            </w:r>
          </w:p>
        </w:tc>
        <w:tc>
          <w:tcPr>
            <w:tcW w:w="1974" w:type="dxa"/>
          </w:tcPr>
          <w:p w:rsidR="0068222F" w:rsidRDefault="0068222F" w:rsidP="00647C64">
            <w:pPr>
              <w:tabs>
                <w:tab w:val="left" w:pos="3125"/>
              </w:tabs>
              <w:jc w:val="center"/>
              <w:rPr>
                <w:lang w:val="en-US"/>
              </w:rPr>
            </w:pPr>
            <w:r>
              <w:rPr>
                <w:lang w:val="en-US"/>
              </w:rPr>
              <w:t>24.02</w:t>
            </w:r>
          </w:p>
        </w:tc>
      </w:tr>
      <w:tr w:rsidR="0068222F" w:rsidTr="00647C64">
        <w:trPr>
          <w:trHeight w:val="268"/>
        </w:trPr>
        <w:tc>
          <w:tcPr>
            <w:tcW w:w="1007" w:type="dxa"/>
          </w:tcPr>
          <w:p w:rsidR="0068222F" w:rsidRDefault="0068222F" w:rsidP="00647C64">
            <w:pPr>
              <w:tabs>
                <w:tab w:val="left" w:pos="3125"/>
              </w:tabs>
              <w:jc w:val="center"/>
              <w:rPr>
                <w:lang w:val="en-US"/>
              </w:rPr>
            </w:pPr>
            <w:r>
              <w:rPr>
                <w:lang w:val="en-US"/>
              </w:rPr>
              <w:t>2015-09-02</w:t>
            </w:r>
          </w:p>
        </w:tc>
        <w:tc>
          <w:tcPr>
            <w:tcW w:w="844" w:type="dxa"/>
          </w:tcPr>
          <w:p w:rsidR="0068222F" w:rsidRDefault="0068222F" w:rsidP="00647C64">
            <w:pPr>
              <w:tabs>
                <w:tab w:val="left" w:pos="3125"/>
              </w:tabs>
              <w:jc w:val="center"/>
              <w:rPr>
                <w:lang w:val="en-US"/>
              </w:rPr>
            </w:pPr>
            <w:r>
              <w:rPr>
                <w:lang w:val="en-US"/>
              </w:rPr>
              <w:t>V15</w:t>
            </w:r>
          </w:p>
        </w:tc>
        <w:tc>
          <w:tcPr>
            <w:tcW w:w="1701" w:type="dxa"/>
          </w:tcPr>
          <w:p w:rsidR="0068222F" w:rsidRDefault="0068222F" w:rsidP="00647C64">
            <w:pPr>
              <w:tabs>
                <w:tab w:val="left" w:pos="3125"/>
              </w:tabs>
              <w:jc w:val="center"/>
              <w:rPr>
                <w:lang w:val="en-US"/>
              </w:rPr>
            </w:pPr>
            <w:r>
              <w:rPr>
                <w:lang w:val="en-US"/>
              </w:rPr>
              <w:t>New</w:t>
            </w:r>
          </w:p>
        </w:tc>
        <w:tc>
          <w:tcPr>
            <w:tcW w:w="1985" w:type="dxa"/>
          </w:tcPr>
          <w:p w:rsidR="0068222F" w:rsidRDefault="0068222F" w:rsidP="00647C64">
            <w:pPr>
              <w:tabs>
                <w:tab w:val="left" w:pos="3125"/>
              </w:tabs>
              <w:jc w:val="center"/>
              <w:rPr>
                <w:lang w:val="en-US"/>
              </w:rPr>
            </w:pPr>
            <w:r>
              <w:rPr>
                <w:lang w:val="en-US"/>
              </w:rPr>
              <w:t>8.23</w:t>
            </w:r>
          </w:p>
        </w:tc>
        <w:tc>
          <w:tcPr>
            <w:tcW w:w="1974" w:type="dxa"/>
          </w:tcPr>
          <w:p w:rsidR="0068222F" w:rsidRDefault="0068222F" w:rsidP="00647C64">
            <w:pPr>
              <w:tabs>
                <w:tab w:val="left" w:pos="3125"/>
              </w:tabs>
              <w:jc w:val="center"/>
              <w:rPr>
                <w:lang w:val="en-US"/>
              </w:rPr>
            </w:pPr>
            <w:r>
              <w:rPr>
                <w:lang w:val="en-US"/>
              </w:rPr>
              <w:t>23.83</w:t>
            </w:r>
          </w:p>
        </w:tc>
      </w:tr>
      <w:tr w:rsidR="0068222F" w:rsidTr="00647C64">
        <w:trPr>
          <w:trHeight w:val="299"/>
        </w:trPr>
        <w:tc>
          <w:tcPr>
            <w:tcW w:w="1007" w:type="dxa"/>
          </w:tcPr>
          <w:p w:rsidR="0068222F" w:rsidRDefault="0068222F" w:rsidP="00647C64">
            <w:pPr>
              <w:tabs>
                <w:tab w:val="left" w:pos="3125"/>
              </w:tabs>
              <w:jc w:val="center"/>
              <w:rPr>
                <w:lang w:val="en-US"/>
              </w:rPr>
            </w:pPr>
            <w:r>
              <w:rPr>
                <w:lang w:val="en-US"/>
              </w:rPr>
              <w:t>2015-09-02</w:t>
            </w:r>
          </w:p>
        </w:tc>
        <w:tc>
          <w:tcPr>
            <w:tcW w:w="844" w:type="dxa"/>
          </w:tcPr>
          <w:p w:rsidR="0068222F" w:rsidRDefault="0068222F" w:rsidP="00647C64">
            <w:pPr>
              <w:tabs>
                <w:tab w:val="left" w:pos="3125"/>
              </w:tabs>
              <w:jc w:val="center"/>
              <w:rPr>
                <w:lang w:val="en-US"/>
              </w:rPr>
            </w:pPr>
            <w:r>
              <w:rPr>
                <w:lang w:val="en-US"/>
              </w:rPr>
              <w:t>V16</w:t>
            </w:r>
          </w:p>
        </w:tc>
        <w:tc>
          <w:tcPr>
            <w:tcW w:w="1701" w:type="dxa"/>
          </w:tcPr>
          <w:p w:rsidR="0068222F" w:rsidRDefault="0068222F" w:rsidP="00647C64">
            <w:pPr>
              <w:tabs>
                <w:tab w:val="left" w:pos="3125"/>
              </w:tabs>
              <w:jc w:val="center"/>
              <w:rPr>
                <w:lang w:val="en-US"/>
              </w:rPr>
            </w:pPr>
            <w:r>
              <w:rPr>
                <w:lang w:val="en-US"/>
              </w:rPr>
              <w:t>New</w:t>
            </w:r>
          </w:p>
        </w:tc>
        <w:tc>
          <w:tcPr>
            <w:tcW w:w="1985" w:type="dxa"/>
          </w:tcPr>
          <w:p w:rsidR="0068222F" w:rsidRDefault="0068222F" w:rsidP="00647C64">
            <w:pPr>
              <w:tabs>
                <w:tab w:val="left" w:pos="3125"/>
              </w:tabs>
              <w:jc w:val="center"/>
              <w:rPr>
                <w:lang w:val="en-US"/>
              </w:rPr>
            </w:pPr>
            <w:r>
              <w:rPr>
                <w:lang w:val="en-US"/>
              </w:rPr>
              <w:t>8.30</w:t>
            </w:r>
          </w:p>
        </w:tc>
        <w:tc>
          <w:tcPr>
            <w:tcW w:w="1974" w:type="dxa"/>
          </w:tcPr>
          <w:p w:rsidR="0068222F" w:rsidRDefault="0068222F" w:rsidP="00647C64">
            <w:pPr>
              <w:tabs>
                <w:tab w:val="left" w:pos="3125"/>
              </w:tabs>
              <w:jc w:val="center"/>
              <w:rPr>
                <w:lang w:val="en-US"/>
              </w:rPr>
            </w:pPr>
            <w:r>
              <w:rPr>
                <w:lang w:val="en-US"/>
              </w:rPr>
              <w:t>23.88</w:t>
            </w:r>
          </w:p>
        </w:tc>
      </w:tr>
    </w:tbl>
    <w:p w:rsidR="0068222F" w:rsidRPr="0068222F" w:rsidRDefault="0068222F" w:rsidP="0068222F">
      <w:pPr>
        <w:pStyle w:val="SingleTxtG"/>
        <w:spacing w:before="240" w:after="0"/>
        <w:jc w:val="center"/>
        <w:rPr>
          <w:u w:val="single"/>
        </w:rPr>
      </w:pPr>
      <w:r>
        <w:rPr>
          <w:u w:val="single"/>
        </w:rPr>
        <w:tab/>
      </w:r>
      <w:r>
        <w:rPr>
          <w:u w:val="single"/>
        </w:rPr>
        <w:tab/>
      </w:r>
      <w:r>
        <w:rPr>
          <w:u w:val="single"/>
        </w:rPr>
        <w:tab/>
      </w:r>
    </w:p>
    <w:sectPr w:rsidR="0068222F" w:rsidRPr="0068222F" w:rsidSect="006D12B1">
      <w:headerReference w:type="even" r:id="rId14"/>
      <w:headerReference w:type="default" r:id="rId15"/>
      <w:footerReference w:type="even" r:id="rId16"/>
      <w:footerReference w:type="default" r:id="rId17"/>
      <w:headerReference w:type="first" r:id="rId18"/>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F0" w:rsidRDefault="00AF56F0"/>
  </w:endnote>
  <w:endnote w:type="continuationSeparator" w:id="0">
    <w:p w:rsidR="00AF56F0" w:rsidRDefault="00AF56F0"/>
  </w:endnote>
  <w:endnote w:type="continuationNotice" w:id="1">
    <w:p w:rsidR="00AF56F0" w:rsidRDefault="00AF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A01E99">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A01E99">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F0" w:rsidRPr="000B175B" w:rsidRDefault="00AF56F0" w:rsidP="000B175B">
      <w:pPr>
        <w:tabs>
          <w:tab w:val="right" w:pos="2155"/>
        </w:tabs>
        <w:spacing w:after="80"/>
        <w:ind w:left="680"/>
        <w:rPr>
          <w:u w:val="single"/>
        </w:rPr>
      </w:pPr>
      <w:r>
        <w:rPr>
          <w:u w:val="single"/>
        </w:rPr>
        <w:tab/>
      </w:r>
    </w:p>
  </w:footnote>
  <w:footnote w:type="continuationSeparator" w:id="0">
    <w:p w:rsidR="00AF56F0" w:rsidRPr="00FC68B7" w:rsidRDefault="00AF56F0" w:rsidP="00FC68B7">
      <w:pPr>
        <w:tabs>
          <w:tab w:val="left" w:pos="2155"/>
        </w:tabs>
        <w:spacing w:after="80"/>
        <w:ind w:left="680"/>
        <w:rPr>
          <w:u w:val="single"/>
        </w:rPr>
      </w:pPr>
      <w:r>
        <w:rPr>
          <w:u w:val="single"/>
        </w:rPr>
        <w:tab/>
      </w:r>
    </w:p>
  </w:footnote>
  <w:footnote w:type="continuationNotice" w:id="1">
    <w:p w:rsidR="00AF56F0" w:rsidRDefault="00AF56F0"/>
  </w:footnote>
  <w:footnote w:id="2">
    <w:p w:rsidR="006C1F2B" w:rsidRPr="006C1F2B" w:rsidRDefault="006C1F2B" w:rsidP="006C1F2B">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FB38FD">
      <w:t>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68222F">
      <w:t>.3/2016/10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FC7700E"/>
    <w:multiLevelType w:val="hybridMultilevel"/>
    <w:tmpl w:val="9D66F656"/>
    <w:lvl w:ilvl="0" w:tplc="FF2A7BC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9"/>
  </w:num>
  <w:num w:numId="15">
    <w:abstractNumId w:val="20"/>
  </w:num>
  <w:num w:numId="16">
    <w:abstractNumId w:val="15"/>
  </w:num>
  <w:num w:numId="17">
    <w:abstractNumId w:val="16"/>
  </w:num>
  <w:num w:numId="18">
    <w:abstractNumId w:val="17"/>
  </w:num>
  <w:num w:numId="19">
    <w:abstractNumId w:val="13"/>
  </w:num>
  <w:num w:numId="20">
    <w:abstractNumId w:val="21"/>
  </w:num>
  <w:num w:numId="21">
    <w:abstractNumId w:val="11"/>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7B0F"/>
    <w:rsid w:val="00047F82"/>
    <w:rsid w:val="000504CE"/>
    <w:rsid w:val="00050F6B"/>
    <w:rsid w:val="00072C8C"/>
    <w:rsid w:val="00083B73"/>
    <w:rsid w:val="00091419"/>
    <w:rsid w:val="000931C0"/>
    <w:rsid w:val="000B175B"/>
    <w:rsid w:val="000B3A0F"/>
    <w:rsid w:val="000C2086"/>
    <w:rsid w:val="000D58F6"/>
    <w:rsid w:val="000D734E"/>
    <w:rsid w:val="000E0415"/>
    <w:rsid w:val="000F6C26"/>
    <w:rsid w:val="000F7AB3"/>
    <w:rsid w:val="00117787"/>
    <w:rsid w:val="00131D42"/>
    <w:rsid w:val="001633FB"/>
    <w:rsid w:val="00167786"/>
    <w:rsid w:val="001810F7"/>
    <w:rsid w:val="00184E75"/>
    <w:rsid w:val="001924C5"/>
    <w:rsid w:val="001A537C"/>
    <w:rsid w:val="001B4B04"/>
    <w:rsid w:val="001C6663"/>
    <w:rsid w:val="001C7526"/>
    <w:rsid w:val="001C7895"/>
    <w:rsid w:val="001D26DF"/>
    <w:rsid w:val="001D2FDC"/>
    <w:rsid w:val="001D79DB"/>
    <w:rsid w:val="001E0B44"/>
    <w:rsid w:val="001F3FA0"/>
    <w:rsid w:val="00210B9C"/>
    <w:rsid w:val="00211E0B"/>
    <w:rsid w:val="00213AFD"/>
    <w:rsid w:val="002309A7"/>
    <w:rsid w:val="0023193F"/>
    <w:rsid w:val="00232EC4"/>
    <w:rsid w:val="0023334A"/>
    <w:rsid w:val="00237785"/>
    <w:rsid w:val="00241466"/>
    <w:rsid w:val="00254AD0"/>
    <w:rsid w:val="002656C7"/>
    <w:rsid w:val="002725CA"/>
    <w:rsid w:val="00274950"/>
    <w:rsid w:val="00277A29"/>
    <w:rsid w:val="00280EB7"/>
    <w:rsid w:val="00281C3B"/>
    <w:rsid w:val="002B1CDA"/>
    <w:rsid w:val="002C1AE8"/>
    <w:rsid w:val="0030379C"/>
    <w:rsid w:val="003107FA"/>
    <w:rsid w:val="0032058E"/>
    <w:rsid w:val="003229D8"/>
    <w:rsid w:val="00323424"/>
    <w:rsid w:val="00337633"/>
    <w:rsid w:val="0034759C"/>
    <w:rsid w:val="0036127B"/>
    <w:rsid w:val="00375E8A"/>
    <w:rsid w:val="0039277A"/>
    <w:rsid w:val="00392D73"/>
    <w:rsid w:val="003972E0"/>
    <w:rsid w:val="003A0447"/>
    <w:rsid w:val="003A0C75"/>
    <w:rsid w:val="003A5CDB"/>
    <w:rsid w:val="003C2CC4"/>
    <w:rsid w:val="003D4B23"/>
    <w:rsid w:val="003E5A57"/>
    <w:rsid w:val="004043C0"/>
    <w:rsid w:val="0042233A"/>
    <w:rsid w:val="004262E2"/>
    <w:rsid w:val="004325CB"/>
    <w:rsid w:val="00432930"/>
    <w:rsid w:val="00437F3F"/>
    <w:rsid w:val="00442DF8"/>
    <w:rsid w:val="00446DE4"/>
    <w:rsid w:val="00451925"/>
    <w:rsid w:val="00454036"/>
    <w:rsid w:val="00465AFB"/>
    <w:rsid w:val="00470BF5"/>
    <w:rsid w:val="00477D30"/>
    <w:rsid w:val="00483009"/>
    <w:rsid w:val="004914ED"/>
    <w:rsid w:val="004B2C9D"/>
    <w:rsid w:val="004C6FBA"/>
    <w:rsid w:val="004E05DD"/>
    <w:rsid w:val="004F0881"/>
    <w:rsid w:val="00525BC2"/>
    <w:rsid w:val="00527910"/>
    <w:rsid w:val="005420F2"/>
    <w:rsid w:val="005458AF"/>
    <w:rsid w:val="00545EA5"/>
    <w:rsid w:val="00547C8F"/>
    <w:rsid w:val="005500DD"/>
    <w:rsid w:val="005501BE"/>
    <w:rsid w:val="00562335"/>
    <w:rsid w:val="00563498"/>
    <w:rsid w:val="00590144"/>
    <w:rsid w:val="0059588D"/>
    <w:rsid w:val="005A4196"/>
    <w:rsid w:val="005B03C6"/>
    <w:rsid w:val="005B3DB3"/>
    <w:rsid w:val="005B77F6"/>
    <w:rsid w:val="005C57E1"/>
    <w:rsid w:val="005C6796"/>
    <w:rsid w:val="005C7602"/>
    <w:rsid w:val="005D2018"/>
    <w:rsid w:val="005D4B5E"/>
    <w:rsid w:val="005D55CE"/>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6449"/>
    <w:rsid w:val="00677B83"/>
    <w:rsid w:val="0068222F"/>
    <w:rsid w:val="006A1372"/>
    <w:rsid w:val="006A7392"/>
    <w:rsid w:val="006C0D34"/>
    <w:rsid w:val="006C1F2B"/>
    <w:rsid w:val="006D12B1"/>
    <w:rsid w:val="006D173D"/>
    <w:rsid w:val="006E564B"/>
    <w:rsid w:val="00704CDB"/>
    <w:rsid w:val="00705B77"/>
    <w:rsid w:val="00711C13"/>
    <w:rsid w:val="0072632A"/>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E7451"/>
    <w:rsid w:val="007F6611"/>
    <w:rsid w:val="007F6894"/>
    <w:rsid w:val="008175E9"/>
    <w:rsid w:val="00823B1A"/>
    <w:rsid w:val="008242D7"/>
    <w:rsid w:val="00824C37"/>
    <w:rsid w:val="00854B0D"/>
    <w:rsid w:val="00860540"/>
    <w:rsid w:val="00871FD5"/>
    <w:rsid w:val="00875EAC"/>
    <w:rsid w:val="00884FD0"/>
    <w:rsid w:val="00895E97"/>
    <w:rsid w:val="008979B1"/>
    <w:rsid w:val="008A6B25"/>
    <w:rsid w:val="008A6C4F"/>
    <w:rsid w:val="008A6FD5"/>
    <w:rsid w:val="008C1297"/>
    <w:rsid w:val="008D53CE"/>
    <w:rsid w:val="008E0E46"/>
    <w:rsid w:val="008F79EE"/>
    <w:rsid w:val="00904FD7"/>
    <w:rsid w:val="00945A5D"/>
    <w:rsid w:val="00946A04"/>
    <w:rsid w:val="00957117"/>
    <w:rsid w:val="00963CBA"/>
    <w:rsid w:val="0097518C"/>
    <w:rsid w:val="009854F2"/>
    <w:rsid w:val="0099124E"/>
    <w:rsid w:val="00991261"/>
    <w:rsid w:val="009C48E5"/>
    <w:rsid w:val="009D1AAE"/>
    <w:rsid w:val="009F0F06"/>
    <w:rsid w:val="00A01E99"/>
    <w:rsid w:val="00A1427D"/>
    <w:rsid w:val="00A72F22"/>
    <w:rsid w:val="00A73040"/>
    <w:rsid w:val="00A748A6"/>
    <w:rsid w:val="00A75B6F"/>
    <w:rsid w:val="00A75EC9"/>
    <w:rsid w:val="00A8523D"/>
    <w:rsid w:val="00A879A4"/>
    <w:rsid w:val="00A93914"/>
    <w:rsid w:val="00A93EFD"/>
    <w:rsid w:val="00AC1D2F"/>
    <w:rsid w:val="00AD22A1"/>
    <w:rsid w:val="00AE06E2"/>
    <w:rsid w:val="00AE5C5F"/>
    <w:rsid w:val="00AF523B"/>
    <w:rsid w:val="00AF56F0"/>
    <w:rsid w:val="00B06A8F"/>
    <w:rsid w:val="00B20FD5"/>
    <w:rsid w:val="00B250D7"/>
    <w:rsid w:val="00B30179"/>
    <w:rsid w:val="00B3094C"/>
    <w:rsid w:val="00B30FA9"/>
    <w:rsid w:val="00B3317B"/>
    <w:rsid w:val="00B44060"/>
    <w:rsid w:val="00B51A46"/>
    <w:rsid w:val="00B707EC"/>
    <w:rsid w:val="00B81E12"/>
    <w:rsid w:val="00B93068"/>
    <w:rsid w:val="00BB0133"/>
    <w:rsid w:val="00BB027F"/>
    <w:rsid w:val="00BC74E9"/>
    <w:rsid w:val="00BE618E"/>
    <w:rsid w:val="00BF169C"/>
    <w:rsid w:val="00BF7DE7"/>
    <w:rsid w:val="00C031EF"/>
    <w:rsid w:val="00C07513"/>
    <w:rsid w:val="00C07A73"/>
    <w:rsid w:val="00C44E98"/>
    <w:rsid w:val="00C463DD"/>
    <w:rsid w:val="00C570AA"/>
    <w:rsid w:val="00C62F76"/>
    <w:rsid w:val="00C70190"/>
    <w:rsid w:val="00C745C3"/>
    <w:rsid w:val="00C94877"/>
    <w:rsid w:val="00CA2FB6"/>
    <w:rsid w:val="00CB2FC3"/>
    <w:rsid w:val="00CB4E01"/>
    <w:rsid w:val="00CC5473"/>
    <w:rsid w:val="00CD3225"/>
    <w:rsid w:val="00CD5FED"/>
    <w:rsid w:val="00CE46BA"/>
    <w:rsid w:val="00CE4A8F"/>
    <w:rsid w:val="00CE5C55"/>
    <w:rsid w:val="00CF5E82"/>
    <w:rsid w:val="00CF74F9"/>
    <w:rsid w:val="00CF7E49"/>
    <w:rsid w:val="00D12328"/>
    <w:rsid w:val="00D1524C"/>
    <w:rsid w:val="00D2031B"/>
    <w:rsid w:val="00D25FE2"/>
    <w:rsid w:val="00D265D3"/>
    <w:rsid w:val="00D43252"/>
    <w:rsid w:val="00D46231"/>
    <w:rsid w:val="00D6027D"/>
    <w:rsid w:val="00D625F6"/>
    <w:rsid w:val="00D63ED2"/>
    <w:rsid w:val="00D71E33"/>
    <w:rsid w:val="00D729F2"/>
    <w:rsid w:val="00D753D8"/>
    <w:rsid w:val="00D769F6"/>
    <w:rsid w:val="00D770FE"/>
    <w:rsid w:val="00D948D6"/>
    <w:rsid w:val="00D96CC5"/>
    <w:rsid w:val="00D978C6"/>
    <w:rsid w:val="00DA67AD"/>
    <w:rsid w:val="00DA6D5E"/>
    <w:rsid w:val="00DB63BF"/>
    <w:rsid w:val="00DD3691"/>
    <w:rsid w:val="00DD62B9"/>
    <w:rsid w:val="00DF6FE9"/>
    <w:rsid w:val="00E130AB"/>
    <w:rsid w:val="00E1345B"/>
    <w:rsid w:val="00E167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B38FD"/>
    <w:rsid w:val="00FB521E"/>
    <w:rsid w:val="00FB7353"/>
    <w:rsid w:val="00FC48A3"/>
    <w:rsid w:val="00FC68B7"/>
    <w:rsid w:val="00FD6B2B"/>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E054-17E5-416A-9339-932EB5FB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19</TotalTime>
  <Pages>4</Pages>
  <Words>583</Words>
  <Characters>3084</Characters>
  <Application>Microsoft Office Word</Application>
  <DocSecurity>0</DocSecurity>
  <Lines>93</Lines>
  <Paragraphs>56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2016-03-24T16:28:00Z</cp:lastPrinted>
  <dcterms:created xsi:type="dcterms:W3CDTF">2016-03-24T16:10:00Z</dcterms:created>
  <dcterms:modified xsi:type="dcterms:W3CDTF">2016-03-29T09:26:00Z</dcterms:modified>
</cp:coreProperties>
</file>