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9B614C" w:rsidTr="0034591A">
        <w:trPr>
          <w:trHeight w:hRule="exact" w:val="851"/>
        </w:trPr>
        <w:tc>
          <w:tcPr>
            <w:tcW w:w="1276" w:type="dxa"/>
            <w:tcBorders>
              <w:bottom w:val="single" w:sz="4" w:space="0" w:color="auto"/>
            </w:tcBorders>
          </w:tcPr>
          <w:p w:rsidR="00482AF2" w:rsidRPr="009B614C" w:rsidRDefault="00482AF2" w:rsidP="00866D64">
            <w:pPr>
              <w:rPr>
                <w:lang w:val="fr-FR"/>
              </w:rPr>
            </w:pPr>
          </w:p>
        </w:tc>
        <w:tc>
          <w:tcPr>
            <w:tcW w:w="2268" w:type="dxa"/>
            <w:tcBorders>
              <w:bottom w:val="single" w:sz="4" w:space="0" w:color="auto"/>
            </w:tcBorders>
            <w:vAlign w:val="bottom"/>
          </w:tcPr>
          <w:p w:rsidR="00482AF2" w:rsidRPr="009B614C" w:rsidRDefault="00482AF2" w:rsidP="00866D64">
            <w:pPr>
              <w:spacing w:after="80" w:line="300" w:lineRule="exact"/>
              <w:rPr>
                <w:sz w:val="28"/>
                <w:lang w:val="fr-FR"/>
              </w:rPr>
            </w:pPr>
            <w:r w:rsidRPr="009B614C">
              <w:rPr>
                <w:sz w:val="28"/>
                <w:lang w:val="fr-FR"/>
              </w:rPr>
              <w:t>Nations Unies</w:t>
            </w:r>
          </w:p>
        </w:tc>
        <w:tc>
          <w:tcPr>
            <w:tcW w:w="6095" w:type="dxa"/>
            <w:gridSpan w:val="2"/>
            <w:tcBorders>
              <w:bottom w:val="single" w:sz="4" w:space="0" w:color="auto"/>
            </w:tcBorders>
            <w:vAlign w:val="bottom"/>
          </w:tcPr>
          <w:p w:rsidR="00482AF2" w:rsidRPr="009B614C" w:rsidRDefault="00F16129" w:rsidP="00F16129">
            <w:pPr>
              <w:jc w:val="right"/>
              <w:rPr>
                <w:lang w:val="fr-FR"/>
              </w:rPr>
            </w:pPr>
            <w:r w:rsidRPr="00F16129">
              <w:rPr>
                <w:sz w:val="40"/>
                <w:lang w:val="fr-FR"/>
              </w:rPr>
              <w:t>ST</w:t>
            </w:r>
            <w:r>
              <w:rPr>
                <w:lang w:val="fr-FR"/>
              </w:rPr>
              <w:t>/SG/AC.10/43</w:t>
            </w:r>
          </w:p>
        </w:tc>
      </w:tr>
      <w:tr w:rsidR="00482AF2" w:rsidRPr="009B614C" w:rsidTr="00866D64">
        <w:trPr>
          <w:trHeight w:hRule="exact" w:val="2835"/>
        </w:trPr>
        <w:tc>
          <w:tcPr>
            <w:tcW w:w="1276" w:type="dxa"/>
            <w:tcBorders>
              <w:top w:val="single" w:sz="4" w:space="0" w:color="auto"/>
              <w:bottom w:val="single" w:sz="12" w:space="0" w:color="auto"/>
            </w:tcBorders>
          </w:tcPr>
          <w:p w:rsidR="00482AF2" w:rsidRPr="009B614C" w:rsidRDefault="009B614C" w:rsidP="00866D64">
            <w:pPr>
              <w:spacing w:before="120"/>
              <w:jc w:val="center"/>
              <w:rPr>
                <w:lang w:val="fr-FR"/>
              </w:rPr>
            </w:pPr>
            <w:r>
              <w:rPr>
                <w:noProof/>
                <w:lang w:val="en-GB" w:eastAsia="en-GB"/>
              </w:rPr>
              <w:drawing>
                <wp:inline distT="0" distB="0" distL="0" distR="0" wp14:anchorId="005E7555" wp14:editId="42C7DFAC">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9B614C" w:rsidRDefault="00482AF2" w:rsidP="00866D64">
            <w:pPr>
              <w:spacing w:before="120" w:line="420" w:lineRule="exact"/>
              <w:rPr>
                <w:b/>
                <w:sz w:val="40"/>
                <w:szCs w:val="40"/>
                <w:lang w:val="fr-FR"/>
              </w:rPr>
            </w:pPr>
            <w:r w:rsidRPr="009B614C">
              <w:rPr>
                <w:b/>
                <w:sz w:val="40"/>
                <w:szCs w:val="40"/>
                <w:lang w:val="fr-FR"/>
              </w:rPr>
              <w:t>Secrétariat</w:t>
            </w:r>
          </w:p>
        </w:tc>
        <w:tc>
          <w:tcPr>
            <w:tcW w:w="2835" w:type="dxa"/>
            <w:tcBorders>
              <w:top w:val="single" w:sz="4" w:space="0" w:color="auto"/>
              <w:bottom w:val="single" w:sz="12" w:space="0" w:color="auto"/>
            </w:tcBorders>
          </w:tcPr>
          <w:p w:rsidR="00482AF2" w:rsidRDefault="00F16129" w:rsidP="00F16129">
            <w:pPr>
              <w:spacing w:before="240" w:line="240" w:lineRule="exact"/>
              <w:rPr>
                <w:lang w:val="fr-FR"/>
              </w:rPr>
            </w:pPr>
            <w:proofErr w:type="spellStart"/>
            <w:r>
              <w:rPr>
                <w:lang w:val="fr-FR"/>
              </w:rPr>
              <w:t>Distr</w:t>
            </w:r>
            <w:proofErr w:type="spellEnd"/>
            <w:r>
              <w:rPr>
                <w:lang w:val="fr-FR"/>
              </w:rPr>
              <w:t>. générale</w:t>
            </w:r>
          </w:p>
          <w:p w:rsidR="00F16129" w:rsidRDefault="00F8578E" w:rsidP="00F16129">
            <w:pPr>
              <w:spacing w:line="240" w:lineRule="exact"/>
              <w:rPr>
                <w:lang w:val="fr-FR"/>
              </w:rPr>
            </w:pPr>
            <w:r w:rsidRPr="00D436F3">
              <w:rPr>
                <w:lang w:val="fr-FR"/>
              </w:rPr>
              <w:t>28</w:t>
            </w:r>
            <w:r w:rsidR="00F16129" w:rsidRPr="00D436F3">
              <w:rPr>
                <w:lang w:val="fr-FR"/>
              </w:rPr>
              <w:t xml:space="preserve"> juillet 2016</w:t>
            </w:r>
          </w:p>
          <w:p w:rsidR="00F16129" w:rsidRDefault="00F16129" w:rsidP="00F16129">
            <w:pPr>
              <w:spacing w:line="240" w:lineRule="exact"/>
              <w:rPr>
                <w:lang w:val="fr-FR"/>
              </w:rPr>
            </w:pPr>
          </w:p>
          <w:p w:rsidR="00F16129" w:rsidRPr="009B614C" w:rsidRDefault="00F16129" w:rsidP="004C4CCF">
            <w:pPr>
              <w:spacing w:line="240" w:lineRule="exact"/>
              <w:rPr>
                <w:lang w:val="fr-FR"/>
              </w:rPr>
            </w:pPr>
            <w:r>
              <w:rPr>
                <w:lang w:val="fr-FR"/>
              </w:rPr>
              <w:t xml:space="preserve">Original: français </w:t>
            </w:r>
            <w:r w:rsidR="00E710A5">
              <w:rPr>
                <w:lang w:val="fr-FR"/>
              </w:rPr>
              <w:t xml:space="preserve">et </w:t>
            </w:r>
            <w:r w:rsidR="004C4CCF">
              <w:rPr>
                <w:lang w:val="fr-FR"/>
              </w:rPr>
              <w:t>anglais</w:t>
            </w:r>
          </w:p>
        </w:tc>
      </w:tr>
    </w:tbl>
    <w:p w:rsidR="0034591A" w:rsidRPr="009B614C" w:rsidRDefault="0034591A" w:rsidP="00CA0680">
      <w:pPr>
        <w:spacing w:before="120"/>
        <w:rPr>
          <w:b/>
          <w:sz w:val="24"/>
          <w:szCs w:val="24"/>
          <w:lang w:val="fr-FR"/>
        </w:rPr>
      </w:pPr>
      <w:r w:rsidRPr="009B614C">
        <w:rPr>
          <w:b/>
          <w:sz w:val="24"/>
          <w:szCs w:val="24"/>
          <w:lang w:val="fr-FR"/>
        </w:rPr>
        <w:t>C</w:t>
      </w:r>
      <w:r w:rsidR="00CA0680" w:rsidRPr="009B614C">
        <w:rPr>
          <w:b/>
          <w:sz w:val="24"/>
          <w:szCs w:val="24"/>
          <w:lang w:val="fr-FR"/>
        </w:rPr>
        <w:t>omité d’experts du transport des marchandises dangereuses</w:t>
      </w:r>
      <w:r w:rsidR="00CA0680" w:rsidRPr="009B614C">
        <w:rPr>
          <w:b/>
          <w:sz w:val="24"/>
          <w:szCs w:val="24"/>
          <w:lang w:val="fr-FR"/>
        </w:rPr>
        <w:br/>
        <w:t>et du Système général harmonisé de classification</w:t>
      </w:r>
      <w:r w:rsidR="00CA0680" w:rsidRPr="009B614C">
        <w:rPr>
          <w:b/>
          <w:sz w:val="24"/>
          <w:szCs w:val="24"/>
          <w:lang w:val="fr-FR"/>
        </w:rPr>
        <w:br/>
        <w:t>et d’étiquetage des produits chimiques</w:t>
      </w:r>
    </w:p>
    <w:p w:rsidR="0034591A" w:rsidRPr="009B614C" w:rsidRDefault="0034591A" w:rsidP="0094723C">
      <w:pPr>
        <w:spacing w:before="120"/>
        <w:rPr>
          <w:b/>
          <w:lang w:val="fr-FR"/>
        </w:rPr>
      </w:pPr>
      <w:r w:rsidRPr="009B614C">
        <w:rPr>
          <w:b/>
          <w:lang w:val="fr-FR"/>
        </w:rPr>
        <w:t>Sous</w:t>
      </w:r>
      <w:r w:rsidR="00CA0680" w:rsidRPr="009B614C">
        <w:rPr>
          <w:b/>
          <w:lang w:val="fr-FR"/>
        </w:rPr>
        <w:t>-</w:t>
      </w:r>
      <w:r w:rsidRPr="009B614C">
        <w:rPr>
          <w:b/>
          <w:lang w:val="fr-FR"/>
        </w:rPr>
        <w:t>Comité d’experts du transport</w:t>
      </w:r>
      <w:r w:rsidR="00CA0680" w:rsidRPr="009B614C">
        <w:rPr>
          <w:b/>
          <w:lang w:val="fr-FR"/>
        </w:rPr>
        <w:t xml:space="preserve"> </w:t>
      </w:r>
      <w:r w:rsidRPr="009B614C">
        <w:rPr>
          <w:b/>
          <w:lang w:val="fr-FR"/>
        </w:rPr>
        <w:t>des marchandises dangereuses</w:t>
      </w:r>
    </w:p>
    <w:p w:rsidR="00E710A5" w:rsidRDefault="00E710A5" w:rsidP="00E710A5">
      <w:pPr>
        <w:spacing w:before="120"/>
        <w:rPr>
          <w:b/>
        </w:rPr>
      </w:pPr>
      <w:r>
        <w:rPr>
          <w:b/>
        </w:rPr>
        <w:t xml:space="preserve">Huitième </w:t>
      </w:r>
      <w:r w:rsidRPr="00CA0680">
        <w:rPr>
          <w:b/>
        </w:rPr>
        <w:t>session</w:t>
      </w:r>
    </w:p>
    <w:p w:rsidR="00E710A5" w:rsidRDefault="00E710A5" w:rsidP="00E710A5">
      <w:r>
        <w:t>Genève, 9 (après-midi) décembre 2016</w:t>
      </w:r>
    </w:p>
    <w:p w:rsidR="00E710A5" w:rsidRDefault="00E710A5" w:rsidP="00E710A5">
      <w:r>
        <w:t>Point 1 de l’ordre du jour provisoire</w:t>
      </w:r>
    </w:p>
    <w:p w:rsidR="00E710A5" w:rsidRPr="001C3FCF" w:rsidRDefault="00E710A5" w:rsidP="00E710A5">
      <w:pPr>
        <w:tabs>
          <w:tab w:val="left" w:pos="0"/>
        </w:tabs>
        <w:spacing w:line="237" w:lineRule="exact"/>
        <w:ind w:hanging="1"/>
        <w:jc w:val="both"/>
        <w:rPr>
          <w:b/>
          <w:bCs/>
          <w:lang w:val="fr-FR"/>
        </w:rPr>
      </w:pPr>
      <w:r w:rsidRPr="001C3FCF">
        <w:rPr>
          <w:b/>
          <w:bCs/>
          <w:lang w:val="fr-FR"/>
        </w:rPr>
        <w:t>Adoption de l'ordre du jour</w:t>
      </w:r>
    </w:p>
    <w:p w:rsidR="00E710A5" w:rsidRPr="00E6002A" w:rsidRDefault="00E710A5" w:rsidP="00E710A5">
      <w:pPr>
        <w:pStyle w:val="HChG"/>
      </w:pPr>
      <w:r w:rsidRPr="00E6002A">
        <w:tab/>
      </w:r>
      <w:r w:rsidRPr="00E6002A">
        <w:tab/>
      </w:r>
      <w:r w:rsidRPr="00F06B30">
        <w:t>Ordre du jour provisoire annoté de la huitième session</w:t>
      </w:r>
      <w:r w:rsidRPr="00985EE1">
        <w:rPr>
          <w:rStyle w:val="FootnoteReference"/>
        </w:rPr>
        <w:footnoteReference w:id="2"/>
      </w:r>
      <w:r w:rsidRPr="00985EE1">
        <w:t xml:space="preserve"> </w:t>
      </w:r>
      <w:r w:rsidRPr="00985EE1">
        <w:rPr>
          <w:rStyle w:val="FootnoteReference"/>
        </w:rPr>
        <w:footnoteReference w:id="3"/>
      </w:r>
      <w:r w:rsidRPr="00E6002A">
        <w:t xml:space="preserve"> </w:t>
      </w:r>
    </w:p>
    <w:p w:rsidR="00E710A5" w:rsidRDefault="00E710A5" w:rsidP="00E710A5">
      <w:pPr>
        <w:pStyle w:val="SingleTxtG"/>
      </w:pPr>
      <w:r>
        <w:t>Q</w:t>
      </w:r>
      <w:r w:rsidRPr="00E6002A">
        <w:t xml:space="preserve">ui s'ouvrira au Palais des Nations, à Genève, le vendredi </w:t>
      </w:r>
      <w:r>
        <w:t>9</w:t>
      </w:r>
      <w:r w:rsidRPr="00E6002A">
        <w:t xml:space="preserve"> décembre </w:t>
      </w:r>
      <w:r>
        <w:t>2016</w:t>
      </w:r>
      <w:r w:rsidRPr="00E6002A">
        <w:t xml:space="preserve"> à </w:t>
      </w:r>
      <w:r>
        <w:t>14h30</w:t>
      </w:r>
      <w:r w:rsidRPr="00E6002A">
        <w:t xml:space="preserve"> </w:t>
      </w:r>
    </w:p>
    <w:p w:rsidR="00E710A5" w:rsidRPr="00E6002A" w:rsidRDefault="00E710A5" w:rsidP="00E710A5">
      <w:pPr>
        <w:pStyle w:val="HChG"/>
      </w:pPr>
      <w:r>
        <w:tab/>
        <w:t xml:space="preserve">I. </w:t>
      </w:r>
      <w:r>
        <w:tab/>
        <w:t>Ordre du jour provisoire</w:t>
      </w:r>
    </w:p>
    <w:p w:rsidR="00E710A5" w:rsidRPr="00E6002A" w:rsidRDefault="00E710A5" w:rsidP="00E710A5">
      <w:pPr>
        <w:pStyle w:val="SingleTxtG"/>
      </w:pPr>
      <w:r w:rsidRPr="00E6002A">
        <w:t>1.</w:t>
      </w:r>
      <w:r w:rsidRPr="00E6002A">
        <w:tab/>
        <w:t>Adoption de l'ordre du jour</w:t>
      </w:r>
      <w:r>
        <w:t>.</w:t>
      </w:r>
    </w:p>
    <w:p w:rsidR="00E710A5" w:rsidRPr="00E6002A" w:rsidRDefault="00E710A5" w:rsidP="00E710A5">
      <w:pPr>
        <w:pStyle w:val="SingleTxtG"/>
      </w:pPr>
      <w:r w:rsidRPr="00E6002A">
        <w:t>2.</w:t>
      </w:r>
      <w:r w:rsidRPr="00E6002A">
        <w:tab/>
        <w:t>Élection du bureau</w:t>
      </w:r>
      <w:r>
        <w:t>.</w:t>
      </w:r>
    </w:p>
    <w:p w:rsidR="00E710A5" w:rsidRPr="00E6002A" w:rsidRDefault="00E710A5" w:rsidP="00E710A5">
      <w:pPr>
        <w:pStyle w:val="SingleTxtG"/>
      </w:pPr>
      <w:r w:rsidRPr="00E6002A">
        <w:t>3.</w:t>
      </w:r>
      <w:r w:rsidRPr="00E6002A">
        <w:tab/>
        <w:t>Résolutions et décisions du Conseil économique et social</w:t>
      </w:r>
      <w:r>
        <w:t>.</w:t>
      </w:r>
    </w:p>
    <w:p w:rsidR="00E710A5" w:rsidRPr="00E6002A" w:rsidRDefault="00E710A5" w:rsidP="00E710A5">
      <w:pPr>
        <w:pStyle w:val="SingleTxtG"/>
        <w:ind w:left="1700" w:hanging="566"/>
      </w:pPr>
      <w:r w:rsidRPr="00E6002A">
        <w:t>4.</w:t>
      </w:r>
      <w:r w:rsidRPr="00E6002A">
        <w:tab/>
        <w:t xml:space="preserve">Travaux du Sous-Comité d’experts du transport des marchandises dangereuses pendant la période biennale </w:t>
      </w:r>
      <w:r>
        <w:t>2015–2016.</w:t>
      </w:r>
    </w:p>
    <w:p w:rsidR="00E710A5" w:rsidRPr="00E6002A" w:rsidRDefault="00E710A5" w:rsidP="00E710A5">
      <w:pPr>
        <w:pStyle w:val="SingleTxtG"/>
        <w:ind w:left="1700" w:hanging="566"/>
      </w:pPr>
      <w:r w:rsidRPr="00E6002A">
        <w:t>5.</w:t>
      </w:r>
      <w:r w:rsidRPr="00E6002A">
        <w:tab/>
        <w:t xml:space="preserve">Travaux du Sous-Comité d’experts du système général harmonisé de classification et d’étiquetage des produits chimiques pendant la période biennale </w:t>
      </w:r>
      <w:r w:rsidR="00955ABF">
        <w:t>2015</w:t>
      </w:r>
      <w:r>
        <w:t>–</w:t>
      </w:r>
      <w:r w:rsidR="00955ABF">
        <w:t>2016</w:t>
      </w:r>
      <w:r>
        <w:t>.</w:t>
      </w:r>
    </w:p>
    <w:p w:rsidR="00E710A5" w:rsidRPr="00E6002A" w:rsidRDefault="00E710A5" w:rsidP="00E710A5">
      <w:pPr>
        <w:pStyle w:val="SingleTxtG"/>
        <w:keepNext/>
        <w:keepLines/>
      </w:pPr>
      <w:r w:rsidRPr="00E6002A">
        <w:lastRenderedPageBreak/>
        <w:t>6.</w:t>
      </w:r>
      <w:r w:rsidRPr="00E6002A">
        <w:tab/>
        <w:t xml:space="preserve">Programme de travail pour la période biennale </w:t>
      </w:r>
      <w:r w:rsidR="00955ABF">
        <w:t>2017</w:t>
      </w:r>
      <w:r>
        <w:t>–</w:t>
      </w:r>
      <w:r w:rsidR="00955ABF">
        <w:t>2018 </w:t>
      </w:r>
      <w:r>
        <w:t>:</w:t>
      </w:r>
    </w:p>
    <w:p w:rsidR="00E710A5" w:rsidRPr="00E6002A" w:rsidRDefault="00E710A5" w:rsidP="00E710A5">
      <w:pPr>
        <w:pStyle w:val="SingleTxtG"/>
        <w:ind w:left="2000" w:hanging="300"/>
      </w:pPr>
      <w:r w:rsidRPr="00E6002A">
        <w:t>a)</w:t>
      </w:r>
      <w:r w:rsidRPr="00E6002A">
        <w:tab/>
        <w:t>Programme de travail et propositions y relatives</w:t>
      </w:r>
      <w:r>
        <w:t> ;</w:t>
      </w:r>
    </w:p>
    <w:p w:rsidR="00E710A5" w:rsidRPr="00E6002A" w:rsidRDefault="00E710A5" w:rsidP="00E710A5">
      <w:pPr>
        <w:pStyle w:val="SingleTxtG"/>
        <w:ind w:left="2000" w:hanging="300"/>
      </w:pPr>
      <w:r w:rsidRPr="00E6002A">
        <w:t>b)</w:t>
      </w:r>
      <w:r w:rsidRPr="00E6002A">
        <w:tab/>
        <w:t>Calendrier des réunions</w:t>
      </w:r>
      <w:r>
        <w:t>.</w:t>
      </w:r>
    </w:p>
    <w:p w:rsidR="00E710A5" w:rsidRPr="00E6002A" w:rsidRDefault="00E710A5" w:rsidP="00E710A5">
      <w:pPr>
        <w:pStyle w:val="SingleTxtG"/>
      </w:pPr>
      <w:r w:rsidRPr="00E6002A">
        <w:t>7.</w:t>
      </w:r>
      <w:r w:rsidRPr="00E6002A">
        <w:tab/>
        <w:t xml:space="preserve">Projet de résolution </w:t>
      </w:r>
      <w:r w:rsidR="00955ABF">
        <w:t>2017</w:t>
      </w:r>
      <w:r w:rsidRPr="00E6002A">
        <w:t>/… du Conseil économique et social</w:t>
      </w:r>
      <w:r>
        <w:t>.</w:t>
      </w:r>
    </w:p>
    <w:p w:rsidR="00E710A5" w:rsidRPr="00E6002A" w:rsidRDefault="00E710A5" w:rsidP="00E710A5">
      <w:pPr>
        <w:pStyle w:val="SingleTxtG"/>
      </w:pPr>
      <w:r w:rsidRPr="00E6002A">
        <w:t>8.</w:t>
      </w:r>
      <w:r w:rsidRPr="00E6002A">
        <w:tab/>
        <w:t>Autres questions</w:t>
      </w:r>
      <w:r>
        <w:t>.</w:t>
      </w:r>
    </w:p>
    <w:p w:rsidR="00E710A5" w:rsidRPr="00E6002A" w:rsidRDefault="00E710A5" w:rsidP="00E710A5">
      <w:pPr>
        <w:pStyle w:val="SingleTxtG"/>
      </w:pPr>
      <w:r w:rsidRPr="00E6002A">
        <w:t>9.</w:t>
      </w:r>
      <w:r w:rsidRPr="00E6002A">
        <w:tab/>
        <w:t>Adoption du rapport.</w:t>
      </w:r>
    </w:p>
    <w:p w:rsidR="00E710A5" w:rsidRPr="00F06B30" w:rsidRDefault="00E710A5" w:rsidP="00F8578E">
      <w:pPr>
        <w:pStyle w:val="HChG"/>
      </w:pPr>
      <w:r w:rsidRPr="00F06B30">
        <w:tab/>
        <w:t xml:space="preserve">II. </w:t>
      </w:r>
      <w:r w:rsidRPr="00F06B30">
        <w:tab/>
        <w:t>Informations générales</w:t>
      </w:r>
    </w:p>
    <w:p w:rsidR="00E710A5" w:rsidRPr="00F06B30" w:rsidRDefault="00E710A5" w:rsidP="00F8578E">
      <w:pPr>
        <w:pStyle w:val="H1G"/>
      </w:pPr>
      <w:r w:rsidRPr="00F06B30">
        <w:tab/>
      </w:r>
      <w:r w:rsidRPr="00F06B30">
        <w:tab/>
        <w:t>Statut et composition</w:t>
      </w:r>
    </w:p>
    <w:p w:rsidR="00E710A5" w:rsidRDefault="00E710A5" w:rsidP="00E710A5">
      <w:pPr>
        <w:pStyle w:val="SingleTxtG"/>
      </w:pPr>
      <w:r>
        <w:t>1.</w:t>
      </w:r>
      <w:r w:rsidRPr="00E6002A">
        <w:tab/>
        <w:t>Le Comité est un organe subsidiaire du Conseil économique et social, connu précédemment sous le nom de «Comité d’experts en matière de transport des marchandises dangereuses».  Il a été reconfiguré en vertu de la résolution 1999/65 du 26 octobre 1999 du Conseil en tant que Comité d’experts du transport des marchandises dangereuses et du système général harmonisé de classification et d’étiquetage des produits chimiques, avec deux sous-comités</w:t>
      </w:r>
      <w:r>
        <w:t> </w:t>
      </w:r>
      <w:r w:rsidRPr="00E6002A">
        <w:t>(</w:t>
      </w:r>
      <w:r>
        <w:t>v</w:t>
      </w:r>
      <w:r w:rsidRPr="00E6002A">
        <w:t>oir aussi ST/SG/AC.10/C.4/2001/7)</w:t>
      </w:r>
      <w:r>
        <w:t>:</w:t>
      </w:r>
    </w:p>
    <w:p w:rsidR="00E710A5" w:rsidRDefault="00E710A5" w:rsidP="00E710A5">
      <w:pPr>
        <w:pStyle w:val="SingleTxtG"/>
        <w:ind w:left="2268" w:hanging="567"/>
      </w:pPr>
      <w:r>
        <w:t>a)</w:t>
      </w:r>
      <w:r>
        <w:tab/>
      </w:r>
      <w:r w:rsidRPr="00E6002A">
        <w:t>le Sous-Comité d’experts du transport des marchandises dangereuses (Sous-Comité TMD)</w:t>
      </w:r>
      <w:r>
        <w:t> ;</w:t>
      </w:r>
      <w:r w:rsidRPr="00E6002A">
        <w:t xml:space="preserve"> et</w:t>
      </w:r>
    </w:p>
    <w:p w:rsidR="00E710A5" w:rsidRDefault="00E710A5" w:rsidP="00E710A5">
      <w:pPr>
        <w:pStyle w:val="SingleTxtG"/>
        <w:ind w:left="2268" w:hanging="567"/>
      </w:pPr>
      <w:r>
        <w:t>b)</w:t>
      </w:r>
      <w:r>
        <w:tab/>
      </w:r>
      <w:r w:rsidRPr="00E6002A">
        <w:t xml:space="preserve"> le Sous-Comité d’experts du système général harmonisé de classification et d’étiquetage des produits chimiques (Sous-Comité SGH)</w:t>
      </w:r>
      <w:r>
        <w:t>.</w:t>
      </w:r>
    </w:p>
    <w:p w:rsidR="00E710A5" w:rsidRDefault="00E710A5" w:rsidP="00E710A5">
      <w:pPr>
        <w:pStyle w:val="SingleTxtG"/>
      </w:pPr>
      <w:r>
        <w:t>2.</w:t>
      </w:r>
      <w:r>
        <w:tab/>
        <w:t xml:space="preserve">Depuis sa reconfiguration, le Comité s’est réuni </w:t>
      </w:r>
      <w:r w:rsidR="004C4CCF">
        <w:t xml:space="preserve">sept </w:t>
      </w:r>
      <w:r>
        <w:t>fois comme indiqué ci-après. Toutes les sessions se sont tenues à Genève :</w:t>
      </w:r>
    </w:p>
    <w:p w:rsidR="00E710A5" w:rsidRDefault="00E710A5" w:rsidP="00E710A5">
      <w:pPr>
        <w:pStyle w:val="SingleTxtG"/>
        <w:ind w:left="2268" w:hanging="567"/>
      </w:pPr>
      <w:proofErr w:type="gramStart"/>
      <w:r>
        <w:t>a</w:t>
      </w:r>
      <w:proofErr w:type="gramEnd"/>
      <w:r>
        <w:t xml:space="preserve">) </w:t>
      </w:r>
      <w:r>
        <w:tab/>
        <w:t>P</w:t>
      </w:r>
      <w:r w:rsidRPr="00E6002A">
        <w:t>remière session</w:t>
      </w:r>
      <w:r>
        <w:t> :</w:t>
      </w:r>
      <w:r w:rsidRPr="00E6002A">
        <w:t xml:space="preserve"> 11 et 12 décembre 2002 </w:t>
      </w:r>
      <w:r>
        <w:t>(</w:t>
      </w:r>
      <w:r w:rsidRPr="00E6002A">
        <w:t>rapport diffusé sous la cote ST/SG/AC.10/29 et Add.1</w:t>
      </w:r>
      <w:r>
        <w:t xml:space="preserve"> et </w:t>
      </w:r>
      <w:r w:rsidRPr="00E6002A">
        <w:t>2</w:t>
      </w:r>
      <w:r>
        <w:t>)</w:t>
      </w:r>
      <w:r w:rsidRPr="00E6002A">
        <w:t xml:space="preserve">. </w:t>
      </w:r>
    </w:p>
    <w:p w:rsidR="00E710A5" w:rsidRDefault="00E710A5" w:rsidP="00E710A5">
      <w:pPr>
        <w:pStyle w:val="SingleTxtG"/>
        <w:ind w:left="2268" w:hanging="567"/>
      </w:pPr>
      <w:r>
        <w:t>b)</w:t>
      </w:r>
      <w:r>
        <w:tab/>
        <w:t>D</w:t>
      </w:r>
      <w:r w:rsidRPr="00E6002A">
        <w:t>euxième session</w:t>
      </w:r>
      <w:r>
        <w:t> :</w:t>
      </w:r>
      <w:r w:rsidRPr="00E6002A">
        <w:t xml:space="preserve"> 10 décembre 2004 </w:t>
      </w:r>
      <w:r>
        <w:t>(</w:t>
      </w:r>
      <w:r w:rsidRPr="00E6002A">
        <w:t>rapport diffusé sous la cote ST/SG/AC.10/32 et Add</w:t>
      </w:r>
      <w:r>
        <w:t>.</w:t>
      </w:r>
      <w:r w:rsidRPr="00E6002A">
        <w:t>1</w:t>
      </w:r>
      <w:r>
        <w:t xml:space="preserve"> à </w:t>
      </w:r>
      <w:r w:rsidRPr="00E6002A">
        <w:t>3, et Add.3/Corr.1</w:t>
      </w:r>
      <w:r>
        <w:t>)</w:t>
      </w:r>
      <w:r w:rsidRPr="00E6002A">
        <w:t xml:space="preserve">. </w:t>
      </w:r>
    </w:p>
    <w:p w:rsidR="00E710A5" w:rsidRDefault="00E710A5" w:rsidP="00E710A5">
      <w:pPr>
        <w:pStyle w:val="SingleTxtG"/>
        <w:ind w:left="2268" w:hanging="567"/>
      </w:pPr>
      <w:r>
        <w:t>c)</w:t>
      </w:r>
      <w:r>
        <w:tab/>
        <w:t>T</w:t>
      </w:r>
      <w:r w:rsidRPr="00E6002A">
        <w:t>roisième session</w:t>
      </w:r>
      <w:r>
        <w:t> :</w:t>
      </w:r>
      <w:r w:rsidRPr="00E6002A">
        <w:t xml:space="preserve"> 15 décembre 2006 </w:t>
      </w:r>
      <w:r>
        <w:t>(</w:t>
      </w:r>
      <w:r w:rsidRPr="00E6002A">
        <w:t>rapport diffusé sous la cote ST/SG/AC.10/34 et Add</w:t>
      </w:r>
      <w:r>
        <w:t>.</w:t>
      </w:r>
      <w:r w:rsidRPr="00E6002A">
        <w:t>1</w:t>
      </w:r>
      <w:r>
        <w:t xml:space="preserve"> à </w:t>
      </w:r>
      <w:r w:rsidRPr="00E6002A">
        <w:t>3, Add.1/Corr.1, Add.2/Corr.1 et Add.3/Corr.1</w:t>
      </w:r>
      <w:r>
        <w:t>)</w:t>
      </w:r>
      <w:r w:rsidRPr="00E6002A">
        <w:t>.</w:t>
      </w:r>
      <w:r>
        <w:t xml:space="preserve"> </w:t>
      </w:r>
    </w:p>
    <w:p w:rsidR="00E710A5" w:rsidRDefault="00E710A5" w:rsidP="00E710A5">
      <w:pPr>
        <w:pStyle w:val="SingleTxtG"/>
        <w:ind w:left="2268" w:hanging="567"/>
      </w:pPr>
      <w:r>
        <w:t>d)</w:t>
      </w:r>
      <w:r>
        <w:tab/>
        <w:t>Quatrième</w:t>
      </w:r>
      <w:r w:rsidRPr="00E6002A">
        <w:t xml:space="preserve"> session</w:t>
      </w:r>
      <w:r>
        <w:t> :</w:t>
      </w:r>
      <w:r w:rsidRPr="00E6002A">
        <w:t xml:space="preserve"> </w:t>
      </w:r>
      <w:r w:rsidRPr="00134B33">
        <w:t xml:space="preserve">12 décembre 2008 </w:t>
      </w:r>
      <w:r>
        <w:t>(</w:t>
      </w:r>
      <w:r w:rsidRPr="00134B33">
        <w:t>rapport diffusé sous la cote ST/SG/AC.10/36 et Corr.1, et</w:t>
      </w:r>
      <w:r>
        <w:t xml:space="preserve"> </w:t>
      </w:r>
      <w:r w:rsidRPr="00E6002A">
        <w:t>Add.1</w:t>
      </w:r>
      <w:r>
        <w:t xml:space="preserve">à </w:t>
      </w:r>
      <w:r w:rsidRPr="00E6002A">
        <w:t>3, Add.1/Corr.1</w:t>
      </w:r>
      <w:r>
        <w:t xml:space="preserve"> à 3 </w:t>
      </w:r>
      <w:r w:rsidRPr="00E6002A">
        <w:t>et Add.2/Corr.1</w:t>
      </w:r>
      <w:r>
        <w:t>)</w:t>
      </w:r>
      <w:r w:rsidRPr="00E6002A">
        <w:t>.</w:t>
      </w:r>
      <w:r>
        <w:t xml:space="preserve"> </w:t>
      </w:r>
    </w:p>
    <w:p w:rsidR="00E710A5" w:rsidRDefault="00E710A5" w:rsidP="00E710A5">
      <w:pPr>
        <w:pStyle w:val="SingleTxtG"/>
        <w:ind w:left="2268" w:hanging="567"/>
      </w:pPr>
      <w:r>
        <w:t>e)</w:t>
      </w:r>
      <w:r>
        <w:tab/>
        <w:t xml:space="preserve">Cinquième session : 10 décembre 2010 (rapport diffusé sous la cote </w:t>
      </w:r>
      <w:r w:rsidRPr="00134B33">
        <w:t>ST/SG/AC.10/3</w:t>
      </w:r>
      <w:r>
        <w:t>8</w:t>
      </w:r>
      <w:r w:rsidRPr="00134B33">
        <w:t xml:space="preserve"> et </w:t>
      </w:r>
      <w:r w:rsidRPr="00E6002A">
        <w:t>Add</w:t>
      </w:r>
      <w:r>
        <w:t>.</w:t>
      </w:r>
      <w:r w:rsidRPr="00E6002A">
        <w:t>1</w:t>
      </w:r>
      <w:r>
        <w:t xml:space="preserve"> à </w:t>
      </w:r>
      <w:r w:rsidRPr="00E6002A">
        <w:t xml:space="preserve">3, </w:t>
      </w:r>
      <w:r>
        <w:t xml:space="preserve">et </w:t>
      </w:r>
      <w:r w:rsidRPr="00E6002A">
        <w:t>Add.1/Corr.1</w:t>
      </w:r>
      <w:r>
        <w:t>)</w:t>
      </w:r>
      <w:r w:rsidRPr="00E6002A">
        <w:t>.</w:t>
      </w:r>
    </w:p>
    <w:p w:rsidR="00E710A5" w:rsidRDefault="00E710A5" w:rsidP="00E710A5">
      <w:pPr>
        <w:pStyle w:val="SingleTxtG"/>
        <w:ind w:left="2268" w:hanging="567"/>
      </w:pPr>
      <w:r>
        <w:t>f)</w:t>
      </w:r>
      <w:r>
        <w:tab/>
        <w:t xml:space="preserve">Sixième session : 14 décembre 2012 (rapport diffusé sous la cote </w:t>
      </w:r>
      <w:r w:rsidRPr="00134B33">
        <w:t>ST/SG/AC.10/</w:t>
      </w:r>
      <w:r>
        <w:t>40</w:t>
      </w:r>
      <w:r w:rsidRPr="00134B33">
        <w:t xml:space="preserve"> et </w:t>
      </w:r>
      <w:r w:rsidRPr="00E6002A">
        <w:t>Add.1</w:t>
      </w:r>
      <w:r>
        <w:t xml:space="preserve"> à </w:t>
      </w:r>
      <w:r w:rsidRPr="00E6002A">
        <w:t xml:space="preserve">3, </w:t>
      </w:r>
      <w:r>
        <w:t xml:space="preserve">et </w:t>
      </w:r>
      <w:r w:rsidRPr="00E6002A">
        <w:t>Add.1/Corr.1</w:t>
      </w:r>
      <w:r>
        <w:t xml:space="preserve"> et Add.3/Corr.1 et 2)</w:t>
      </w:r>
      <w:r w:rsidRPr="00E6002A">
        <w:t>.</w:t>
      </w:r>
    </w:p>
    <w:p w:rsidR="00955ABF" w:rsidRPr="00E6002A" w:rsidRDefault="00955ABF" w:rsidP="00E710A5">
      <w:pPr>
        <w:pStyle w:val="SingleTxtG"/>
        <w:ind w:left="2268" w:hanging="567"/>
      </w:pPr>
      <w:bookmarkStart w:id="0" w:name="_GoBack"/>
      <w:bookmarkEnd w:id="0"/>
      <w:r>
        <w:t>g)</w:t>
      </w:r>
      <w:r>
        <w:tab/>
        <w:t xml:space="preserve">Septième session : 12 décembre 2014 (rapport diffusé sous la cote </w:t>
      </w:r>
      <w:r w:rsidRPr="00134B33">
        <w:t>ST/SG/AC.10/</w:t>
      </w:r>
      <w:r>
        <w:t>42</w:t>
      </w:r>
      <w:r w:rsidRPr="00134B33">
        <w:t xml:space="preserve"> et </w:t>
      </w:r>
      <w:r w:rsidRPr="00E6002A">
        <w:t>Add.1</w:t>
      </w:r>
      <w:r>
        <w:t xml:space="preserve"> à </w:t>
      </w:r>
      <w:r w:rsidRPr="00E6002A">
        <w:t xml:space="preserve">3, </w:t>
      </w:r>
      <w:r>
        <w:t xml:space="preserve">et </w:t>
      </w:r>
      <w:r w:rsidRPr="00E6002A">
        <w:t>Add.1/Corr.1</w:t>
      </w:r>
      <w:r>
        <w:t xml:space="preserve"> et 2, et Add.3/Corr.1)</w:t>
      </w:r>
      <w:r w:rsidRPr="00E6002A">
        <w:t>.</w:t>
      </w:r>
    </w:p>
    <w:p w:rsidR="00E710A5" w:rsidRPr="00E6002A" w:rsidRDefault="00E710A5" w:rsidP="00E710A5">
      <w:pPr>
        <w:pStyle w:val="SingleTxtG"/>
      </w:pPr>
      <w:r>
        <w:t>3.</w:t>
      </w:r>
      <w:r w:rsidRPr="00E6002A">
        <w:tab/>
        <w:t>En vertu des décisions 2001/201B, 2002/201C, 2003/201D, 2005/201C</w:t>
      </w:r>
      <w:r>
        <w:t>,</w:t>
      </w:r>
      <w:r w:rsidRPr="00E6002A">
        <w:t xml:space="preserve"> 2008/201C</w:t>
      </w:r>
      <w:r>
        <w:t>, 2009/201C,</w:t>
      </w:r>
      <w:r w:rsidRPr="00E6002A">
        <w:t xml:space="preserve"> </w:t>
      </w:r>
      <w:r>
        <w:t>2010/201B</w:t>
      </w:r>
      <w:r w:rsidRPr="00E6002A">
        <w:t xml:space="preserve"> et </w:t>
      </w:r>
      <w:r>
        <w:t>2010/201E</w:t>
      </w:r>
      <w:r w:rsidRPr="00E6002A">
        <w:t xml:space="preserve"> du Conseil économique et social, la composition du Comité est de </w:t>
      </w:r>
      <w:r>
        <w:t>40</w:t>
      </w:r>
      <w:r w:rsidRPr="00E6002A">
        <w:t xml:space="preserve"> pays membres, comme suit : </w:t>
      </w:r>
    </w:p>
    <w:p w:rsidR="00E710A5" w:rsidRPr="00E6002A" w:rsidRDefault="00E710A5" w:rsidP="00F8578E">
      <w:pPr>
        <w:pStyle w:val="SingleTxtG"/>
        <w:keepNext/>
        <w:keepLines/>
        <w:spacing w:after="80"/>
      </w:pPr>
      <w:r w:rsidRPr="00E6002A">
        <w:lastRenderedPageBreak/>
        <w:tab/>
        <w:t>Afrique du Sud, Allemagne, Argentine, Australie, Autriche, Belgique, Brésil, Canada, Chine, Danemark</w:t>
      </w:r>
      <w:r w:rsidRPr="00AF431A">
        <w:rPr>
          <w:vertAlign w:val="superscript"/>
        </w:rPr>
        <w:t>3</w:t>
      </w:r>
      <w:r w:rsidRPr="00E6002A">
        <w:t>, Espagne, États-Unis d’Amérique, Fédération de Russie, Finlande, France, Grèce</w:t>
      </w:r>
      <w:r>
        <w:rPr>
          <w:rStyle w:val="FootnoteReference"/>
        </w:rPr>
        <w:footnoteReference w:id="4"/>
      </w:r>
      <w:r w:rsidRPr="00E6002A">
        <w:t>, Inde</w:t>
      </w:r>
      <w:r>
        <w:rPr>
          <w:rStyle w:val="FootnoteReference"/>
        </w:rPr>
        <w:footnoteReference w:id="5"/>
      </w:r>
      <w:r w:rsidRPr="00E6002A">
        <w:t>, Iran (République islamique d’), Irlande</w:t>
      </w:r>
      <w:r w:rsidRPr="00AF431A">
        <w:rPr>
          <w:vertAlign w:val="superscript"/>
        </w:rPr>
        <w:t>3</w:t>
      </w:r>
      <w:r w:rsidRPr="00E6002A">
        <w:t xml:space="preserve">, Italie, Japon, </w:t>
      </w:r>
      <w:r>
        <w:t xml:space="preserve">Kenya, </w:t>
      </w:r>
      <w:r w:rsidRPr="00E6002A">
        <w:t>Mexique</w:t>
      </w:r>
      <w:r w:rsidRPr="00AF431A">
        <w:rPr>
          <w:vertAlign w:val="superscript"/>
        </w:rPr>
        <w:t>4</w:t>
      </w:r>
      <w:r w:rsidRPr="00E6002A">
        <w:t>, Maroc</w:t>
      </w:r>
      <w:r w:rsidRPr="00AF431A">
        <w:rPr>
          <w:vertAlign w:val="superscript"/>
        </w:rPr>
        <w:t>4</w:t>
      </w:r>
      <w:r w:rsidRPr="00E6002A">
        <w:t>, Nigéria</w:t>
      </w:r>
      <w:r w:rsidRPr="00AF431A">
        <w:rPr>
          <w:vertAlign w:val="superscript"/>
        </w:rPr>
        <w:t>3</w:t>
      </w:r>
      <w:r w:rsidRPr="00E6002A">
        <w:t>, Nouvelle Zélande</w:t>
      </w:r>
      <w:r w:rsidRPr="00AF431A">
        <w:rPr>
          <w:vertAlign w:val="superscript"/>
        </w:rPr>
        <w:t>3</w:t>
      </w:r>
      <w:r w:rsidRPr="00E6002A">
        <w:t xml:space="preserve">, Norvège, Pays-Bas, Pologne, Portugal, </w:t>
      </w:r>
      <w:r>
        <w:t xml:space="preserve">République de Corée, </w:t>
      </w:r>
      <w:r w:rsidRPr="00E6002A">
        <w:t>Royaume-Uni de Grande Bretagne et d’Irlande du Nord, République tchèque, Qatar</w:t>
      </w:r>
      <w:r w:rsidRPr="00AF431A">
        <w:rPr>
          <w:vertAlign w:val="superscript"/>
        </w:rPr>
        <w:t>3</w:t>
      </w:r>
      <w:r w:rsidRPr="00E6002A">
        <w:t>, Sénégal</w:t>
      </w:r>
      <w:r w:rsidRPr="00AF431A">
        <w:rPr>
          <w:vertAlign w:val="superscript"/>
        </w:rPr>
        <w:t>3</w:t>
      </w:r>
      <w:r w:rsidRPr="00E6002A">
        <w:t>, Serbie</w:t>
      </w:r>
      <w:r w:rsidRPr="00AF431A">
        <w:rPr>
          <w:vertAlign w:val="superscript"/>
        </w:rPr>
        <w:t>3</w:t>
      </w:r>
      <w:r w:rsidRPr="00E6002A">
        <w:t xml:space="preserve">, Suède, </w:t>
      </w:r>
      <w:r>
        <w:t>Suisse</w:t>
      </w:r>
      <w:r w:rsidRPr="00AF431A">
        <w:rPr>
          <w:vertAlign w:val="superscript"/>
        </w:rPr>
        <w:t>4</w:t>
      </w:r>
      <w:r>
        <w:t xml:space="preserve">, </w:t>
      </w:r>
      <w:r w:rsidRPr="00E6002A">
        <w:t>Ukraine</w:t>
      </w:r>
      <w:r w:rsidRPr="00AF431A">
        <w:rPr>
          <w:vertAlign w:val="superscript"/>
        </w:rPr>
        <w:t>3</w:t>
      </w:r>
      <w:r w:rsidRPr="00E6002A">
        <w:t xml:space="preserve"> et Zambie</w:t>
      </w:r>
      <w:r w:rsidRPr="00AF431A">
        <w:rPr>
          <w:vertAlign w:val="superscript"/>
        </w:rPr>
        <w:t>3</w:t>
      </w:r>
      <w:r w:rsidRPr="00E6002A">
        <w:t>.</w:t>
      </w:r>
    </w:p>
    <w:p w:rsidR="00E710A5" w:rsidRPr="00864A72" w:rsidRDefault="00E710A5">
      <w:pPr>
        <w:pStyle w:val="H1G"/>
      </w:pPr>
      <w:r w:rsidRPr="00864A72">
        <w:tab/>
      </w:r>
      <w:r w:rsidRPr="00864A72">
        <w:tab/>
        <w:t>Documentation</w:t>
      </w:r>
    </w:p>
    <w:p w:rsidR="00E710A5" w:rsidRPr="00E6002A" w:rsidRDefault="00E710A5" w:rsidP="00E710A5">
      <w:pPr>
        <w:pStyle w:val="SingleTxtG"/>
      </w:pPr>
      <w:r>
        <w:t>4.</w:t>
      </w:r>
      <w:r>
        <w:tab/>
      </w:r>
      <w:r w:rsidRPr="00E6002A">
        <w:t>La documentation concernant le Comité est diffusée sous la cote ST/SG/AC.10/…</w:t>
      </w:r>
    </w:p>
    <w:p w:rsidR="00E710A5" w:rsidRPr="00E6002A" w:rsidRDefault="00E710A5" w:rsidP="00E710A5">
      <w:pPr>
        <w:pStyle w:val="SingleTxtG"/>
      </w:pPr>
      <w:r>
        <w:t>5.</w:t>
      </w:r>
      <w:r>
        <w:tab/>
      </w:r>
      <w:r w:rsidRPr="00E6002A">
        <w:t>La documentation concernant le Sous-Comité TMD est diffusée sous la cote ST/SG/AC.10/C.3/…</w:t>
      </w:r>
    </w:p>
    <w:p w:rsidR="00E710A5" w:rsidRPr="00E6002A" w:rsidRDefault="00E710A5" w:rsidP="00E710A5">
      <w:pPr>
        <w:pStyle w:val="SingleTxtG"/>
      </w:pPr>
      <w:r>
        <w:t>6.</w:t>
      </w:r>
      <w:r>
        <w:tab/>
      </w:r>
      <w:r w:rsidRPr="00E6002A">
        <w:t>La documentation concernant le Sous-Comité SGH est diffusée sous la cote ST/SG/AC.10/C.4/...</w:t>
      </w:r>
    </w:p>
    <w:p w:rsidR="00E710A5" w:rsidRPr="00E6002A" w:rsidRDefault="00E710A5" w:rsidP="00E710A5">
      <w:pPr>
        <w:pStyle w:val="SingleTxtG"/>
      </w:pPr>
      <w:r>
        <w:t>7.</w:t>
      </w:r>
      <w:r>
        <w:tab/>
      </w:r>
      <w:r w:rsidRPr="00E6002A">
        <w:t>Les documents sont diffusés en anglais et en français seulement, qui sont les langues de travail du secrétariat.</w:t>
      </w:r>
    </w:p>
    <w:p w:rsidR="00E710A5" w:rsidRPr="00E6002A" w:rsidRDefault="00E710A5" w:rsidP="00E710A5">
      <w:pPr>
        <w:pStyle w:val="SingleTxtG"/>
      </w:pPr>
      <w:r>
        <w:t>8.</w:t>
      </w:r>
      <w:r>
        <w:tab/>
      </w:r>
      <w:r w:rsidRPr="00E6002A">
        <w:t>Tous les documents sont disponibles sur le site web de la Commission économique des Nations Unies pour l’Europe, dont le secrétariat assure également le secrétariat du Comité</w:t>
      </w:r>
      <w:r>
        <w:rPr>
          <w:rStyle w:val="FootnoteReference"/>
        </w:rPr>
        <w:footnoteReference w:id="6"/>
      </w:r>
      <w:r w:rsidRPr="00E6002A">
        <w:t>.</w:t>
      </w:r>
    </w:p>
    <w:p w:rsidR="00E710A5" w:rsidRPr="00864A72" w:rsidRDefault="00E710A5" w:rsidP="00F8578E">
      <w:pPr>
        <w:pStyle w:val="H1G"/>
      </w:pPr>
      <w:r w:rsidRPr="00864A72">
        <w:tab/>
      </w:r>
      <w:r w:rsidRPr="00864A72">
        <w:tab/>
        <w:t>Interprétation</w:t>
      </w:r>
    </w:p>
    <w:p w:rsidR="00E710A5" w:rsidRPr="00E6002A" w:rsidRDefault="00E710A5" w:rsidP="00E710A5">
      <w:pPr>
        <w:pStyle w:val="SingleTxtG"/>
      </w:pPr>
      <w:r>
        <w:t>9.</w:t>
      </w:r>
      <w:r>
        <w:tab/>
      </w:r>
      <w:r w:rsidRPr="00E6002A">
        <w:t>Des services d’interprétation en anglais, chinois, espagnol, français et russe sont fournis pendant la session.</w:t>
      </w:r>
    </w:p>
    <w:p w:rsidR="00E710A5" w:rsidRPr="00864A72" w:rsidRDefault="00E710A5" w:rsidP="00F8578E">
      <w:pPr>
        <w:pStyle w:val="H1G"/>
      </w:pPr>
      <w:r w:rsidRPr="00864A72">
        <w:tab/>
      </w:r>
      <w:r w:rsidRPr="00864A72">
        <w:tab/>
        <w:t>Règlement intérieur</w:t>
      </w:r>
    </w:p>
    <w:p w:rsidR="00E710A5" w:rsidRPr="00E6002A" w:rsidRDefault="00E710A5" w:rsidP="00E710A5">
      <w:pPr>
        <w:pStyle w:val="SingleTxtG"/>
      </w:pPr>
      <w:r>
        <w:t>10.</w:t>
      </w:r>
      <w:r>
        <w:tab/>
      </w:r>
      <w:r w:rsidRPr="00E6002A">
        <w:t>Conformément à la règle 27 du Règlement intérieur du Conseil économique et social, les chapitres VI et VIII à XII de ce Règlement intérieur s’appliquent également aux débats du Comité et de ses sous-comités (voir aussi les documents ST/SG/AC.10/C.4/2001/1 et ST/SG/AC.10/C.4/2001/6).</w:t>
      </w:r>
    </w:p>
    <w:p w:rsidR="00E710A5" w:rsidRPr="00864A72" w:rsidRDefault="00E710A5" w:rsidP="00F8578E">
      <w:pPr>
        <w:pStyle w:val="H1G"/>
      </w:pPr>
      <w:r w:rsidRPr="00864A72">
        <w:tab/>
      </w:r>
      <w:r w:rsidRPr="00864A72">
        <w:tab/>
        <w:t xml:space="preserve">Mandat </w:t>
      </w:r>
    </w:p>
    <w:p w:rsidR="00E710A5" w:rsidRDefault="00E710A5" w:rsidP="00E710A5">
      <w:pPr>
        <w:pStyle w:val="SingleTxtG"/>
      </w:pPr>
      <w:r>
        <w:t>11.</w:t>
      </w:r>
      <w:r>
        <w:tab/>
      </w:r>
      <w:r w:rsidRPr="00E6002A">
        <w:t xml:space="preserve">Conformément à la résolution 1999/65, le mandat du Comité est de traiter des questions stratégiques plutôt que des questions techniques. Il n’est pas prévu qu’il étudie, modifie ou réexamine les recommandations techniques des sous-comités. </w:t>
      </w:r>
    </w:p>
    <w:p w:rsidR="00E710A5" w:rsidRPr="00E6002A" w:rsidRDefault="00E710A5" w:rsidP="00E710A5">
      <w:pPr>
        <w:pStyle w:val="SingleTxtG"/>
      </w:pPr>
      <w:r>
        <w:t>12.</w:t>
      </w:r>
      <w:r>
        <w:tab/>
      </w:r>
      <w:r w:rsidRPr="00E6002A">
        <w:t>Il a les fonctions principales suivantes:</w:t>
      </w:r>
    </w:p>
    <w:p w:rsidR="00E710A5" w:rsidRPr="00E6002A" w:rsidRDefault="00E710A5" w:rsidP="00E710A5">
      <w:pPr>
        <w:pStyle w:val="SingleTxtG"/>
        <w:ind w:left="2268" w:hanging="567"/>
      </w:pPr>
      <w:r w:rsidRPr="00E6002A">
        <w:t>a)</w:t>
      </w:r>
      <w:r w:rsidRPr="00E6002A">
        <w:tab/>
        <w:t>Approuver les programmes de travail des sous-comités à la lumière des ressources disponibles;</w:t>
      </w:r>
    </w:p>
    <w:p w:rsidR="00E710A5" w:rsidRPr="00E6002A" w:rsidRDefault="00E710A5" w:rsidP="00E710A5">
      <w:pPr>
        <w:pStyle w:val="SingleTxtG"/>
        <w:ind w:left="2268" w:hanging="567"/>
      </w:pPr>
      <w:r w:rsidRPr="00E6002A">
        <w:t>b)</w:t>
      </w:r>
      <w:r w:rsidRPr="00E6002A">
        <w:tab/>
        <w:t>Coordonner les orientations stratégiques et politiques dans les domaines d’intérêt commun et ceux où il y a chevauchement;</w:t>
      </w:r>
    </w:p>
    <w:p w:rsidR="00E710A5" w:rsidRPr="00E6002A" w:rsidRDefault="00E710A5" w:rsidP="00E710A5">
      <w:pPr>
        <w:pStyle w:val="SingleTxtG"/>
        <w:ind w:left="2268" w:hanging="567"/>
      </w:pPr>
      <w:r w:rsidRPr="00E6002A">
        <w:lastRenderedPageBreak/>
        <w:t>c)</w:t>
      </w:r>
      <w:r w:rsidRPr="00E6002A">
        <w:tab/>
        <w:t>Approuver officiellement les recommandations des sous-comités et en assurer la communication au Conseil;</w:t>
      </w:r>
    </w:p>
    <w:p w:rsidR="00E710A5" w:rsidRPr="00E6002A" w:rsidRDefault="00E710A5" w:rsidP="00E710A5">
      <w:pPr>
        <w:pStyle w:val="SingleTxtG"/>
        <w:ind w:left="2268" w:hanging="567"/>
      </w:pPr>
      <w:r w:rsidRPr="00E6002A">
        <w:t>d)</w:t>
      </w:r>
      <w:r w:rsidRPr="00E6002A">
        <w:tab/>
        <w:t>Faciliter et coordonner le bon fonctionnement des sous-comités.</w:t>
      </w:r>
    </w:p>
    <w:p w:rsidR="00E710A5" w:rsidRPr="00F06B30" w:rsidRDefault="00E710A5">
      <w:pPr>
        <w:pStyle w:val="H1G"/>
      </w:pPr>
      <w:r w:rsidRPr="00F06B30">
        <w:tab/>
      </w:r>
      <w:r w:rsidRPr="00F06B30">
        <w:tab/>
        <w:t>Emploi du temps</w:t>
      </w:r>
    </w:p>
    <w:p w:rsidR="00E710A5" w:rsidRPr="00E6002A" w:rsidRDefault="00E710A5" w:rsidP="00E710A5">
      <w:pPr>
        <w:pStyle w:val="SingleTxtG"/>
      </w:pPr>
      <w:r>
        <w:t>13.</w:t>
      </w:r>
      <w:r w:rsidRPr="00E6002A">
        <w:tab/>
        <w:t>La durée de la session est limitée à une demi</w:t>
      </w:r>
      <w:r>
        <w:t>-</w:t>
      </w:r>
      <w:r w:rsidRPr="00E6002A">
        <w:t xml:space="preserve">journée.  La session sera précédée de la </w:t>
      </w:r>
      <w:r w:rsidR="00020C2B">
        <w:t>cinquantième</w:t>
      </w:r>
      <w:r w:rsidRPr="00E6002A">
        <w:t xml:space="preserve"> session du Sous-Comité TMD (</w:t>
      </w:r>
      <w:r w:rsidR="00020C2B">
        <w:t>28 novembre</w:t>
      </w:r>
      <w:r>
        <w:t>–</w:t>
      </w:r>
      <w:r w:rsidR="00020C2B">
        <w:t>6</w:t>
      </w:r>
      <w:r w:rsidR="00020C2B" w:rsidRPr="00E6002A">
        <w:t xml:space="preserve"> </w:t>
      </w:r>
      <w:r w:rsidRPr="00E6002A">
        <w:t xml:space="preserve">décembre </w:t>
      </w:r>
      <w:r w:rsidR="00020C2B">
        <w:t>2016</w:t>
      </w:r>
      <w:r w:rsidRPr="00E6002A">
        <w:t>) (voir ST/SG/AC.10/C.3/</w:t>
      </w:r>
      <w:r w:rsidR="00020C2B">
        <w:t>99</w:t>
      </w:r>
      <w:r w:rsidR="00020C2B" w:rsidRPr="00E6002A">
        <w:t xml:space="preserve"> </w:t>
      </w:r>
      <w:r w:rsidRPr="00E6002A">
        <w:t xml:space="preserve">et Add.1 pour l’ordre du jour) et de la </w:t>
      </w:r>
      <w:r w:rsidR="00020C2B">
        <w:t>trente-deuxième</w:t>
      </w:r>
      <w:r>
        <w:t xml:space="preserve"> </w:t>
      </w:r>
      <w:r w:rsidRPr="00E6002A">
        <w:t>session du Sous-Comité SGH (</w:t>
      </w:r>
      <w:r w:rsidR="00020C2B">
        <w:t>7</w:t>
      </w:r>
      <w:r>
        <w:t>–</w:t>
      </w:r>
      <w:r w:rsidR="00020C2B">
        <w:t>9</w:t>
      </w:r>
      <w:r>
        <w:t xml:space="preserve"> (matin)</w:t>
      </w:r>
      <w:r w:rsidRPr="00E6002A">
        <w:t xml:space="preserve"> décembre </w:t>
      </w:r>
      <w:r w:rsidR="00020C2B">
        <w:t>2016</w:t>
      </w:r>
      <w:r w:rsidRPr="00E6002A">
        <w:t>) (voir ST/SG/AC.10/C.4/</w:t>
      </w:r>
      <w:r w:rsidR="00020C2B">
        <w:t>63</w:t>
      </w:r>
      <w:r w:rsidR="00020C2B" w:rsidRPr="00E6002A">
        <w:t xml:space="preserve"> </w:t>
      </w:r>
      <w:r w:rsidRPr="00E6002A">
        <w:t>et Add.1 pour l’ordre du jour).</w:t>
      </w:r>
    </w:p>
    <w:p w:rsidR="00E710A5" w:rsidRPr="00F06B30" w:rsidRDefault="00E710A5">
      <w:pPr>
        <w:pStyle w:val="HChG"/>
      </w:pPr>
      <w:r w:rsidRPr="00F06B30">
        <w:tab/>
        <w:t>III.</w:t>
      </w:r>
      <w:r w:rsidRPr="00F06B30">
        <w:tab/>
        <w:t>Annotations</w:t>
      </w:r>
    </w:p>
    <w:p w:rsidR="00E710A5" w:rsidRPr="00F06B30" w:rsidRDefault="00E710A5">
      <w:pPr>
        <w:pStyle w:val="H1G"/>
      </w:pPr>
      <w:r w:rsidRPr="00F06B30">
        <w:tab/>
        <w:t>1.</w:t>
      </w:r>
      <w:r w:rsidRPr="00F06B30">
        <w:tab/>
        <w:t xml:space="preserve">Adoption de l’ordre du jour </w:t>
      </w:r>
    </w:p>
    <w:p w:rsidR="00E710A5" w:rsidRPr="00E6002A" w:rsidRDefault="00E710A5" w:rsidP="00E710A5">
      <w:pPr>
        <w:pStyle w:val="SingleTxtG"/>
      </w:pPr>
      <w:r>
        <w:t>14.</w:t>
      </w:r>
      <w:r>
        <w:tab/>
      </w:r>
      <w:r w:rsidRPr="00E6002A">
        <w:t>Conformément à l’usage, le premier point de l’ordre du jour est son adoption.</w:t>
      </w:r>
    </w:p>
    <w:p w:rsidR="00E710A5" w:rsidRPr="00F06B30" w:rsidRDefault="00E710A5">
      <w:pPr>
        <w:pStyle w:val="H1G"/>
      </w:pPr>
      <w:r w:rsidRPr="00F06B30">
        <w:tab/>
        <w:t>2.</w:t>
      </w:r>
      <w:r w:rsidRPr="00F06B30">
        <w:tab/>
        <w:t xml:space="preserve">Élection du Bureau </w:t>
      </w:r>
    </w:p>
    <w:p w:rsidR="00E710A5" w:rsidRPr="00E6002A" w:rsidRDefault="00E710A5" w:rsidP="00E710A5">
      <w:pPr>
        <w:pStyle w:val="SingleTxtG"/>
      </w:pPr>
      <w:r>
        <w:t>15.</w:t>
      </w:r>
      <w:r>
        <w:tab/>
      </w:r>
      <w:r w:rsidRPr="00E6002A">
        <w:t xml:space="preserve">Conformément à l’usage, le Comité élira </w:t>
      </w:r>
      <w:proofErr w:type="gramStart"/>
      <w:r w:rsidRPr="00E6002A">
        <w:t>un(</w:t>
      </w:r>
      <w:proofErr w:type="gramEnd"/>
      <w:r w:rsidRPr="00E6002A">
        <w:t xml:space="preserve">une) </w:t>
      </w:r>
      <w:r>
        <w:t>p</w:t>
      </w:r>
      <w:r w:rsidRPr="00E6002A">
        <w:t xml:space="preserve">résident(e) et un(une) ou plusieurs </w:t>
      </w:r>
      <w:r>
        <w:t>v</w:t>
      </w:r>
      <w:r w:rsidRPr="00E6002A">
        <w:t>ice</w:t>
      </w:r>
      <w:r>
        <w:t>-p</w:t>
      </w:r>
      <w:r w:rsidRPr="00E6002A">
        <w:t>résidents(es) parmi les représentants de ses membres.</w:t>
      </w:r>
    </w:p>
    <w:p w:rsidR="00E710A5" w:rsidRPr="00F06B30" w:rsidRDefault="00E710A5">
      <w:pPr>
        <w:pStyle w:val="H1G"/>
      </w:pPr>
      <w:r w:rsidRPr="00F06B30">
        <w:tab/>
        <w:t>3.</w:t>
      </w:r>
      <w:r w:rsidRPr="00F06B30">
        <w:tab/>
        <w:t>Résolutions et décisions du Conseil économique et social</w:t>
      </w:r>
    </w:p>
    <w:p w:rsidR="00E710A5" w:rsidRPr="00E6002A" w:rsidRDefault="00E710A5" w:rsidP="00E710A5">
      <w:pPr>
        <w:pStyle w:val="SingleTxtG"/>
      </w:pPr>
      <w:r>
        <w:t>16.</w:t>
      </w:r>
      <w:r>
        <w:tab/>
      </w:r>
      <w:r w:rsidRPr="00E6002A">
        <w:t>L</w:t>
      </w:r>
      <w:r>
        <w:t>a</w:t>
      </w:r>
      <w:r w:rsidRPr="00E6002A">
        <w:t xml:space="preserve"> résolution du Conseil économique et social qui se rapporte </w:t>
      </w:r>
      <w:r>
        <w:t>au programme de travail</w:t>
      </w:r>
      <w:r w:rsidRPr="00E6002A">
        <w:t xml:space="preserve"> du Comité pendant la période biennale </w:t>
      </w:r>
      <w:r w:rsidR="00020C2B">
        <w:t>2015</w:t>
      </w:r>
      <w:r>
        <w:t>–</w:t>
      </w:r>
      <w:r w:rsidR="00020C2B">
        <w:t>2016</w:t>
      </w:r>
      <w:r w:rsidR="00020C2B" w:rsidRPr="00E6002A">
        <w:t xml:space="preserve"> </w:t>
      </w:r>
      <w:r>
        <w:t>est</w:t>
      </w:r>
      <w:r w:rsidRPr="00E6002A">
        <w:t xml:space="preserve"> </w:t>
      </w:r>
      <w:r>
        <w:t>la r</w:t>
      </w:r>
      <w:r w:rsidRPr="00E6002A">
        <w:t>ésolution</w:t>
      </w:r>
      <w:r>
        <w:t> </w:t>
      </w:r>
      <w:r w:rsidR="00020C2B">
        <w:t>2015</w:t>
      </w:r>
      <w:r w:rsidRPr="00E6002A">
        <w:t>/</w:t>
      </w:r>
      <w:r w:rsidR="00020C2B">
        <w:t>7</w:t>
      </w:r>
      <w:r w:rsidR="00020C2B" w:rsidRPr="00E6002A">
        <w:t xml:space="preserve"> </w:t>
      </w:r>
      <w:r w:rsidRPr="00E6002A">
        <w:t xml:space="preserve">du </w:t>
      </w:r>
      <w:r w:rsidR="00020C2B">
        <w:t>8</w:t>
      </w:r>
      <w:r w:rsidR="00020C2B" w:rsidRPr="00E6002A">
        <w:t xml:space="preserve"> </w:t>
      </w:r>
      <w:r w:rsidR="00020C2B">
        <w:t>juin</w:t>
      </w:r>
      <w:r w:rsidR="00020C2B" w:rsidRPr="00E6002A">
        <w:t xml:space="preserve"> </w:t>
      </w:r>
      <w:r w:rsidR="00020C2B">
        <w:t>2015</w:t>
      </w:r>
      <w:r w:rsidR="00020C2B" w:rsidRPr="00E6002A">
        <w:t xml:space="preserve"> </w:t>
      </w:r>
      <w:r w:rsidRPr="00E6002A">
        <w:t>(voir documents informels INF.</w:t>
      </w:r>
      <w:r w:rsidR="00020C2B">
        <w:t>21 </w:t>
      </w:r>
      <w:r>
        <w:t>– INF.</w:t>
      </w:r>
      <w:r w:rsidR="00020C2B">
        <w:t xml:space="preserve">6 </w:t>
      </w:r>
      <w:r>
        <w:t>(soumis à la quarante-</w:t>
      </w:r>
      <w:r w:rsidR="00020C2B">
        <w:t xml:space="preserve">huitième </w:t>
      </w:r>
      <w:r>
        <w:t xml:space="preserve">session du Sous-Comité TDG et à la </w:t>
      </w:r>
      <w:r w:rsidR="00020C2B">
        <w:t>trentième</w:t>
      </w:r>
      <w:r>
        <w:t xml:space="preserve"> session du Sous-Comité SGH respectivement)</w:t>
      </w:r>
      <w:r w:rsidRPr="00E6002A">
        <w:t>.</w:t>
      </w:r>
    </w:p>
    <w:p w:rsidR="00E710A5" w:rsidRPr="00F06B30" w:rsidRDefault="00E710A5">
      <w:pPr>
        <w:pStyle w:val="H1G"/>
      </w:pPr>
      <w:r w:rsidRPr="00F06B30">
        <w:tab/>
        <w:t>4.</w:t>
      </w:r>
      <w:r w:rsidRPr="00F06B30">
        <w:tab/>
        <w:t xml:space="preserve">Travaux du Sous-Comité d’experts du transport des marchandises dangereuses pendant la période biennale </w:t>
      </w:r>
      <w:r w:rsidR="00020C2B" w:rsidRPr="00F06B30">
        <w:t>2015</w:t>
      </w:r>
      <w:r w:rsidRPr="00F06B30">
        <w:t>–</w:t>
      </w:r>
      <w:r w:rsidR="00020C2B" w:rsidRPr="00F06B30">
        <w:t xml:space="preserve">2016 </w:t>
      </w:r>
    </w:p>
    <w:p w:rsidR="00E710A5" w:rsidRPr="00E6002A" w:rsidRDefault="00E710A5" w:rsidP="00E710A5">
      <w:pPr>
        <w:pStyle w:val="SingleTxtG"/>
      </w:pPr>
      <w:r>
        <w:t>17.</w:t>
      </w:r>
      <w:r>
        <w:tab/>
      </w:r>
      <w:r w:rsidRPr="00E6002A">
        <w:t xml:space="preserve">Les rapports du Sous-Comité TMD sur ses </w:t>
      </w:r>
      <w:r>
        <w:t>quarante-</w:t>
      </w:r>
      <w:r w:rsidR="00020C2B">
        <w:t>septième</w:t>
      </w:r>
      <w:r>
        <w:t>, quarante-</w:t>
      </w:r>
      <w:r w:rsidR="00020C2B">
        <w:t xml:space="preserve">huitième </w:t>
      </w:r>
      <w:r>
        <w:t>et quarante-</w:t>
      </w:r>
      <w:r w:rsidR="00020C2B">
        <w:t xml:space="preserve">neuvième </w:t>
      </w:r>
      <w:r w:rsidRPr="00E6002A">
        <w:t>sessions sont reproduits dans les documents ST/SG/AC.10/C.3/</w:t>
      </w:r>
      <w:r w:rsidR="00020C2B">
        <w:t>94 </w:t>
      </w:r>
      <w:r w:rsidRPr="00E6002A">
        <w:t xml:space="preserve">et </w:t>
      </w:r>
      <w:r w:rsidR="00020C2B">
        <w:t>Corr</w:t>
      </w:r>
      <w:r w:rsidRPr="00E6002A">
        <w:t>.1</w:t>
      </w:r>
      <w:r>
        <w:t>;</w:t>
      </w:r>
      <w:r w:rsidRPr="00E6002A">
        <w:t xml:space="preserve"> ST/SG/AC.10/C.3/</w:t>
      </w:r>
      <w:r w:rsidR="00020C2B">
        <w:t xml:space="preserve">96 et Add.1 </w:t>
      </w:r>
      <w:r>
        <w:t xml:space="preserve">et </w:t>
      </w:r>
      <w:r w:rsidRPr="00E6002A">
        <w:t>ST/SG/AC.10/C.3/</w:t>
      </w:r>
      <w:r w:rsidR="00020C2B">
        <w:t>98 et Add.1</w:t>
      </w:r>
      <w:r w:rsidRPr="00E6002A">
        <w:t>.</w:t>
      </w:r>
    </w:p>
    <w:p w:rsidR="00E710A5" w:rsidRPr="00E6002A" w:rsidRDefault="00E710A5" w:rsidP="00E710A5">
      <w:pPr>
        <w:pStyle w:val="SingleTxtG"/>
      </w:pPr>
      <w:r>
        <w:t>18.</w:t>
      </w:r>
      <w:r>
        <w:tab/>
      </w:r>
      <w:r w:rsidRPr="00E6002A">
        <w:t xml:space="preserve">Le projet d’amendements aux Recommandations relatives au transport des marchandises dangereuses, Règlement type et Manuel d’épreuves et de critères, tel </w:t>
      </w:r>
      <w:r w:rsidRPr="00F8578E">
        <w:t>qu’adopté pour l’instant par le Sous-Comité, figure dans le document ST/SG/AC.10/C.3/</w:t>
      </w:r>
      <w:r w:rsidR="004A5D51" w:rsidRPr="00F8578E">
        <w:t>2016</w:t>
      </w:r>
      <w:r w:rsidRPr="00F8578E">
        <w:t>/</w:t>
      </w:r>
      <w:r w:rsidR="00A237E9" w:rsidRPr="00F8578E">
        <w:t>55</w:t>
      </w:r>
      <w:r w:rsidRPr="00F8578E">
        <w:t>.</w:t>
      </w:r>
      <w:r w:rsidRPr="00E6002A">
        <w:t xml:space="preserve"> </w:t>
      </w:r>
    </w:p>
    <w:p w:rsidR="00E710A5" w:rsidRPr="00E6002A" w:rsidRDefault="00E710A5" w:rsidP="00E710A5">
      <w:pPr>
        <w:pStyle w:val="SingleTxtG"/>
      </w:pPr>
      <w:r>
        <w:t>19.</w:t>
      </w:r>
      <w:r>
        <w:tab/>
      </w:r>
      <w:r w:rsidRPr="00E6002A">
        <w:t xml:space="preserve">Ce projet d’amendements fera l’objet d’une lecture finale à la </w:t>
      </w:r>
      <w:r w:rsidR="004A5D51">
        <w:t>cinquantième</w:t>
      </w:r>
      <w:r>
        <w:t xml:space="preserve"> </w:t>
      </w:r>
      <w:r w:rsidRPr="00E6002A">
        <w:t>session du Sous-Comité (</w:t>
      </w:r>
      <w:r w:rsidR="004A5D51">
        <w:t>28 novembre</w:t>
      </w:r>
      <w:r>
        <w:t>–</w:t>
      </w:r>
      <w:r w:rsidR="004A5D51">
        <w:t xml:space="preserve">6 </w:t>
      </w:r>
      <w:r>
        <w:t xml:space="preserve">décembre </w:t>
      </w:r>
      <w:r w:rsidR="004A5D51">
        <w:t>2016</w:t>
      </w:r>
      <w:r w:rsidRPr="00E6002A">
        <w:t xml:space="preserve">) à laquelle de nouvelles propositions d’amendement seront discutées.  Le rapport du Sous-Comité sur sa </w:t>
      </w:r>
      <w:r w:rsidR="004A5D51">
        <w:t>cinquantième</w:t>
      </w:r>
      <w:r>
        <w:t xml:space="preserve"> </w:t>
      </w:r>
      <w:r w:rsidRPr="00E6002A">
        <w:t>session sera disponible sous la forme du projet de rapport préparé par le secrétariat (ST/SG/AC.10/C.3/</w:t>
      </w:r>
      <w:r w:rsidR="004A5D51">
        <w:t>2016</w:t>
      </w:r>
      <w:r w:rsidRPr="00E6002A">
        <w:t>/CRP.3 et additifs pour le rapport proprement dit et ST/SG/AC.10/C.3/</w:t>
      </w:r>
      <w:r w:rsidR="004A5D51">
        <w:t>2016</w:t>
      </w:r>
      <w:r w:rsidRPr="00E6002A">
        <w:t xml:space="preserve">/CRP.4 et additifs pour les modifications au projet d’amendements).  Conformément à son mandat, le Comité souhaitera peut-être approuver le </w:t>
      </w:r>
      <w:r w:rsidRPr="00E6002A">
        <w:lastRenderedPageBreak/>
        <w:t xml:space="preserve">projet d’amendements final adopté par le Sous-Comité et </w:t>
      </w:r>
      <w:proofErr w:type="gramStart"/>
      <w:r w:rsidRPr="00E6002A">
        <w:t>tout</w:t>
      </w:r>
      <w:proofErr w:type="gramEnd"/>
      <w:r w:rsidRPr="00E6002A">
        <w:t xml:space="preserve"> autre recommandation qu’il aurait formulée.</w:t>
      </w:r>
    </w:p>
    <w:p w:rsidR="00E710A5" w:rsidRPr="00F06B30" w:rsidRDefault="00E710A5">
      <w:pPr>
        <w:pStyle w:val="H1G"/>
      </w:pPr>
      <w:r w:rsidRPr="00F06B30">
        <w:tab/>
        <w:t>5.</w:t>
      </w:r>
      <w:r w:rsidRPr="00F06B30">
        <w:tab/>
        <w:t xml:space="preserve">Travaux du Sous-Comité d’experts du Système général harmonisé de classification et d’étiquetage des produits chimiques pendant la période biennale </w:t>
      </w:r>
      <w:r w:rsidR="004A5D51" w:rsidRPr="00F06B30">
        <w:t>2015</w:t>
      </w:r>
      <w:r w:rsidRPr="00F06B30">
        <w:t>–</w:t>
      </w:r>
      <w:r w:rsidR="004A5D51" w:rsidRPr="00F06B30">
        <w:t xml:space="preserve">2016 </w:t>
      </w:r>
    </w:p>
    <w:p w:rsidR="00E710A5" w:rsidRDefault="00E710A5" w:rsidP="00E710A5">
      <w:pPr>
        <w:pStyle w:val="SingleTxtG"/>
      </w:pPr>
      <w:r>
        <w:t>20.</w:t>
      </w:r>
      <w:r>
        <w:tab/>
      </w:r>
      <w:r w:rsidRPr="00E6002A">
        <w:t xml:space="preserve">Les rapports du Sous-Comité SGH sur </w:t>
      </w:r>
      <w:proofErr w:type="gramStart"/>
      <w:r w:rsidRPr="00E6002A">
        <w:t xml:space="preserve">ses </w:t>
      </w:r>
      <w:r>
        <w:t>vingt-</w:t>
      </w:r>
      <w:r w:rsidR="004A5D51">
        <w:t>neuvième</w:t>
      </w:r>
      <w:r w:rsidRPr="00E6002A">
        <w:t xml:space="preserve">, </w:t>
      </w:r>
      <w:r w:rsidR="004A5D51">
        <w:t xml:space="preserve">trentième </w:t>
      </w:r>
      <w:r w:rsidRPr="00E6002A">
        <w:t xml:space="preserve">et </w:t>
      </w:r>
      <w:r w:rsidR="004A5D51">
        <w:t>trente-et-unième</w:t>
      </w:r>
      <w:r>
        <w:t xml:space="preserve"> </w:t>
      </w:r>
      <w:r w:rsidRPr="00E6002A">
        <w:t>sessions</w:t>
      </w:r>
      <w:proofErr w:type="gramEnd"/>
      <w:r w:rsidRPr="00E6002A">
        <w:t xml:space="preserve"> ont été diffusés sous les cotes ST/SG/AC.10/C.4/</w:t>
      </w:r>
      <w:r w:rsidR="004A5D51">
        <w:t>58</w:t>
      </w:r>
      <w:r w:rsidRPr="00E6002A">
        <w:t>, ST/SG/AC.10/C.4/</w:t>
      </w:r>
      <w:r w:rsidR="004A5D51">
        <w:t>60</w:t>
      </w:r>
      <w:r w:rsidR="004A5D51" w:rsidRPr="00E6002A">
        <w:t xml:space="preserve"> </w:t>
      </w:r>
      <w:r w:rsidRPr="00E6002A">
        <w:t>et ST/SG/AC.10/C.4/</w:t>
      </w:r>
      <w:r w:rsidR="004A5D51">
        <w:t>62</w:t>
      </w:r>
      <w:r w:rsidRPr="00E6002A">
        <w:t xml:space="preserve">. </w:t>
      </w:r>
    </w:p>
    <w:p w:rsidR="00E710A5" w:rsidRPr="00E6002A" w:rsidRDefault="00E710A5" w:rsidP="00E710A5">
      <w:pPr>
        <w:pStyle w:val="SingleTxtG"/>
      </w:pPr>
      <w:r>
        <w:t>21.</w:t>
      </w:r>
      <w:r>
        <w:tab/>
      </w:r>
      <w:r w:rsidRPr="00E6002A">
        <w:t xml:space="preserve">Le projet d’amendements au </w:t>
      </w:r>
      <w:r>
        <w:t>Système Globalement Harmonisé de Classification et d’étiquetage des produits chimiques (SGH)</w:t>
      </w:r>
      <w:r w:rsidRPr="00E6002A">
        <w:t xml:space="preserve">, tel qu’adopté pour l’instant par le Sous-Comité, figure dans le document </w:t>
      </w:r>
      <w:r w:rsidRPr="006B01F8">
        <w:t>ST/SG/AC.10/C.4/</w:t>
      </w:r>
      <w:r w:rsidR="004A5D51">
        <w:t>2016</w:t>
      </w:r>
      <w:r w:rsidRPr="006B01F8">
        <w:t>/</w:t>
      </w:r>
      <w:r w:rsidR="004A5D51">
        <w:t>11</w:t>
      </w:r>
      <w:r w:rsidRPr="006B01F8">
        <w:t>.</w:t>
      </w:r>
    </w:p>
    <w:p w:rsidR="00E710A5" w:rsidRPr="00E6002A" w:rsidRDefault="00E710A5" w:rsidP="00E710A5">
      <w:pPr>
        <w:pStyle w:val="SingleTxtG"/>
      </w:pPr>
      <w:r>
        <w:t>22.</w:t>
      </w:r>
      <w:r>
        <w:tab/>
      </w:r>
      <w:r w:rsidRPr="00E6002A">
        <w:t xml:space="preserve">Ce projet d’amendements fera l’objet d’une lecture finale à la </w:t>
      </w:r>
      <w:r>
        <w:t xml:space="preserve">vingt-huitième </w:t>
      </w:r>
      <w:r w:rsidRPr="00E6002A">
        <w:t>session du Sous-Comité (</w:t>
      </w:r>
      <w:r w:rsidR="004A5D51">
        <w:t xml:space="preserve">7 </w:t>
      </w:r>
      <w:r>
        <w:t xml:space="preserve">– </w:t>
      </w:r>
      <w:r w:rsidR="004A5D51">
        <w:t xml:space="preserve">9 (matin) </w:t>
      </w:r>
      <w:r>
        <w:t xml:space="preserve">décembre </w:t>
      </w:r>
      <w:r w:rsidR="004A5D51">
        <w:t>2016</w:t>
      </w:r>
      <w:r w:rsidRPr="00E6002A">
        <w:t xml:space="preserve">) à laquelle de nouvelles propositions d’amendement seront discutées. Le rapport du Sous-Comité sur sa </w:t>
      </w:r>
      <w:r w:rsidR="004A5D51">
        <w:t xml:space="preserve">trente-deuxième </w:t>
      </w:r>
      <w:r w:rsidRPr="00E6002A">
        <w:t>session sera disponible sous la forme du projet de rapport préparé par le secrétariat (ST/SG/AC.10/C.4/</w:t>
      </w:r>
      <w:r w:rsidR="004A5D51">
        <w:t>2016</w:t>
      </w:r>
      <w:r w:rsidRPr="00E6002A">
        <w:t>/CRP.3 et additifs pour le rapport proprement dit et ST/SG/AC.10/C.4/</w:t>
      </w:r>
      <w:r w:rsidR="004A5D51">
        <w:t>2016</w:t>
      </w:r>
      <w:r w:rsidRPr="00E6002A">
        <w:t>/CRP.4 et additifs pour les modifications éventuelles au projet d’amendements</w:t>
      </w:r>
      <w:r>
        <w:t>)</w:t>
      </w:r>
      <w:r w:rsidRPr="00E6002A">
        <w:t>. Le Comité souhaitera peut-être approuver le texte définitif du projet d'amendements au SGH tel qu’adopté par le Sous-Comité, ainsi que toute autre recommandation qu’il aurait formulée.</w:t>
      </w:r>
    </w:p>
    <w:p w:rsidR="00E710A5" w:rsidRPr="00F06B30" w:rsidRDefault="00E710A5">
      <w:pPr>
        <w:pStyle w:val="H1G"/>
      </w:pPr>
      <w:r w:rsidRPr="00F06B30">
        <w:tab/>
        <w:t>6.</w:t>
      </w:r>
      <w:r w:rsidRPr="00F06B30">
        <w:tab/>
        <w:t xml:space="preserve">Programme de travail pour la période biennale </w:t>
      </w:r>
      <w:r w:rsidR="008539E2" w:rsidRPr="00F06B30">
        <w:t>2017</w:t>
      </w:r>
      <w:r w:rsidRPr="00F06B30">
        <w:t>–</w:t>
      </w:r>
      <w:r w:rsidR="008539E2" w:rsidRPr="00F06B30">
        <w:t xml:space="preserve">2018 </w:t>
      </w:r>
    </w:p>
    <w:p w:rsidR="00E710A5" w:rsidRPr="00F06B30" w:rsidRDefault="00E710A5">
      <w:pPr>
        <w:pStyle w:val="H23G"/>
      </w:pPr>
      <w:r w:rsidRPr="00F06B30">
        <w:tab/>
        <w:t>(a)</w:t>
      </w:r>
      <w:r w:rsidRPr="00F06B30">
        <w:tab/>
        <w:t>Programme de travail et propositions y relatives</w:t>
      </w:r>
    </w:p>
    <w:p w:rsidR="00E710A5" w:rsidRPr="00E6002A" w:rsidRDefault="00E710A5" w:rsidP="00E710A5">
      <w:pPr>
        <w:pStyle w:val="SingleTxtG"/>
      </w:pPr>
      <w:r>
        <w:t>23.</w:t>
      </w:r>
      <w:r w:rsidRPr="00E6002A">
        <w:tab/>
        <w:t xml:space="preserve">Le Comité devrait examiner les propositions faites par les sous-comités TMD et SGH à leurs sessions de décembre </w:t>
      </w:r>
      <w:r w:rsidR="008539E2">
        <w:t>2016</w:t>
      </w:r>
      <w:r w:rsidR="008539E2" w:rsidRPr="00E6002A">
        <w:t xml:space="preserve"> </w:t>
      </w:r>
      <w:r w:rsidRPr="00E6002A">
        <w:t xml:space="preserve">en ce qui concerne leurs programmes de travail respectifs, et les approuver à la lumière des ressources disponibles pour </w:t>
      </w:r>
      <w:r w:rsidR="008539E2">
        <w:t>2017</w:t>
      </w:r>
      <w:r>
        <w:t>–</w:t>
      </w:r>
      <w:r w:rsidR="008539E2">
        <w:t>2018</w:t>
      </w:r>
      <w:r w:rsidRPr="00E6002A">
        <w:t>.</w:t>
      </w:r>
    </w:p>
    <w:p w:rsidR="00E710A5" w:rsidRPr="00F06B30" w:rsidRDefault="00E710A5">
      <w:pPr>
        <w:pStyle w:val="H23G"/>
      </w:pPr>
      <w:r w:rsidRPr="00F06B30">
        <w:tab/>
        <w:t>(b)</w:t>
      </w:r>
      <w:r w:rsidRPr="00F06B30">
        <w:tab/>
        <w:t>Calendrier des réunions</w:t>
      </w:r>
    </w:p>
    <w:p w:rsidR="00E710A5" w:rsidRPr="00E6002A" w:rsidRDefault="00E710A5" w:rsidP="00E710A5">
      <w:pPr>
        <w:pStyle w:val="SingleTxtG"/>
      </w:pPr>
      <w:r>
        <w:t>24.</w:t>
      </w:r>
      <w:r w:rsidRPr="00E6002A">
        <w:tab/>
        <w:t xml:space="preserve">Le nombre total de jours de réunion alloué au Comité et aux sous-comités est de 38 par période biennale (soit 76 réunions de trois heures).  Compte tenu de la répartition effectuée au cours de la période biennale </w:t>
      </w:r>
      <w:r w:rsidR="008539E2">
        <w:t>2015</w:t>
      </w:r>
      <w:r>
        <w:t>–</w:t>
      </w:r>
      <w:r w:rsidR="008539E2">
        <w:t>2016</w:t>
      </w:r>
      <w:r w:rsidRPr="00E6002A">
        <w:t xml:space="preserve">, les dates suivantes ont été provisoirement fixées </w:t>
      </w:r>
      <w:r>
        <w:t xml:space="preserve">par le secrétariat </w:t>
      </w:r>
      <w:r w:rsidRPr="00E6002A">
        <w:t xml:space="preserve">pour la période </w:t>
      </w:r>
      <w:r w:rsidR="008539E2">
        <w:t>2017</w:t>
      </w:r>
      <w:r>
        <w:t>–</w:t>
      </w:r>
      <w:r w:rsidR="008539E2">
        <w:t>2018 </w:t>
      </w:r>
      <w:r w:rsidRPr="00E6002A">
        <w:t>:</w:t>
      </w:r>
    </w:p>
    <w:p w:rsidR="00E710A5" w:rsidRPr="00E6002A" w:rsidRDefault="008539E2" w:rsidP="00E710A5">
      <w:pPr>
        <w:pStyle w:val="SingleTxtG"/>
        <w:ind w:left="4820" w:hanging="3686"/>
      </w:pPr>
      <w:r>
        <w:t>3</w:t>
      </w:r>
      <w:r w:rsidRPr="00E6002A">
        <w:t xml:space="preserve"> </w:t>
      </w:r>
      <w:r w:rsidR="00E710A5" w:rsidRPr="00E6002A">
        <w:t xml:space="preserve">– </w:t>
      </w:r>
      <w:r>
        <w:t>7</w:t>
      </w:r>
      <w:r w:rsidRPr="00E6002A">
        <w:t xml:space="preserve"> </w:t>
      </w:r>
      <w:r>
        <w:t>juillet</w:t>
      </w:r>
      <w:r w:rsidRPr="00E6002A">
        <w:t xml:space="preserve"> </w:t>
      </w:r>
      <w:r w:rsidR="004F5EAA">
        <w:t>2017</w:t>
      </w:r>
      <w:r w:rsidR="00E710A5" w:rsidRPr="00E6002A">
        <w:t>:</w:t>
      </w:r>
      <w:r w:rsidR="00E710A5" w:rsidRPr="00E6002A">
        <w:tab/>
        <w:t xml:space="preserve">Sous-Comité TMD, </w:t>
      </w:r>
      <w:r>
        <w:t>51</w:t>
      </w:r>
      <w:r w:rsidRPr="00E6002A">
        <w:t xml:space="preserve">ème </w:t>
      </w:r>
      <w:r w:rsidR="00E710A5" w:rsidRPr="00E6002A">
        <w:t>session</w:t>
      </w:r>
    </w:p>
    <w:p w:rsidR="00E710A5" w:rsidRPr="00E6002A" w:rsidRDefault="008539E2" w:rsidP="00E710A5">
      <w:pPr>
        <w:pStyle w:val="SingleTxtG"/>
        <w:ind w:left="4820" w:hanging="3686"/>
      </w:pPr>
      <w:r>
        <w:t>10</w:t>
      </w:r>
      <w:r w:rsidR="00E710A5" w:rsidRPr="00E6002A">
        <w:t xml:space="preserve">– </w:t>
      </w:r>
      <w:r w:rsidR="00E710A5">
        <w:t>1</w:t>
      </w:r>
      <w:r>
        <w:t>2</w:t>
      </w:r>
      <w:r w:rsidR="00E710A5">
        <w:t xml:space="preserve"> juillet</w:t>
      </w:r>
      <w:r w:rsidR="00E710A5" w:rsidRPr="00E6002A">
        <w:t xml:space="preserve"> </w:t>
      </w:r>
      <w:r w:rsidR="004F5EAA">
        <w:t>2017</w:t>
      </w:r>
      <w:r w:rsidR="00E710A5" w:rsidRPr="00E6002A">
        <w:t>:</w:t>
      </w:r>
      <w:r w:rsidR="00E710A5" w:rsidRPr="00E6002A">
        <w:tab/>
        <w:t xml:space="preserve">Sous-Comité SGH, </w:t>
      </w:r>
      <w:r>
        <w:t>33</w:t>
      </w:r>
      <w:r w:rsidRPr="00E6002A">
        <w:t xml:space="preserve">ème </w:t>
      </w:r>
      <w:r w:rsidR="00E710A5" w:rsidRPr="00E6002A">
        <w:t>session</w:t>
      </w:r>
    </w:p>
    <w:p w:rsidR="00E710A5" w:rsidRPr="00E6002A" w:rsidRDefault="008539E2" w:rsidP="00E710A5">
      <w:pPr>
        <w:pStyle w:val="SingleTxtG"/>
        <w:ind w:left="4820" w:hanging="3686"/>
      </w:pPr>
      <w:r>
        <w:t>27</w:t>
      </w:r>
      <w:r w:rsidRPr="00E6002A">
        <w:t xml:space="preserve"> </w:t>
      </w:r>
      <w:r w:rsidR="00E710A5" w:rsidRPr="00E6002A">
        <w:t xml:space="preserve">novembre – </w:t>
      </w:r>
      <w:r>
        <w:t>6</w:t>
      </w:r>
      <w:r w:rsidRPr="00E6002A">
        <w:t xml:space="preserve"> </w:t>
      </w:r>
      <w:r w:rsidR="00E710A5" w:rsidRPr="00E6002A">
        <w:t xml:space="preserve">décembre (matin) </w:t>
      </w:r>
      <w:r>
        <w:t>2017</w:t>
      </w:r>
      <w:r w:rsidRPr="00E6002A">
        <w:t xml:space="preserve"> </w:t>
      </w:r>
      <w:r w:rsidR="00E710A5" w:rsidRPr="00E6002A">
        <w:t>:</w:t>
      </w:r>
      <w:r w:rsidR="00E710A5" w:rsidRPr="00E6002A">
        <w:tab/>
        <w:t xml:space="preserve">Sous-Comité TMD, </w:t>
      </w:r>
      <w:r>
        <w:t>52</w:t>
      </w:r>
      <w:r w:rsidRPr="00E6002A">
        <w:t xml:space="preserve">ème </w:t>
      </w:r>
      <w:r w:rsidR="00E710A5" w:rsidRPr="00E6002A">
        <w:t>session</w:t>
      </w:r>
    </w:p>
    <w:p w:rsidR="00E710A5" w:rsidRPr="00E6002A" w:rsidRDefault="008539E2" w:rsidP="00E710A5">
      <w:pPr>
        <w:pStyle w:val="SingleTxtG"/>
        <w:ind w:left="4820" w:hanging="3686"/>
      </w:pPr>
      <w:r>
        <w:t>6</w:t>
      </w:r>
      <w:r w:rsidRPr="00E6002A">
        <w:t xml:space="preserve"> </w:t>
      </w:r>
      <w:r w:rsidR="00E710A5" w:rsidRPr="00E6002A">
        <w:t xml:space="preserve">(après-midi) – </w:t>
      </w:r>
      <w:r>
        <w:t xml:space="preserve">8 </w:t>
      </w:r>
      <w:r w:rsidR="00E710A5" w:rsidRPr="00E6002A">
        <w:t xml:space="preserve">décembre </w:t>
      </w:r>
      <w:r>
        <w:t>2017</w:t>
      </w:r>
      <w:r w:rsidRPr="00E6002A">
        <w:t xml:space="preserve"> </w:t>
      </w:r>
      <w:r w:rsidR="00E710A5" w:rsidRPr="00E6002A">
        <w:t xml:space="preserve">: </w:t>
      </w:r>
      <w:r w:rsidR="00E710A5" w:rsidRPr="00E6002A">
        <w:tab/>
        <w:t xml:space="preserve">Sous-Comité SGH, </w:t>
      </w:r>
      <w:r>
        <w:t>34</w:t>
      </w:r>
      <w:r w:rsidRPr="00E6002A">
        <w:t xml:space="preserve">ème </w:t>
      </w:r>
      <w:r w:rsidR="00E710A5" w:rsidRPr="00E6002A">
        <w:t>session</w:t>
      </w:r>
    </w:p>
    <w:p w:rsidR="00E710A5" w:rsidRPr="00E6002A" w:rsidRDefault="008539E2" w:rsidP="00E710A5">
      <w:pPr>
        <w:pStyle w:val="SingleTxtG"/>
        <w:ind w:left="4820" w:hanging="3686"/>
      </w:pPr>
      <w:r>
        <w:t>25</w:t>
      </w:r>
      <w:r w:rsidRPr="00E6002A">
        <w:t xml:space="preserve"> </w:t>
      </w:r>
      <w:r w:rsidR="00E710A5">
        <w:t xml:space="preserve">juin </w:t>
      </w:r>
      <w:r w:rsidR="00E710A5" w:rsidRPr="00E6002A">
        <w:t xml:space="preserve">– </w:t>
      </w:r>
      <w:r>
        <w:t>4</w:t>
      </w:r>
      <w:r w:rsidRPr="00E6002A">
        <w:t xml:space="preserve"> </w:t>
      </w:r>
      <w:r w:rsidR="00E710A5">
        <w:t xml:space="preserve">juillet </w:t>
      </w:r>
      <w:r w:rsidR="00E710A5" w:rsidRPr="00E6002A">
        <w:t>(matin)</w:t>
      </w:r>
      <w:r w:rsidR="00E710A5">
        <w:t xml:space="preserve"> </w:t>
      </w:r>
      <w:r>
        <w:t>2018</w:t>
      </w:r>
      <w:r w:rsidRPr="00E6002A">
        <w:t xml:space="preserve"> </w:t>
      </w:r>
      <w:r w:rsidR="00E710A5" w:rsidRPr="00E6002A">
        <w:t>:</w:t>
      </w:r>
      <w:r w:rsidR="00E710A5">
        <w:tab/>
      </w:r>
      <w:r w:rsidR="00E710A5" w:rsidRPr="00E6002A">
        <w:t xml:space="preserve">Sous-Comité TMD, </w:t>
      </w:r>
      <w:r>
        <w:t>53</w:t>
      </w:r>
      <w:r w:rsidRPr="00E6002A">
        <w:t xml:space="preserve">ème </w:t>
      </w:r>
      <w:r w:rsidR="00E710A5" w:rsidRPr="00E6002A">
        <w:t>session</w:t>
      </w:r>
    </w:p>
    <w:p w:rsidR="00E710A5" w:rsidRPr="00E6002A" w:rsidRDefault="008539E2" w:rsidP="00E710A5">
      <w:pPr>
        <w:pStyle w:val="SingleTxtG"/>
        <w:ind w:left="4820" w:hanging="3686"/>
      </w:pPr>
      <w:r>
        <w:t xml:space="preserve">4 </w:t>
      </w:r>
      <w:r w:rsidR="00E710A5" w:rsidRPr="00E6002A">
        <w:t>(après-midi)</w:t>
      </w:r>
      <w:r w:rsidR="00E710A5">
        <w:t xml:space="preserve"> </w:t>
      </w:r>
      <w:r w:rsidR="00E710A5" w:rsidRPr="00E6002A">
        <w:t xml:space="preserve">– </w:t>
      </w:r>
      <w:r>
        <w:t>6</w:t>
      </w:r>
      <w:r w:rsidRPr="00E6002A">
        <w:t xml:space="preserve"> </w:t>
      </w:r>
      <w:r w:rsidR="00E710A5" w:rsidRPr="00E6002A">
        <w:t xml:space="preserve">juillet </w:t>
      </w:r>
      <w:r>
        <w:t>2018</w:t>
      </w:r>
      <w:r w:rsidRPr="00E6002A">
        <w:t xml:space="preserve"> </w:t>
      </w:r>
      <w:r w:rsidR="00E710A5" w:rsidRPr="00E6002A">
        <w:t xml:space="preserve">: </w:t>
      </w:r>
      <w:r w:rsidR="00E710A5">
        <w:tab/>
      </w:r>
      <w:r w:rsidR="00E710A5" w:rsidRPr="00E6002A">
        <w:t xml:space="preserve">Sous-Comité SGH, </w:t>
      </w:r>
      <w:r w:rsidR="004F5EAA">
        <w:t>35</w:t>
      </w:r>
      <w:r w:rsidRPr="00E6002A">
        <w:t xml:space="preserve">ème </w:t>
      </w:r>
      <w:r w:rsidR="00E710A5" w:rsidRPr="00E6002A">
        <w:t>session</w:t>
      </w:r>
    </w:p>
    <w:p w:rsidR="00E710A5" w:rsidRPr="00E6002A" w:rsidRDefault="004F5EAA" w:rsidP="00E710A5">
      <w:pPr>
        <w:pStyle w:val="SingleTxtG"/>
        <w:ind w:left="4820" w:hanging="3686"/>
      </w:pPr>
      <w:r>
        <w:t xml:space="preserve">26 </w:t>
      </w:r>
      <w:r w:rsidR="00E710A5">
        <w:t xml:space="preserve">novembre </w:t>
      </w:r>
      <w:r w:rsidR="00E710A5" w:rsidRPr="00E6002A">
        <w:t xml:space="preserve">– </w:t>
      </w:r>
      <w:r>
        <w:t>4</w:t>
      </w:r>
      <w:r w:rsidRPr="00E6002A">
        <w:t xml:space="preserve"> </w:t>
      </w:r>
      <w:r w:rsidR="00E710A5" w:rsidRPr="00E6002A">
        <w:t xml:space="preserve">décembre </w:t>
      </w:r>
      <w:r>
        <w:t>2018</w:t>
      </w:r>
      <w:r w:rsidRPr="00E6002A">
        <w:t xml:space="preserve"> </w:t>
      </w:r>
      <w:r w:rsidR="00E710A5" w:rsidRPr="00E6002A">
        <w:t xml:space="preserve">: </w:t>
      </w:r>
      <w:r w:rsidR="00E710A5" w:rsidRPr="00E6002A">
        <w:tab/>
        <w:t xml:space="preserve">Sous-Comité TMD, </w:t>
      </w:r>
      <w:r>
        <w:t>54</w:t>
      </w:r>
      <w:r w:rsidRPr="00E6002A">
        <w:t xml:space="preserve">ème </w:t>
      </w:r>
      <w:r w:rsidR="00E710A5" w:rsidRPr="00E6002A">
        <w:t>session</w:t>
      </w:r>
    </w:p>
    <w:p w:rsidR="00E710A5" w:rsidRPr="00E6002A" w:rsidRDefault="004F5EAA" w:rsidP="00E710A5">
      <w:pPr>
        <w:pStyle w:val="SingleTxtG"/>
        <w:ind w:left="4820" w:hanging="3686"/>
      </w:pPr>
      <w:r>
        <w:t xml:space="preserve">5 </w:t>
      </w:r>
      <w:r w:rsidR="00E710A5" w:rsidRPr="00E6002A">
        <w:t xml:space="preserve">– </w:t>
      </w:r>
      <w:r>
        <w:t>7</w:t>
      </w:r>
      <w:r w:rsidRPr="00E6002A">
        <w:t xml:space="preserve"> </w:t>
      </w:r>
      <w:r w:rsidR="00E710A5" w:rsidRPr="00E6002A">
        <w:t xml:space="preserve">décembre </w:t>
      </w:r>
      <w:r w:rsidR="00E710A5">
        <w:t xml:space="preserve">(matin) </w:t>
      </w:r>
      <w:r>
        <w:t>2018</w:t>
      </w:r>
      <w:r w:rsidRPr="00E6002A">
        <w:t xml:space="preserve"> </w:t>
      </w:r>
      <w:r w:rsidR="00E710A5" w:rsidRPr="00E6002A">
        <w:t>:</w:t>
      </w:r>
      <w:r w:rsidR="00E710A5" w:rsidRPr="00E6002A">
        <w:tab/>
        <w:t xml:space="preserve">Sous-Comité SGH, </w:t>
      </w:r>
      <w:r>
        <w:t>36</w:t>
      </w:r>
      <w:r w:rsidRPr="00E6002A">
        <w:t xml:space="preserve">ème </w:t>
      </w:r>
      <w:r w:rsidR="00E710A5" w:rsidRPr="00E6002A">
        <w:t>session</w:t>
      </w:r>
    </w:p>
    <w:p w:rsidR="00E710A5" w:rsidRDefault="004F5EAA" w:rsidP="00E710A5">
      <w:pPr>
        <w:pStyle w:val="SingleTxtG"/>
        <w:ind w:left="4820" w:hanging="3686"/>
      </w:pPr>
      <w:r>
        <w:t>7</w:t>
      </w:r>
      <w:r w:rsidRPr="00E6002A">
        <w:t xml:space="preserve"> </w:t>
      </w:r>
      <w:r w:rsidR="00E710A5" w:rsidRPr="00E6002A">
        <w:t xml:space="preserve">décembre (après-midi) </w:t>
      </w:r>
      <w:r>
        <w:t>2018</w:t>
      </w:r>
      <w:r w:rsidRPr="00E6002A">
        <w:t xml:space="preserve"> </w:t>
      </w:r>
      <w:r w:rsidR="00E710A5" w:rsidRPr="00E6002A">
        <w:t>:</w:t>
      </w:r>
      <w:r w:rsidR="00E710A5" w:rsidRPr="00E6002A">
        <w:tab/>
        <w:t xml:space="preserve">Comité, </w:t>
      </w:r>
      <w:r>
        <w:t>9</w:t>
      </w:r>
      <w:r w:rsidRPr="00E6002A">
        <w:t xml:space="preserve">ème </w:t>
      </w:r>
      <w:r w:rsidR="00E710A5" w:rsidRPr="00E6002A">
        <w:t>session.</w:t>
      </w:r>
    </w:p>
    <w:p w:rsidR="00E710A5" w:rsidRPr="00E6002A" w:rsidRDefault="00E710A5" w:rsidP="00E710A5">
      <w:pPr>
        <w:pStyle w:val="SingleTxtG"/>
      </w:pPr>
      <w:r>
        <w:lastRenderedPageBreak/>
        <w:t>25.</w:t>
      </w:r>
      <w:r>
        <w:tab/>
      </w:r>
      <w:r w:rsidRPr="00E6002A">
        <w:t xml:space="preserve">Le Comité souhaitera peut-être revoir la répartition des réunions pour chaque </w:t>
      </w:r>
      <w:r>
        <w:t>s</w:t>
      </w:r>
      <w:r w:rsidRPr="00E6002A">
        <w:t>ous-</w:t>
      </w:r>
      <w:r>
        <w:t>c</w:t>
      </w:r>
      <w:r w:rsidRPr="00E6002A">
        <w:t>omité compte tenu de leurs programmes de travail respectifs.</w:t>
      </w:r>
    </w:p>
    <w:p w:rsidR="00E710A5" w:rsidRPr="00F06B30" w:rsidRDefault="00E710A5">
      <w:pPr>
        <w:pStyle w:val="H1G"/>
      </w:pPr>
      <w:r w:rsidRPr="00F06B30">
        <w:tab/>
        <w:t>7.</w:t>
      </w:r>
      <w:r w:rsidRPr="00F06B30">
        <w:tab/>
        <w:t xml:space="preserve">Projet de résolution </w:t>
      </w:r>
      <w:r w:rsidR="004F5EAA" w:rsidRPr="00F06B30">
        <w:t>2017</w:t>
      </w:r>
      <w:r w:rsidRPr="00F06B30">
        <w:t xml:space="preserve">/… du Conseil économique et social </w:t>
      </w:r>
    </w:p>
    <w:p w:rsidR="00E710A5" w:rsidRPr="00E6002A" w:rsidRDefault="00E710A5" w:rsidP="00E710A5">
      <w:pPr>
        <w:pStyle w:val="SingleTxtG"/>
      </w:pPr>
      <w:r>
        <w:t>26.</w:t>
      </w:r>
      <w:r w:rsidRPr="00E6002A">
        <w:tab/>
        <w:t xml:space="preserve">Le Comité souhaitera noter que les deux sous-comités auront préparé leur propre contribution à l’élaboration du projet de résolution à soumettre au Conseil pour adoption à sa session de </w:t>
      </w:r>
      <w:r w:rsidR="004F5EAA">
        <w:t>2017</w:t>
      </w:r>
      <w:r w:rsidRPr="00E6002A">
        <w:t>. Le Comité devrait combiner les deux parties et adopter le projet définitif à soumettre au Conseil.</w:t>
      </w:r>
    </w:p>
    <w:p w:rsidR="00E710A5" w:rsidRPr="00E6002A" w:rsidRDefault="00E710A5" w:rsidP="00E710A5">
      <w:pPr>
        <w:pStyle w:val="H1G"/>
      </w:pPr>
      <w:r w:rsidRPr="00E6002A">
        <w:tab/>
      </w:r>
      <w:r>
        <w:t>8</w:t>
      </w:r>
      <w:r w:rsidRPr="00E6002A">
        <w:t>.</w:t>
      </w:r>
      <w:r w:rsidRPr="00E6002A">
        <w:tab/>
        <w:t>Questions diverses</w:t>
      </w:r>
    </w:p>
    <w:p w:rsidR="00E710A5" w:rsidRPr="00E6002A" w:rsidRDefault="00E710A5" w:rsidP="00E710A5">
      <w:pPr>
        <w:pStyle w:val="SingleTxtG"/>
      </w:pPr>
      <w:r>
        <w:t>27.</w:t>
      </w:r>
      <w:r>
        <w:tab/>
      </w:r>
      <w:r w:rsidRPr="00E6002A">
        <w:t>Aucune question diverse ne figure sous ce point à la rédaction du présent ordre du jour.</w:t>
      </w:r>
    </w:p>
    <w:p w:rsidR="00E710A5" w:rsidRPr="00E6002A" w:rsidRDefault="00E710A5" w:rsidP="00E710A5">
      <w:pPr>
        <w:pStyle w:val="H1G"/>
      </w:pPr>
      <w:r w:rsidRPr="00E6002A">
        <w:tab/>
      </w:r>
      <w:r>
        <w:t>9</w:t>
      </w:r>
      <w:r w:rsidRPr="00E6002A">
        <w:t>.</w:t>
      </w:r>
      <w:r w:rsidRPr="00E6002A">
        <w:tab/>
        <w:t xml:space="preserve">Adoption du rapport  </w:t>
      </w:r>
    </w:p>
    <w:p w:rsidR="00E710A5" w:rsidRPr="00E6002A" w:rsidRDefault="00E710A5" w:rsidP="00E710A5">
      <w:pPr>
        <w:pStyle w:val="SingleTxtG"/>
      </w:pPr>
      <w:r>
        <w:t>28.</w:t>
      </w:r>
      <w:r>
        <w:tab/>
      </w:r>
      <w:r w:rsidRPr="00E6002A">
        <w:t xml:space="preserve">Conformément à l’usage, le Comité devrait adopter le rapport sur sa </w:t>
      </w:r>
      <w:r w:rsidR="004F5EAA">
        <w:t xml:space="preserve">huitième </w:t>
      </w:r>
      <w:r w:rsidRPr="00E6002A">
        <w:t>session sur la base d’un projet préparé par le secrétariat.</w:t>
      </w:r>
    </w:p>
    <w:p w:rsidR="00E710A5" w:rsidRPr="00E6002A" w:rsidRDefault="00E710A5" w:rsidP="00E710A5">
      <w:pPr>
        <w:spacing w:before="240"/>
        <w:ind w:left="1134" w:right="1134"/>
        <w:jc w:val="center"/>
        <w:rPr>
          <w:u w:val="single"/>
        </w:rPr>
      </w:pPr>
      <w:r w:rsidRPr="00E6002A">
        <w:rPr>
          <w:u w:val="single"/>
        </w:rPr>
        <w:tab/>
      </w:r>
      <w:r w:rsidRPr="00E6002A">
        <w:rPr>
          <w:u w:val="single"/>
        </w:rPr>
        <w:tab/>
      </w:r>
      <w:r w:rsidRPr="00E6002A">
        <w:rPr>
          <w:u w:val="single"/>
        </w:rPr>
        <w:tab/>
      </w:r>
    </w:p>
    <w:p w:rsidR="00CA0680" w:rsidRPr="00F16129" w:rsidRDefault="00CA0680">
      <w:pPr>
        <w:suppressAutoHyphens w:val="0"/>
        <w:spacing w:line="240" w:lineRule="auto"/>
      </w:pPr>
    </w:p>
    <w:sectPr w:rsidR="00CA0680" w:rsidRPr="00F16129" w:rsidSect="00F1612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29" w:rsidRDefault="00F16129"/>
  </w:endnote>
  <w:endnote w:type="continuationSeparator" w:id="0">
    <w:p w:rsidR="00F16129" w:rsidRDefault="00F16129"/>
  </w:endnote>
  <w:endnote w:type="continuationNotice" w:id="1">
    <w:p w:rsidR="00F16129" w:rsidRDefault="00F1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29" w:rsidRPr="00F16129" w:rsidRDefault="00F16129" w:rsidP="00F16129">
    <w:pPr>
      <w:pStyle w:val="Footer"/>
      <w:tabs>
        <w:tab w:val="right" w:pos="9638"/>
      </w:tabs>
      <w:rPr>
        <w:sz w:val="18"/>
      </w:rPr>
    </w:pPr>
    <w:r w:rsidRPr="00F16129">
      <w:rPr>
        <w:b/>
        <w:sz w:val="18"/>
      </w:rPr>
      <w:fldChar w:fldCharType="begin"/>
    </w:r>
    <w:r w:rsidRPr="00F16129">
      <w:rPr>
        <w:b/>
        <w:sz w:val="18"/>
      </w:rPr>
      <w:instrText xml:space="preserve"> PAGE  \* MERGEFORMAT </w:instrText>
    </w:r>
    <w:r w:rsidRPr="00F16129">
      <w:rPr>
        <w:b/>
        <w:sz w:val="18"/>
      </w:rPr>
      <w:fldChar w:fldCharType="separate"/>
    </w:r>
    <w:r w:rsidR="00074B11">
      <w:rPr>
        <w:b/>
        <w:noProof/>
        <w:sz w:val="18"/>
      </w:rPr>
      <w:t>2</w:t>
    </w:r>
    <w:r w:rsidRPr="00F1612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29" w:rsidRPr="00F16129" w:rsidRDefault="00F16129" w:rsidP="00F16129">
    <w:pPr>
      <w:pStyle w:val="Footer"/>
      <w:tabs>
        <w:tab w:val="right" w:pos="9638"/>
      </w:tabs>
      <w:rPr>
        <w:b/>
        <w:sz w:val="18"/>
      </w:rPr>
    </w:pPr>
    <w:r>
      <w:tab/>
    </w:r>
    <w:r w:rsidRPr="00F16129">
      <w:rPr>
        <w:b/>
        <w:sz w:val="18"/>
      </w:rPr>
      <w:fldChar w:fldCharType="begin"/>
    </w:r>
    <w:r w:rsidRPr="00F16129">
      <w:rPr>
        <w:b/>
        <w:sz w:val="18"/>
      </w:rPr>
      <w:instrText xml:space="preserve"> PAGE  \* MERGEFORMAT </w:instrText>
    </w:r>
    <w:r w:rsidRPr="00F16129">
      <w:rPr>
        <w:b/>
        <w:sz w:val="18"/>
      </w:rPr>
      <w:fldChar w:fldCharType="separate"/>
    </w:r>
    <w:r w:rsidR="00074B11">
      <w:rPr>
        <w:b/>
        <w:noProof/>
        <w:sz w:val="18"/>
      </w:rPr>
      <w:t>3</w:t>
    </w:r>
    <w:r w:rsidRPr="00F1612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29" w:rsidRPr="00D27D5E" w:rsidRDefault="00F16129" w:rsidP="00D27D5E">
      <w:pPr>
        <w:tabs>
          <w:tab w:val="right" w:pos="2155"/>
        </w:tabs>
        <w:spacing w:after="80"/>
        <w:ind w:left="680"/>
        <w:rPr>
          <w:u w:val="single"/>
        </w:rPr>
      </w:pPr>
      <w:r>
        <w:rPr>
          <w:u w:val="single"/>
        </w:rPr>
        <w:tab/>
      </w:r>
    </w:p>
  </w:footnote>
  <w:footnote w:type="continuationSeparator" w:id="0">
    <w:p w:rsidR="00F16129" w:rsidRPr="00A40B11" w:rsidRDefault="00F16129" w:rsidP="00A40B11">
      <w:pPr>
        <w:tabs>
          <w:tab w:val="right" w:pos="2155"/>
        </w:tabs>
        <w:spacing w:after="80"/>
        <w:ind w:left="680"/>
        <w:rPr>
          <w:u w:val="single"/>
        </w:rPr>
      </w:pPr>
      <w:r w:rsidRPr="00A40B11">
        <w:rPr>
          <w:u w:val="single"/>
        </w:rPr>
        <w:tab/>
      </w:r>
    </w:p>
  </w:footnote>
  <w:footnote w:type="continuationNotice" w:id="1">
    <w:p w:rsidR="00F16129" w:rsidRDefault="00F16129"/>
  </w:footnote>
  <w:footnote w:id="2">
    <w:p w:rsidR="00E710A5" w:rsidRPr="00F87199" w:rsidRDefault="00E710A5" w:rsidP="00E710A5">
      <w:pPr>
        <w:pStyle w:val="FootnoteText"/>
      </w:pPr>
      <w:r>
        <w:tab/>
      </w:r>
      <w:r>
        <w:rPr>
          <w:rStyle w:val="FootnoteReference"/>
        </w:rPr>
        <w:footnoteRef/>
      </w:r>
      <w:r>
        <w:t xml:space="preserve"> </w:t>
      </w:r>
      <w:r w:rsidRPr="00E6002A">
        <w:rPr>
          <w:rStyle w:val="FootnoteTextChar"/>
        </w:rPr>
        <w:tab/>
      </w:r>
      <w:r>
        <w:t xml:space="preserve">La date limite de soumission des documents est le 15 septembre 2016. </w:t>
      </w:r>
      <w:r w:rsidRPr="00F87199">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Pr="00F87199">
          <w:t>http://www.unece.org/trans/main/dgdb/dgcomm/ac10age.html</w:t>
        </w:r>
      </w:hyperlink>
      <w:r w:rsidRPr="00F87199">
        <w:t xml:space="preserve">). Pendant la réunion, les documents seront disponibles auprès de la Section de la distribution des documents (salle C.337, 3ème étage, Palais des Nations). </w:t>
      </w:r>
    </w:p>
  </w:footnote>
  <w:footnote w:id="3">
    <w:p w:rsidR="00E710A5" w:rsidRDefault="00E710A5" w:rsidP="00E710A5">
      <w:pPr>
        <w:pStyle w:val="FootnoteText"/>
      </w:pPr>
      <w:r>
        <w:tab/>
      </w:r>
      <w:r>
        <w:rPr>
          <w:rStyle w:val="FootnoteReference"/>
        </w:rPr>
        <w:footnoteRef/>
      </w:r>
      <w:r>
        <w:t xml:space="preserve"> </w:t>
      </w:r>
      <w:r>
        <w:tab/>
      </w:r>
      <w:r w:rsidRPr="00F87199">
        <w:t>Les délégués sont priés de</w:t>
      </w:r>
      <w:r>
        <w:t xml:space="preserve"> s’enregistrer en ligne en </w:t>
      </w:r>
      <w:r w:rsidRPr="00215D99">
        <w:rPr>
          <w:rFonts w:ascii="inherit" w:hAnsi="inherit" w:cs="Courier New"/>
          <w:color w:val="212121"/>
          <w:lang w:eastAsia="en-GB"/>
        </w:rPr>
        <w:t xml:space="preserve">utilisant le nouveau système d'enregistrement </w:t>
      </w:r>
      <w:r w:rsidRPr="00F87199">
        <w:t>disponible sur le site de la CEE</w:t>
      </w:r>
      <w:r>
        <w:t>-ONU</w:t>
      </w:r>
      <w:r w:rsidRPr="00F87199">
        <w:t xml:space="preserve"> (</w:t>
      </w:r>
      <w:r w:rsidR="00D436F3" w:rsidRPr="00D436F3">
        <w:t>https://www2.unece.org/uncdb/app/ext/meeting-registration?id=THOFG_</w:t>
      </w:r>
      <w:r w:rsidRPr="00F87199">
        <w:t xml:space="preserve">). A leur arrivée au Palais des Nations, les délégués pourront obtenir une plaquette d’identification auprès de la Section de la sécurité et de la sûreté située au Portail de </w:t>
      </w:r>
      <w:proofErr w:type="spellStart"/>
      <w:r w:rsidRPr="00F87199">
        <w:t>Pregny</w:t>
      </w:r>
      <w:proofErr w:type="spellEnd"/>
      <w:r w:rsidRPr="00F87199">
        <w:t xml:space="preserve"> (14, avenue de la Paix). En cas de difficulté, prière de prendre contact avec le secrétariat par téléphone (</w:t>
      </w:r>
      <w:proofErr w:type="spellStart"/>
      <w:r w:rsidRPr="00F87199">
        <w:t>ext</w:t>
      </w:r>
      <w:proofErr w:type="spellEnd"/>
      <w:r w:rsidRPr="00F87199">
        <w:t xml:space="preserve">. 72106). Enfin, pour obtenir une carte du Palais des Nations, ou pour toute autre information utile, se rendre à l’adresse suivante: </w:t>
      </w:r>
      <w:hyperlink r:id="rId2" w:history="1">
        <w:r w:rsidRPr="00F87199">
          <w:t>http://www.unece.org/meetings/practical.htm</w:t>
        </w:r>
      </w:hyperlink>
      <w:r w:rsidRPr="00E6002A">
        <w:rPr>
          <w:rStyle w:val="FootnoteTextChar"/>
        </w:rPr>
        <w:t>.</w:t>
      </w:r>
    </w:p>
  </w:footnote>
  <w:footnote w:id="4">
    <w:p w:rsidR="00E710A5" w:rsidRDefault="00E710A5" w:rsidP="00E710A5">
      <w:pPr>
        <w:pStyle w:val="FootnoteText"/>
      </w:pPr>
      <w:r>
        <w:tab/>
      </w:r>
      <w:r w:rsidRPr="00134B33">
        <w:rPr>
          <w:rStyle w:val="FootnoteReference"/>
        </w:rPr>
        <w:footnoteRef/>
      </w:r>
      <w:r w:rsidRPr="00134B33">
        <w:t xml:space="preserve"> </w:t>
      </w:r>
      <w:r>
        <w:tab/>
      </w:r>
      <w:r w:rsidRPr="00134B33">
        <w:t>Comité et Sous-Comité SGH seulement.</w:t>
      </w:r>
    </w:p>
  </w:footnote>
  <w:footnote w:id="5">
    <w:p w:rsidR="00E710A5" w:rsidRDefault="00E710A5" w:rsidP="00E710A5">
      <w:pPr>
        <w:pStyle w:val="FootnoteText"/>
      </w:pPr>
      <w:r>
        <w:tab/>
      </w:r>
      <w:r w:rsidRPr="00134B33">
        <w:rPr>
          <w:rStyle w:val="FootnoteReference"/>
        </w:rPr>
        <w:footnoteRef/>
      </w:r>
      <w:r>
        <w:tab/>
      </w:r>
      <w:r w:rsidRPr="00134B33">
        <w:t>Comité et Sous-Comité TMD seulement</w:t>
      </w:r>
      <w:r>
        <w:t>.</w:t>
      </w:r>
    </w:p>
  </w:footnote>
  <w:footnote w:id="6">
    <w:p w:rsidR="00E710A5" w:rsidRDefault="00E710A5" w:rsidP="00E710A5">
      <w:pPr>
        <w:pStyle w:val="FootnoteText"/>
      </w:pPr>
      <w:r>
        <w:tab/>
      </w:r>
      <w:r>
        <w:rPr>
          <w:rStyle w:val="FootnoteReference"/>
        </w:rPr>
        <w:footnoteRef/>
      </w:r>
      <w:r>
        <w:t xml:space="preserve"> </w:t>
      </w:r>
      <w:r>
        <w:tab/>
      </w:r>
      <w:r w:rsidRPr="00E6002A">
        <w:t>http://www.unece.org/trans/danger/danger.htm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29" w:rsidRPr="00F16129" w:rsidRDefault="00F16129">
    <w:pPr>
      <w:pStyle w:val="Header"/>
    </w:pPr>
    <w:r>
      <w:t>ST/SG/AC.10/43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29" w:rsidRPr="00F16129" w:rsidRDefault="00F16129" w:rsidP="00F16129">
    <w:pPr>
      <w:pStyle w:val="Header"/>
      <w:jc w:val="right"/>
    </w:pPr>
    <w:r>
      <w:t>ST/SG/AC.10/43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29"/>
    <w:rsid w:val="00016AC5"/>
    <w:rsid w:val="00020C2B"/>
    <w:rsid w:val="00072E7B"/>
    <w:rsid w:val="00073282"/>
    <w:rsid w:val="00074B11"/>
    <w:rsid w:val="000B3711"/>
    <w:rsid w:val="000F41F2"/>
    <w:rsid w:val="00154CB9"/>
    <w:rsid w:val="00160540"/>
    <w:rsid w:val="00192EEB"/>
    <w:rsid w:val="001A20FB"/>
    <w:rsid w:val="001D44B7"/>
    <w:rsid w:val="001D7F8A"/>
    <w:rsid w:val="001E3FEB"/>
    <w:rsid w:val="001E4A02"/>
    <w:rsid w:val="001E68C9"/>
    <w:rsid w:val="001F0E00"/>
    <w:rsid w:val="002156CB"/>
    <w:rsid w:val="00220B3D"/>
    <w:rsid w:val="00225A8C"/>
    <w:rsid w:val="002659F1"/>
    <w:rsid w:val="00287E79"/>
    <w:rsid w:val="002928F9"/>
    <w:rsid w:val="002A5D07"/>
    <w:rsid w:val="003016B7"/>
    <w:rsid w:val="0034591A"/>
    <w:rsid w:val="003515AA"/>
    <w:rsid w:val="00353080"/>
    <w:rsid w:val="00374106"/>
    <w:rsid w:val="003976D5"/>
    <w:rsid w:val="003D3BED"/>
    <w:rsid w:val="003D6C68"/>
    <w:rsid w:val="003F5B56"/>
    <w:rsid w:val="004159D0"/>
    <w:rsid w:val="00421F7A"/>
    <w:rsid w:val="0046126F"/>
    <w:rsid w:val="00482AF2"/>
    <w:rsid w:val="004A0F69"/>
    <w:rsid w:val="004A5D51"/>
    <w:rsid w:val="004B41A4"/>
    <w:rsid w:val="004C4CCF"/>
    <w:rsid w:val="004F5EAA"/>
    <w:rsid w:val="00524945"/>
    <w:rsid w:val="00543D5E"/>
    <w:rsid w:val="00571F41"/>
    <w:rsid w:val="0058132F"/>
    <w:rsid w:val="005E5D1F"/>
    <w:rsid w:val="00603122"/>
    <w:rsid w:val="00611D43"/>
    <w:rsid w:val="00612D48"/>
    <w:rsid w:val="00616B45"/>
    <w:rsid w:val="00630D9B"/>
    <w:rsid w:val="00631953"/>
    <w:rsid w:val="006439EC"/>
    <w:rsid w:val="006679FB"/>
    <w:rsid w:val="006924C3"/>
    <w:rsid w:val="006B4590"/>
    <w:rsid w:val="006C340C"/>
    <w:rsid w:val="0070347C"/>
    <w:rsid w:val="00703DCC"/>
    <w:rsid w:val="007176C1"/>
    <w:rsid w:val="007F55CB"/>
    <w:rsid w:val="00844750"/>
    <w:rsid w:val="00850A60"/>
    <w:rsid w:val="00851BA3"/>
    <w:rsid w:val="008539E2"/>
    <w:rsid w:val="0086254F"/>
    <w:rsid w:val="00864A72"/>
    <w:rsid w:val="00866D64"/>
    <w:rsid w:val="008A56E7"/>
    <w:rsid w:val="008B44C4"/>
    <w:rsid w:val="008E12DE"/>
    <w:rsid w:val="008E7FAE"/>
    <w:rsid w:val="00911BF7"/>
    <w:rsid w:val="00931BEB"/>
    <w:rsid w:val="0094723C"/>
    <w:rsid w:val="00951BBA"/>
    <w:rsid w:val="00955ABF"/>
    <w:rsid w:val="00977EC8"/>
    <w:rsid w:val="009B614C"/>
    <w:rsid w:val="009C74D5"/>
    <w:rsid w:val="009D3A8C"/>
    <w:rsid w:val="009E7956"/>
    <w:rsid w:val="009E79B0"/>
    <w:rsid w:val="00A1534D"/>
    <w:rsid w:val="00A237E9"/>
    <w:rsid w:val="00A2492E"/>
    <w:rsid w:val="00A40B11"/>
    <w:rsid w:val="00A40F0E"/>
    <w:rsid w:val="00AC67A1"/>
    <w:rsid w:val="00AC7977"/>
    <w:rsid w:val="00AE352C"/>
    <w:rsid w:val="00B10104"/>
    <w:rsid w:val="00B15353"/>
    <w:rsid w:val="00B32E2D"/>
    <w:rsid w:val="00B61990"/>
    <w:rsid w:val="00B769B0"/>
    <w:rsid w:val="00BF0556"/>
    <w:rsid w:val="00BF1492"/>
    <w:rsid w:val="00C056B2"/>
    <w:rsid w:val="00C261F8"/>
    <w:rsid w:val="00C33100"/>
    <w:rsid w:val="00CA0680"/>
    <w:rsid w:val="00CD1A71"/>
    <w:rsid w:val="00CD1FBB"/>
    <w:rsid w:val="00CD2641"/>
    <w:rsid w:val="00D016B5"/>
    <w:rsid w:val="00D034F1"/>
    <w:rsid w:val="00D27D5E"/>
    <w:rsid w:val="00D436F3"/>
    <w:rsid w:val="00DE6D90"/>
    <w:rsid w:val="00DF002F"/>
    <w:rsid w:val="00E0244D"/>
    <w:rsid w:val="00E710A5"/>
    <w:rsid w:val="00E81E94"/>
    <w:rsid w:val="00E82607"/>
    <w:rsid w:val="00EC5AFA"/>
    <w:rsid w:val="00F06B30"/>
    <w:rsid w:val="00F16129"/>
    <w:rsid w:val="00F443E1"/>
    <w:rsid w:val="00F8578E"/>
    <w:rsid w:val="00FA5A79"/>
    <w:rsid w:val="00FB0BFE"/>
    <w:rsid w:val="00FB4C51"/>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basedOn w:val="DefaultParagraphFon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E710A5"/>
    <w:rPr>
      <w:sz w:val="18"/>
      <w:lang w:val="fr-CH" w:eastAsia="en-US"/>
    </w:rPr>
  </w:style>
  <w:style w:type="paragraph" w:styleId="BalloonText">
    <w:name w:val="Balloon Text"/>
    <w:basedOn w:val="Normal"/>
    <w:link w:val="BalloonTextChar"/>
    <w:rsid w:val="004C4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C4CCF"/>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basedOn w:val="DefaultParagraphFon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E710A5"/>
    <w:rPr>
      <w:sz w:val="18"/>
      <w:lang w:val="fr-CH" w:eastAsia="en-US"/>
    </w:rPr>
  </w:style>
  <w:style w:type="paragraph" w:styleId="BalloonText">
    <w:name w:val="Balloon Text"/>
    <w:basedOn w:val="Normal"/>
    <w:link w:val="BalloonTextChar"/>
    <w:rsid w:val="004C4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C4CCF"/>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comm/ac10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AC10_C3_F.dotm</Template>
  <TotalTime>29</TotalTime>
  <Pages>6</Pages>
  <Words>1632</Words>
  <Characters>9505</Characters>
  <Application>Microsoft Office Word</Application>
  <DocSecurity>0</DocSecurity>
  <Lines>187</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Rosa Garcia-Couto</dc:creator>
  <cp:lastModifiedBy>Laurence Berthet</cp:lastModifiedBy>
  <cp:revision>8</cp:revision>
  <cp:lastPrinted>2016-07-28T09:58:00Z</cp:lastPrinted>
  <dcterms:created xsi:type="dcterms:W3CDTF">2016-07-25T09:12:00Z</dcterms:created>
  <dcterms:modified xsi:type="dcterms:W3CDTF">2016-07-28T09:58:00Z</dcterms:modified>
</cp:coreProperties>
</file>