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6556" w:rsidTr="009E6CB7">
        <w:trPr>
          <w:cantSplit/>
          <w:trHeight w:hRule="exact" w:val="851"/>
        </w:trPr>
        <w:tc>
          <w:tcPr>
            <w:tcW w:w="1276" w:type="dxa"/>
            <w:tcBorders>
              <w:bottom w:val="single" w:sz="4" w:space="0" w:color="auto"/>
            </w:tcBorders>
            <w:vAlign w:val="bottom"/>
          </w:tcPr>
          <w:p w:rsidR="009E6CB7" w:rsidRPr="009B6556" w:rsidRDefault="009E6CB7" w:rsidP="009E6CB7">
            <w:pPr>
              <w:spacing w:after="80"/>
            </w:pPr>
            <w:bookmarkStart w:id="0" w:name="_GoBack"/>
            <w:bookmarkEnd w:id="0"/>
          </w:p>
        </w:tc>
        <w:tc>
          <w:tcPr>
            <w:tcW w:w="2268" w:type="dxa"/>
            <w:tcBorders>
              <w:bottom w:val="single" w:sz="4" w:space="0" w:color="auto"/>
            </w:tcBorders>
            <w:vAlign w:val="bottom"/>
          </w:tcPr>
          <w:p w:rsidR="009E6CB7" w:rsidRPr="009B6556" w:rsidRDefault="009E6CB7" w:rsidP="009E6CB7">
            <w:pPr>
              <w:spacing w:after="80" w:line="300" w:lineRule="exact"/>
              <w:rPr>
                <w:sz w:val="24"/>
                <w:szCs w:val="24"/>
              </w:rPr>
            </w:pPr>
            <w:r w:rsidRPr="009B6556">
              <w:rPr>
                <w:sz w:val="28"/>
                <w:szCs w:val="28"/>
              </w:rPr>
              <w:t>United Nations</w:t>
            </w:r>
          </w:p>
        </w:tc>
        <w:tc>
          <w:tcPr>
            <w:tcW w:w="6095" w:type="dxa"/>
            <w:gridSpan w:val="2"/>
            <w:tcBorders>
              <w:bottom w:val="single" w:sz="4" w:space="0" w:color="auto"/>
            </w:tcBorders>
            <w:vAlign w:val="bottom"/>
          </w:tcPr>
          <w:p w:rsidR="009E6CB7" w:rsidRPr="009B6556" w:rsidRDefault="00F16E71" w:rsidP="005459D3">
            <w:pPr>
              <w:jc w:val="right"/>
            </w:pPr>
            <w:r w:rsidRPr="009B6556">
              <w:rPr>
                <w:sz w:val="40"/>
              </w:rPr>
              <w:t>ECE</w:t>
            </w:r>
            <w:r w:rsidRPr="009B6556">
              <w:t>/TRANS/</w:t>
            </w:r>
            <w:r w:rsidRPr="002F396E">
              <w:t>WP.5/</w:t>
            </w:r>
            <w:r w:rsidR="006D71BA">
              <w:t>5</w:t>
            </w:r>
            <w:r w:rsidR="005459D3">
              <w:t>7</w:t>
            </w:r>
          </w:p>
        </w:tc>
      </w:tr>
      <w:tr w:rsidR="009E6CB7" w:rsidRPr="009B6556" w:rsidTr="009E6CB7">
        <w:trPr>
          <w:cantSplit/>
          <w:trHeight w:hRule="exact" w:val="2835"/>
        </w:trPr>
        <w:tc>
          <w:tcPr>
            <w:tcW w:w="1276" w:type="dxa"/>
            <w:tcBorders>
              <w:top w:val="single" w:sz="4" w:space="0" w:color="auto"/>
              <w:bottom w:val="single" w:sz="12" w:space="0" w:color="auto"/>
            </w:tcBorders>
          </w:tcPr>
          <w:p w:rsidR="009E6CB7" w:rsidRPr="009B6556" w:rsidRDefault="000014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82549" w:rsidRDefault="009E6CB7" w:rsidP="009E6CB7">
            <w:pPr>
              <w:spacing w:before="120" w:line="420" w:lineRule="exact"/>
              <w:rPr>
                <w:b/>
                <w:bCs/>
                <w:sz w:val="40"/>
                <w:szCs w:val="40"/>
              </w:rPr>
            </w:pPr>
            <w:r w:rsidRPr="00B82549">
              <w:rPr>
                <w:b/>
                <w:bCs/>
                <w:sz w:val="40"/>
                <w:szCs w:val="40"/>
              </w:rPr>
              <w:t>Economic and Social Council</w:t>
            </w:r>
          </w:p>
        </w:tc>
        <w:tc>
          <w:tcPr>
            <w:tcW w:w="2835" w:type="dxa"/>
            <w:tcBorders>
              <w:top w:val="single" w:sz="4" w:space="0" w:color="auto"/>
              <w:bottom w:val="single" w:sz="12" w:space="0" w:color="auto"/>
            </w:tcBorders>
          </w:tcPr>
          <w:p w:rsidR="00F16E71" w:rsidRPr="009B6556" w:rsidRDefault="00F16E71" w:rsidP="00F16E71">
            <w:pPr>
              <w:spacing w:before="240" w:line="240" w:lineRule="exact"/>
            </w:pPr>
            <w:r w:rsidRPr="009B6556">
              <w:t>Distr.: General</w:t>
            </w:r>
          </w:p>
          <w:p w:rsidR="00F16E71" w:rsidRPr="009B6556" w:rsidRDefault="00B11AF4" w:rsidP="00B82549">
            <w:pPr>
              <w:spacing w:line="240" w:lineRule="exact"/>
            </w:pPr>
            <w:r w:rsidRPr="002F396E">
              <w:t>1</w:t>
            </w:r>
            <w:r w:rsidR="00A91FAE">
              <w:t>5</w:t>
            </w:r>
            <w:r w:rsidR="00D555FC" w:rsidRPr="002F396E">
              <w:t xml:space="preserve"> </w:t>
            </w:r>
            <w:r w:rsidRPr="002F396E">
              <w:t>June</w:t>
            </w:r>
            <w:r w:rsidR="00C90BA1" w:rsidRPr="002F396E">
              <w:t xml:space="preserve"> </w:t>
            </w:r>
            <w:r w:rsidR="00F16E71" w:rsidRPr="002F396E">
              <w:t>201</w:t>
            </w:r>
            <w:r w:rsidR="00A91FAE">
              <w:t>5</w:t>
            </w:r>
          </w:p>
          <w:p w:rsidR="00F16E71" w:rsidRPr="009B6556" w:rsidRDefault="00F16E71" w:rsidP="00F16E71">
            <w:pPr>
              <w:spacing w:line="240" w:lineRule="exact"/>
            </w:pPr>
          </w:p>
          <w:p w:rsidR="009E6CB7" w:rsidRPr="009B6556" w:rsidRDefault="00F16E71" w:rsidP="00F16E71">
            <w:pPr>
              <w:spacing w:line="240" w:lineRule="exact"/>
            </w:pPr>
            <w:r w:rsidRPr="009B6556">
              <w:t>Original: English</w:t>
            </w:r>
          </w:p>
        </w:tc>
      </w:tr>
    </w:tbl>
    <w:p w:rsidR="003A2208" w:rsidRPr="00B82549" w:rsidRDefault="003A2208" w:rsidP="003A2208">
      <w:pPr>
        <w:spacing w:before="120"/>
        <w:rPr>
          <w:b/>
          <w:bCs/>
          <w:sz w:val="28"/>
          <w:szCs w:val="28"/>
        </w:rPr>
      </w:pPr>
      <w:r w:rsidRPr="00B82549">
        <w:rPr>
          <w:b/>
          <w:bCs/>
          <w:sz w:val="28"/>
          <w:szCs w:val="28"/>
        </w:rPr>
        <w:t>Economic Commission for Europe</w:t>
      </w:r>
    </w:p>
    <w:p w:rsidR="003A2208" w:rsidRPr="009B6556" w:rsidRDefault="003A2208" w:rsidP="003A2208">
      <w:pPr>
        <w:spacing w:before="120"/>
        <w:rPr>
          <w:sz w:val="28"/>
          <w:szCs w:val="28"/>
        </w:rPr>
      </w:pPr>
      <w:r w:rsidRPr="009B6556">
        <w:rPr>
          <w:sz w:val="28"/>
          <w:szCs w:val="28"/>
        </w:rPr>
        <w:t>Inland Transport Committee</w:t>
      </w:r>
    </w:p>
    <w:p w:rsidR="003A2208" w:rsidRPr="00B82549" w:rsidRDefault="003A2208" w:rsidP="003A2208">
      <w:pPr>
        <w:spacing w:before="120"/>
        <w:rPr>
          <w:b/>
          <w:bCs/>
          <w:sz w:val="24"/>
          <w:szCs w:val="24"/>
        </w:rPr>
      </w:pPr>
      <w:r w:rsidRPr="00B82549">
        <w:rPr>
          <w:b/>
          <w:bCs/>
          <w:sz w:val="24"/>
          <w:szCs w:val="24"/>
        </w:rPr>
        <w:t>Working Party on Transport Trends and Economics</w:t>
      </w:r>
    </w:p>
    <w:p w:rsidR="003A2208" w:rsidRPr="00B82549" w:rsidRDefault="003A2208" w:rsidP="003A2208">
      <w:pPr>
        <w:spacing w:before="120"/>
        <w:rPr>
          <w:b/>
          <w:bCs/>
        </w:rPr>
      </w:pPr>
      <w:r w:rsidRPr="00B82549">
        <w:rPr>
          <w:b/>
          <w:bCs/>
        </w:rPr>
        <w:t>Twenty-</w:t>
      </w:r>
      <w:r w:rsidR="005459D3">
        <w:rPr>
          <w:b/>
          <w:bCs/>
        </w:rPr>
        <w:t>eight</w:t>
      </w:r>
      <w:r w:rsidR="00926039">
        <w:rPr>
          <w:b/>
          <w:bCs/>
        </w:rPr>
        <w:t>h</w:t>
      </w:r>
      <w:r w:rsidR="00C90BA1">
        <w:rPr>
          <w:b/>
          <w:bCs/>
        </w:rPr>
        <w:t xml:space="preserve"> </w:t>
      </w:r>
      <w:proofErr w:type="gramStart"/>
      <w:r w:rsidRPr="00B82549">
        <w:rPr>
          <w:b/>
          <w:bCs/>
        </w:rPr>
        <w:t>session</w:t>
      </w:r>
      <w:proofErr w:type="gramEnd"/>
    </w:p>
    <w:p w:rsidR="003A2208" w:rsidRDefault="003A2208" w:rsidP="003A2208">
      <w:r w:rsidRPr="009B6556">
        <w:t>Geneva</w:t>
      </w:r>
      <w:r>
        <w:t xml:space="preserve">, </w:t>
      </w:r>
      <w:r w:rsidR="005459D3">
        <w:t>7</w:t>
      </w:r>
      <w:r>
        <w:t>–</w:t>
      </w:r>
      <w:r w:rsidR="005459D3">
        <w:t>9</w:t>
      </w:r>
      <w:r w:rsidRPr="009B6556">
        <w:t xml:space="preserve"> September 201</w:t>
      </w:r>
      <w:r w:rsidR="005459D3">
        <w:t>5</w:t>
      </w:r>
    </w:p>
    <w:p w:rsidR="006268B3" w:rsidRDefault="006268B3" w:rsidP="006268B3">
      <w:pPr>
        <w:pStyle w:val="Default"/>
        <w:rPr>
          <w:sz w:val="20"/>
          <w:szCs w:val="20"/>
        </w:rPr>
      </w:pPr>
      <w:r>
        <w:rPr>
          <w:sz w:val="20"/>
          <w:szCs w:val="20"/>
        </w:rPr>
        <w:t xml:space="preserve">Item 1 of the provisional agenda </w:t>
      </w:r>
    </w:p>
    <w:p w:rsidR="006268B3" w:rsidRPr="009B6556" w:rsidRDefault="006268B3" w:rsidP="006268B3">
      <w:r>
        <w:rPr>
          <w:b/>
          <w:bCs/>
        </w:rPr>
        <w:t>Adoption of the agenda</w:t>
      </w:r>
    </w:p>
    <w:p w:rsidR="009B6556" w:rsidRPr="009B6556" w:rsidRDefault="00036FCB" w:rsidP="001A3FBD">
      <w:pPr>
        <w:pStyle w:val="HChG"/>
      </w:pPr>
      <w:r>
        <w:tab/>
      </w:r>
      <w:r>
        <w:tab/>
      </w:r>
      <w:r w:rsidR="007924A8">
        <w:t>Annotated p</w:t>
      </w:r>
      <w:r w:rsidR="007924A8" w:rsidRPr="009B6556">
        <w:t>rovisional agenda</w:t>
      </w:r>
      <w:r w:rsidR="007924A8">
        <w:t xml:space="preserve"> </w:t>
      </w:r>
      <w:r w:rsidR="009B6556" w:rsidRPr="009B6556">
        <w:t>for the twenty-</w:t>
      </w:r>
      <w:r w:rsidR="005459D3">
        <w:t>eight</w:t>
      </w:r>
      <w:r w:rsidR="00926039">
        <w:t>h</w:t>
      </w:r>
      <w:r w:rsidR="000F784A">
        <w:br/>
      </w:r>
      <w:r w:rsidR="009B6556" w:rsidRPr="009B6556">
        <w:t>session</w:t>
      </w:r>
      <w:r w:rsidR="001A3FBD">
        <w:rPr>
          <w:rStyle w:val="FootnoteReference"/>
        </w:rPr>
        <w:footnoteReference w:id="2"/>
      </w:r>
      <w:r w:rsidR="001A3FBD" w:rsidRPr="001A3FBD">
        <w:rPr>
          <w:rStyle w:val="FootnoteReference"/>
        </w:rPr>
        <w:t>,</w:t>
      </w:r>
      <w:r w:rsidR="001A3FBD">
        <w:t xml:space="preserve"> </w:t>
      </w:r>
      <w:r w:rsidR="001A3FBD">
        <w:rPr>
          <w:rStyle w:val="FootnoteReference"/>
        </w:rPr>
        <w:footnoteReference w:id="3"/>
      </w:r>
    </w:p>
    <w:p w:rsidR="009B6556" w:rsidRDefault="009B6556" w:rsidP="002A5CE4">
      <w:pPr>
        <w:pStyle w:val="SingleTxtG"/>
        <w:jc w:val="left"/>
      </w:pPr>
      <w:proofErr w:type="gramStart"/>
      <w:r w:rsidRPr="009B6556">
        <w:t>to</w:t>
      </w:r>
      <w:proofErr w:type="gramEnd"/>
      <w:r w:rsidRPr="009B6556">
        <w:t xml:space="preserve"> be held at the Palais des Nations, </w:t>
      </w:r>
      <w:smartTag w:uri="urn:schemas-microsoft-com:office:smarttags" w:element="place">
        <w:smartTag w:uri="urn:schemas-microsoft-com:office:smarttags" w:element="City">
          <w:r w:rsidRPr="009B6556">
            <w:t>Geneva</w:t>
          </w:r>
        </w:smartTag>
      </w:smartTag>
      <w:r>
        <w:t xml:space="preserve"> </w:t>
      </w:r>
      <w:r w:rsidRPr="009B6556">
        <w:t>s</w:t>
      </w:r>
      <w:r w:rsidR="00D555FC">
        <w:t xml:space="preserve">tarting at 10 a.m. on </w:t>
      </w:r>
      <w:r w:rsidR="00792546">
        <w:t>Monday,</w:t>
      </w:r>
      <w:r w:rsidR="00C90BA1">
        <w:t xml:space="preserve"> </w:t>
      </w:r>
      <w:r w:rsidR="002A5CE4">
        <w:br/>
      </w:r>
      <w:r w:rsidR="005459D3">
        <w:t>7</w:t>
      </w:r>
      <w:r w:rsidR="00D555FC">
        <w:t xml:space="preserve"> September 201</w:t>
      </w:r>
      <w:r w:rsidR="005459D3">
        <w:t>5</w:t>
      </w:r>
      <w:r w:rsidR="006268B3">
        <w:t>.</w:t>
      </w:r>
    </w:p>
    <w:p w:rsidR="007924A8" w:rsidRDefault="006D5B6C" w:rsidP="006D5B6C">
      <w:pPr>
        <w:pStyle w:val="HChG"/>
      </w:pPr>
      <w:r>
        <w:tab/>
        <w:t>I.</w:t>
      </w:r>
      <w:r>
        <w:tab/>
      </w:r>
      <w:r w:rsidR="007924A8" w:rsidRPr="007924A8">
        <w:t>Provisional</w:t>
      </w:r>
      <w:r w:rsidR="007924A8">
        <w:t xml:space="preserve"> agenda</w:t>
      </w:r>
    </w:p>
    <w:p w:rsidR="007924A8" w:rsidRPr="007924A8" w:rsidRDefault="007924A8" w:rsidP="007924A8">
      <w:pPr>
        <w:pStyle w:val="SingleTxtG"/>
        <w:ind w:left="1701" w:hanging="567"/>
      </w:pPr>
      <w:r w:rsidRPr="007924A8">
        <w:t>1.</w:t>
      </w:r>
      <w:r w:rsidRPr="007924A8">
        <w:tab/>
        <w:t>Adoption of the agenda</w:t>
      </w:r>
      <w:r w:rsidR="00335ECB">
        <w:t>.</w:t>
      </w:r>
    </w:p>
    <w:p w:rsidR="007924A8" w:rsidRPr="007924A8" w:rsidRDefault="007924A8" w:rsidP="007924A8">
      <w:pPr>
        <w:pStyle w:val="SingleTxtG"/>
        <w:ind w:left="1701" w:hanging="567"/>
      </w:pPr>
      <w:r w:rsidRPr="007924A8">
        <w:t>2.</w:t>
      </w:r>
      <w:r w:rsidRPr="007924A8">
        <w:tab/>
      </w:r>
      <w:r w:rsidR="005459D3">
        <w:t>W</w:t>
      </w:r>
      <w:r w:rsidR="00A65F49" w:rsidRPr="007924A8">
        <w:t>orkshop on “</w:t>
      </w:r>
      <w:r w:rsidR="005459D3">
        <w:t>Road and Rail transport corridors along Europe and Asia”</w:t>
      </w:r>
      <w:r w:rsidR="00335ECB">
        <w:t>.</w:t>
      </w:r>
    </w:p>
    <w:p w:rsidR="004824EA" w:rsidRDefault="007924A8" w:rsidP="007924A8">
      <w:pPr>
        <w:pStyle w:val="SingleTxtG"/>
        <w:ind w:left="1701" w:hanging="567"/>
      </w:pPr>
      <w:r w:rsidRPr="007924A8">
        <w:t>3.</w:t>
      </w:r>
      <w:r w:rsidRPr="007924A8">
        <w:tab/>
      </w:r>
      <w:r w:rsidR="00792546">
        <w:t xml:space="preserve">Workshop on </w:t>
      </w:r>
      <w:r w:rsidR="008B5D5B">
        <w:t>“</w:t>
      </w:r>
      <w:r w:rsidR="00547452">
        <w:t xml:space="preserve">Vulnerability and Security of Critical </w:t>
      </w:r>
      <w:r w:rsidR="008B5D5B">
        <w:t xml:space="preserve">Transport </w:t>
      </w:r>
      <w:r w:rsidR="005459D3">
        <w:t>Infrastructure”.</w:t>
      </w:r>
    </w:p>
    <w:p w:rsidR="005C227A" w:rsidRDefault="006D71BA" w:rsidP="007924A8">
      <w:pPr>
        <w:pStyle w:val="SingleTxtG"/>
        <w:ind w:left="1701" w:hanging="567"/>
      </w:pPr>
      <w:r>
        <w:t>4.</w:t>
      </w:r>
      <w:r w:rsidR="00AE666F">
        <w:tab/>
      </w:r>
      <w:r w:rsidR="00E84139" w:rsidRPr="00033404">
        <w:rPr>
          <w:color w:val="000000"/>
        </w:rPr>
        <w:t>Ports Hinterland connections</w:t>
      </w:r>
      <w:r w:rsidRPr="00033404">
        <w:rPr>
          <w:color w:val="000000"/>
        </w:rPr>
        <w:t>.</w:t>
      </w:r>
    </w:p>
    <w:p w:rsidR="007924A8" w:rsidRPr="007924A8" w:rsidRDefault="001B4909" w:rsidP="0037220B">
      <w:pPr>
        <w:pStyle w:val="SingleTxtG"/>
      </w:pPr>
      <w:r>
        <w:rPr>
          <w:noProof/>
          <w:sz w:val="28"/>
          <w:szCs w:val="28"/>
          <w:lang w:eastAsia="en-GB"/>
        </w:rPr>
        <w:drawing>
          <wp:anchor distT="0" distB="0" distL="114300" distR="114300" simplePos="0" relativeHeight="251658240" behindDoc="0" locked="0" layoutInCell="1" allowOverlap="0" wp14:anchorId="31457CB5" wp14:editId="51CDE872">
            <wp:simplePos x="0" y="0"/>
            <wp:positionH relativeFrom="margin">
              <wp:posOffset>5486705</wp:posOffset>
            </wp:positionH>
            <wp:positionV relativeFrom="margin">
              <wp:posOffset>8031480</wp:posOffset>
            </wp:positionV>
            <wp:extent cx="643255" cy="643255"/>
            <wp:effectExtent l="0" t="0" r="4445" b="4445"/>
            <wp:wrapNone/>
            <wp:docPr id="3" name="Picture 2" descr="http://undocs.org/m2/QRCode.ashx?DS=ECE/TRANS/WP.5/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NS/WP.5/57&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139">
        <w:t>5</w:t>
      </w:r>
      <w:r w:rsidR="0037220B">
        <w:t>.</w:t>
      </w:r>
      <w:r w:rsidR="0037220B">
        <w:tab/>
      </w:r>
      <w:r w:rsidR="007924A8" w:rsidRPr="007924A8">
        <w:t xml:space="preserve">Monitoring developments </w:t>
      </w:r>
      <w:r w:rsidR="0046058D">
        <w:t xml:space="preserve">in </w:t>
      </w:r>
      <w:r w:rsidR="007924A8" w:rsidRPr="007924A8">
        <w:t>pan-European transport networks</w:t>
      </w:r>
      <w:r w:rsidR="00335ECB">
        <w:t>:</w:t>
      </w:r>
    </w:p>
    <w:p w:rsidR="007924A8" w:rsidRPr="007924A8" w:rsidRDefault="007924A8" w:rsidP="007924A8">
      <w:pPr>
        <w:pStyle w:val="SingleTxtG"/>
        <w:ind w:left="2268" w:hanging="567"/>
      </w:pPr>
      <w:r w:rsidRPr="007924A8">
        <w:lastRenderedPageBreak/>
        <w:t>(a)</w:t>
      </w:r>
      <w:r w:rsidRPr="007924A8">
        <w:tab/>
        <w:t>The European Commission briefing on the progress made in develop</w:t>
      </w:r>
      <w:r w:rsidR="0046058D">
        <w:t>ing</w:t>
      </w:r>
      <w:r w:rsidRPr="007924A8">
        <w:t xml:space="preserve"> the Trans-European Transport Network</w:t>
      </w:r>
      <w:r w:rsidR="00335ECB">
        <w:t>;</w:t>
      </w:r>
    </w:p>
    <w:p w:rsidR="007924A8" w:rsidRDefault="007924A8" w:rsidP="007924A8">
      <w:pPr>
        <w:pStyle w:val="SingleTxtG"/>
        <w:ind w:left="2268" w:hanging="567"/>
      </w:pPr>
      <w:r w:rsidRPr="007924A8">
        <w:t>(b)</w:t>
      </w:r>
      <w:r w:rsidRPr="007924A8">
        <w:tab/>
        <w:t>Trans-European Motorway and Trans-European Railway projects</w:t>
      </w:r>
      <w:r w:rsidR="00335ECB">
        <w:t>.</w:t>
      </w:r>
    </w:p>
    <w:p w:rsidR="004824EA" w:rsidRPr="007924A8" w:rsidRDefault="004824EA" w:rsidP="004824EA">
      <w:pPr>
        <w:pStyle w:val="SingleTxtG"/>
        <w:ind w:left="1701" w:hanging="567"/>
      </w:pPr>
      <w:r w:rsidRPr="007924A8">
        <w:t>6.</w:t>
      </w:r>
      <w:r w:rsidRPr="007924A8">
        <w:tab/>
        <w:t>Transport in the Mediterranean Region</w:t>
      </w:r>
      <w:r>
        <w:t>:</w:t>
      </w:r>
    </w:p>
    <w:p w:rsidR="004824EA" w:rsidRPr="007924A8" w:rsidRDefault="004824EA" w:rsidP="004824EA">
      <w:pPr>
        <w:pStyle w:val="SingleTxtG"/>
        <w:ind w:left="2268" w:hanging="567"/>
      </w:pPr>
      <w:r w:rsidRPr="007924A8">
        <w:t>(a)</w:t>
      </w:r>
      <w:r w:rsidRPr="007924A8">
        <w:tab/>
        <w:t>Report of the Mediterranean Transport Study Centre</w:t>
      </w:r>
      <w:r>
        <w:t>;</w:t>
      </w:r>
    </w:p>
    <w:p w:rsidR="004824EA" w:rsidRDefault="004824EA" w:rsidP="004824EA">
      <w:pPr>
        <w:pStyle w:val="SingleTxtG"/>
        <w:ind w:left="2268" w:hanging="567"/>
      </w:pPr>
      <w:r w:rsidRPr="007924A8">
        <w:t>(b)</w:t>
      </w:r>
      <w:r w:rsidRPr="007924A8">
        <w:tab/>
        <w:t>The Euro-Mediterranean transport network</w:t>
      </w:r>
      <w:r>
        <w:t>;</w:t>
      </w:r>
    </w:p>
    <w:p w:rsidR="004824EA" w:rsidRDefault="004824EA" w:rsidP="004824EA">
      <w:pPr>
        <w:pStyle w:val="SingleTxtG"/>
        <w:ind w:left="2268" w:hanging="567"/>
      </w:pPr>
      <w:r>
        <w:t>(c)</w:t>
      </w:r>
      <w:r>
        <w:tab/>
      </w:r>
      <w:r w:rsidRPr="00145AF8">
        <w:t>Report of the Union for the Mediterranean</w:t>
      </w:r>
      <w:r>
        <w:t xml:space="preserve">; </w:t>
      </w:r>
    </w:p>
    <w:p w:rsidR="004824EA" w:rsidRPr="007924A8" w:rsidRDefault="004824EA" w:rsidP="004824EA">
      <w:pPr>
        <w:pStyle w:val="SingleTxtG"/>
        <w:ind w:left="2268" w:hanging="567"/>
      </w:pPr>
      <w:r w:rsidRPr="004824EA">
        <w:t>(d)</w:t>
      </w:r>
      <w:r w:rsidRPr="004824EA">
        <w:tab/>
        <w:t>Project for a Europe-Africa fixed link through the Strait of Gibraltar: report on activities carried out during the period 2006</w:t>
      </w:r>
      <w:r w:rsidR="005A02FE">
        <w:t>–</w:t>
      </w:r>
      <w:r w:rsidRPr="004824EA">
        <w:t>2013 and programme proposed for the period 2013–2015</w:t>
      </w:r>
      <w:r>
        <w:t>.</w:t>
      </w:r>
    </w:p>
    <w:p w:rsidR="007924A8" w:rsidRPr="007924A8" w:rsidRDefault="00EE2786" w:rsidP="007924A8">
      <w:pPr>
        <w:pStyle w:val="SingleTxtG"/>
        <w:ind w:left="1701" w:hanging="567"/>
      </w:pPr>
      <w:r>
        <w:t>7</w:t>
      </w:r>
      <w:r w:rsidR="007924A8" w:rsidRPr="007924A8">
        <w:t>.</w:t>
      </w:r>
      <w:r w:rsidR="007924A8" w:rsidRPr="007924A8">
        <w:tab/>
        <w:t>Euro-Asian Transport Links</w:t>
      </w:r>
      <w:r w:rsidR="00335ECB">
        <w:t>:</w:t>
      </w:r>
    </w:p>
    <w:p w:rsidR="007924A8" w:rsidRPr="007924A8" w:rsidRDefault="007924A8" w:rsidP="007924A8">
      <w:pPr>
        <w:pStyle w:val="SingleTxtG"/>
        <w:ind w:left="2268" w:hanging="567"/>
      </w:pPr>
      <w:r w:rsidRPr="007924A8">
        <w:t>(a)</w:t>
      </w:r>
      <w:r w:rsidRPr="007924A8">
        <w:tab/>
        <w:t xml:space="preserve">Progress </w:t>
      </w:r>
      <w:r w:rsidR="002B74CD">
        <w:t>in</w:t>
      </w:r>
      <w:r w:rsidRPr="007924A8">
        <w:t xml:space="preserve"> Euro-Asian Transport Links (EATL) work</w:t>
      </w:r>
      <w:r w:rsidR="00335ECB">
        <w:t>;</w:t>
      </w:r>
    </w:p>
    <w:p w:rsidR="007924A8" w:rsidRPr="007924A8" w:rsidRDefault="007924A8" w:rsidP="007924A8">
      <w:pPr>
        <w:pStyle w:val="SingleTxtG"/>
        <w:ind w:left="2268" w:hanging="567"/>
      </w:pPr>
      <w:r w:rsidRPr="007924A8">
        <w:t>(b)</w:t>
      </w:r>
      <w:r w:rsidRPr="007924A8">
        <w:tab/>
      </w:r>
      <w:r w:rsidRPr="007924A8">
        <w:tab/>
        <w:t>Other Euro-Asian transport initiatives</w:t>
      </w:r>
      <w:r w:rsidR="00335ECB">
        <w:t>.</w:t>
      </w:r>
    </w:p>
    <w:p w:rsidR="004824EA" w:rsidRDefault="00EE2786" w:rsidP="004824EA">
      <w:pPr>
        <w:pStyle w:val="SingleTxtG"/>
        <w:ind w:left="1701" w:hanging="567"/>
      </w:pPr>
      <w:r>
        <w:t>8</w:t>
      </w:r>
      <w:r w:rsidR="004824EA" w:rsidRPr="007924A8">
        <w:t>.</w:t>
      </w:r>
      <w:r w:rsidR="004824EA" w:rsidRPr="007924A8">
        <w:tab/>
      </w:r>
      <w:r>
        <w:t>Task force on b</w:t>
      </w:r>
      <w:r w:rsidR="004824EA">
        <w:t xml:space="preserve">enchmarking transport infrastructure construction costs; </w:t>
      </w:r>
    </w:p>
    <w:p w:rsidR="004824EA" w:rsidRDefault="004824EA" w:rsidP="007924A8">
      <w:pPr>
        <w:pStyle w:val="SingleTxtG"/>
        <w:ind w:left="1701" w:hanging="567"/>
      </w:pPr>
      <w:r>
        <w:t>9</w:t>
      </w:r>
      <w:r w:rsidRPr="007924A8">
        <w:t>.</w:t>
      </w:r>
      <w:r w:rsidRPr="007924A8">
        <w:tab/>
      </w:r>
      <w:r>
        <w:t xml:space="preserve">Group of experts on </w:t>
      </w:r>
      <w:r w:rsidR="00EE2786">
        <w:t>urban</w:t>
      </w:r>
      <w:r>
        <w:t xml:space="preserve"> mobility and Public Transport; </w:t>
      </w:r>
    </w:p>
    <w:p w:rsidR="0037220B" w:rsidRDefault="00EE2786" w:rsidP="007924A8">
      <w:pPr>
        <w:pStyle w:val="SingleTxtG"/>
        <w:ind w:left="1701" w:hanging="567"/>
      </w:pPr>
      <w:r>
        <w:t>10</w:t>
      </w:r>
      <w:r w:rsidR="007924A8" w:rsidRPr="007924A8">
        <w:t>.</w:t>
      </w:r>
      <w:r w:rsidR="007924A8" w:rsidRPr="007924A8">
        <w:tab/>
      </w:r>
      <w:r w:rsidR="0037220B">
        <w:t xml:space="preserve">Climate </w:t>
      </w:r>
      <w:r w:rsidR="00784EC7">
        <w:t xml:space="preserve">Change </w:t>
      </w:r>
      <w:r w:rsidR="000B6D96">
        <w:t>and Transport</w:t>
      </w:r>
      <w:r w:rsidR="0037220B">
        <w:t>:</w:t>
      </w:r>
    </w:p>
    <w:p w:rsidR="0037220B" w:rsidRDefault="0037220B" w:rsidP="006D71BA">
      <w:pPr>
        <w:pStyle w:val="SingleTxtG"/>
        <w:ind w:left="2268" w:hanging="567"/>
      </w:pPr>
      <w:r>
        <w:t>(a)</w:t>
      </w:r>
      <w:r>
        <w:tab/>
        <w:t xml:space="preserve">Group of Experts on </w:t>
      </w:r>
      <w:r w:rsidR="006D7570">
        <w:t>C</w:t>
      </w:r>
      <w:r>
        <w:t xml:space="preserve">limate </w:t>
      </w:r>
      <w:r w:rsidR="006D7570">
        <w:t>C</w:t>
      </w:r>
      <w:r>
        <w:t xml:space="preserve">hange </w:t>
      </w:r>
      <w:r w:rsidR="006D7570">
        <w:t>I</w:t>
      </w:r>
      <w:r>
        <w:t xml:space="preserve">mpacts and </w:t>
      </w:r>
      <w:r w:rsidR="006D7570">
        <w:t>A</w:t>
      </w:r>
      <w:r>
        <w:t xml:space="preserve">daptation </w:t>
      </w:r>
      <w:r w:rsidR="00171E81">
        <w:t xml:space="preserve">for </w:t>
      </w:r>
      <w:r>
        <w:t xml:space="preserve">Transport </w:t>
      </w:r>
      <w:r w:rsidR="006D7570">
        <w:t>N</w:t>
      </w:r>
      <w:r w:rsidR="006D71BA">
        <w:t>etworks</w:t>
      </w:r>
      <w:r w:rsidR="007879B5">
        <w:t xml:space="preserve"> and nodes</w:t>
      </w:r>
      <w:r w:rsidR="006D71BA">
        <w:t>;</w:t>
      </w:r>
    </w:p>
    <w:p w:rsidR="0037220B" w:rsidRDefault="0037220B" w:rsidP="006D71BA">
      <w:pPr>
        <w:pStyle w:val="SingleTxtG"/>
        <w:ind w:left="2268" w:hanging="567"/>
      </w:pPr>
      <w:r>
        <w:t>(b)</w:t>
      </w:r>
      <w:r>
        <w:tab/>
        <w:t xml:space="preserve">Climate Change mitigation: UNECE </w:t>
      </w:r>
      <w:proofErr w:type="spellStart"/>
      <w:r>
        <w:t>ForFITS</w:t>
      </w:r>
      <w:proofErr w:type="spellEnd"/>
      <w:r>
        <w:t xml:space="preserve"> </w:t>
      </w:r>
      <w:r w:rsidR="006D71BA">
        <w:t>tool;</w:t>
      </w:r>
    </w:p>
    <w:p w:rsidR="00CF7860" w:rsidRDefault="00CF7860" w:rsidP="006D71BA">
      <w:pPr>
        <w:pStyle w:val="SingleTxtG"/>
        <w:ind w:left="2268" w:hanging="567"/>
      </w:pPr>
      <w:r>
        <w:t>(c)</w:t>
      </w:r>
      <w:r>
        <w:tab/>
        <w:t>Diesel engine exhausts</w:t>
      </w:r>
      <w:r w:rsidR="002B74CD">
        <w:t>.</w:t>
      </w:r>
    </w:p>
    <w:p w:rsidR="007924A8" w:rsidRPr="007924A8" w:rsidRDefault="00EE2786" w:rsidP="007924A8">
      <w:pPr>
        <w:pStyle w:val="SingleTxtG"/>
        <w:ind w:left="1701" w:hanging="567"/>
      </w:pPr>
      <w:r>
        <w:t>11</w:t>
      </w:r>
      <w:r w:rsidR="00CF7860">
        <w:t>.</w:t>
      </w:r>
      <w:r w:rsidR="00CF7860">
        <w:tab/>
      </w:r>
      <w:r w:rsidR="007924A8" w:rsidRPr="007924A8">
        <w:t>Review of the transport situation, transport trends and economics in ECE region</w:t>
      </w:r>
      <w:r w:rsidR="00335ECB">
        <w:t>:</w:t>
      </w:r>
    </w:p>
    <w:p w:rsidR="00335ECB" w:rsidRDefault="007924A8" w:rsidP="00335ECB">
      <w:pPr>
        <w:pStyle w:val="SingleTxtG"/>
        <w:ind w:left="2268" w:hanging="567"/>
      </w:pPr>
      <w:r w:rsidRPr="007924A8">
        <w:t>(a)</w:t>
      </w:r>
      <w:r w:rsidRPr="007924A8">
        <w:tab/>
      </w:r>
      <w:r w:rsidR="00256F89" w:rsidRPr="00256F89">
        <w:t>Transport Trends and Economics 2012–2013: Sustainable Urban mobility and public transport</w:t>
      </w:r>
      <w:r w:rsidR="00335ECB">
        <w:t>;</w:t>
      </w:r>
    </w:p>
    <w:p w:rsidR="00CF7860" w:rsidRDefault="00CF7860" w:rsidP="00335ECB">
      <w:pPr>
        <w:pStyle w:val="SingleTxtG"/>
        <w:ind w:left="2268" w:hanging="567"/>
      </w:pPr>
      <w:r>
        <w:t>(</w:t>
      </w:r>
      <w:r w:rsidR="00784EC7">
        <w:t>b</w:t>
      </w:r>
      <w:r>
        <w:t>)</w:t>
      </w:r>
      <w:r>
        <w:tab/>
        <w:t>Transport Trends and Economics 2013</w:t>
      </w:r>
      <w:r w:rsidR="00433886">
        <w:t>–</w:t>
      </w:r>
      <w:r>
        <w:t>201</w:t>
      </w:r>
      <w:r w:rsidR="002E5F7C">
        <w:t>5</w:t>
      </w:r>
      <w:r>
        <w:t>: Fina</w:t>
      </w:r>
      <w:r w:rsidR="006D71BA">
        <w:t>ncing Transport Infrastructure;</w:t>
      </w:r>
    </w:p>
    <w:p w:rsidR="007924A8" w:rsidRPr="007924A8" w:rsidRDefault="007924A8" w:rsidP="007924A8">
      <w:pPr>
        <w:pStyle w:val="SingleTxtG"/>
        <w:ind w:left="2268" w:hanging="567"/>
      </w:pPr>
      <w:r w:rsidRPr="007924A8">
        <w:t>(</w:t>
      </w:r>
      <w:r w:rsidR="00784EC7">
        <w:t>c</w:t>
      </w:r>
      <w:r w:rsidRPr="007924A8">
        <w:t>)</w:t>
      </w:r>
      <w:r w:rsidRPr="007924A8">
        <w:tab/>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road sector</w:t>
      </w:r>
      <w:r w:rsidR="00335ECB">
        <w:t>;</w:t>
      </w:r>
    </w:p>
    <w:p w:rsidR="007924A8" w:rsidRDefault="007924A8" w:rsidP="007924A8">
      <w:pPr>
        <w:pStyle w:val="SingleTxtG"/>
        <w:ind w:left="2268" w:hanging="567"/>
      </w:pPr>
      <w:r w:rsidRPr="007924A8">
        <w:t>(</w:t>
      </w:r>
      <w:r w:rsidR="00E84139">
        <w:t>d</w:t>
      </w:r>
      <w:r w:rsidRPr="007924A8">
        <w:t>)</w:t>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rail sector</w:t>
      </w:r>
      <w:r w:rsidR="00C322DA">
        <w:t>;</w:t>
      </w:r>
    </w:p>
    <w:p w:rsidR="00C322DA" w:rsidRDefault="00C322DA" w:rsidP="007924A8">
      <w:pPr>
        <w:pStyle w:val="SingleTxtG"/>
        <w:ind w:left="2268" w:hanging="567"/>
      </w:pPr>
      <w:r>
        <w:t>(</w:t>
      </w:r>
      <w:r w:rsidR="002E5F7C">
        <w:t>e</w:t>
      </w:r>
      <w:r>
        <w:t>)</w:t>
      </w:r>
      <w:r>
        <w:tab/>
        <w:t>Transport Trends and Challenges in the inland waterways sector</w:t>
      </w:r>
      <w:r w:rsidR="002E5F7C">
        <w:t>;</w:t>
      </w:r>
    </w:p>
    <w:p w:rsidR="002E5F7C" w:rsidRPr="007924A8" w:rsidRDefault="002E5F7C" w:rsidP="007924A8">
      <w:pPr>
        <w:pStyle w:val="SingleTxtG"/>
        <w:ind w:left="2268" w:hanging="567"/>
      </w:pPr>
      <w:r>
        <w:t>(f)</w:t>
      </w:r>
      <w:r>
        <w:tab/>
        <w:t>UNECE Transport statistics analysis</w:t>
      </w:r>
      <w:r w:rsidR="00015A6F">
        <w:t>.</w:t>
      </w:r>
    </w:p>
    <w:p w:rsidR="007924A8" w:rsidRDefault="00EE2786" w:rsidP="007924A8">
      <w:pPr>
        <w:pStyle w:val="SingleTxtG"/>
        <w:ind w:left="1701" w:hanging="567"/>
      </w:pPr>
      <w:r>
        <w:t>12</w:t>
      </w:r>
      <w:r w:rsidR="007924A8" w:rsidRPr="007924A8">
        <w:t>.</w:t>
      </w:r>
      <w:r w:rsidR="007924A8" w:rsidRPr="007924A8">
        <w:tab/>
        <w:t xml:space="preserve">Technical assistance to countries with </w:t>
      </w:r>
      <w:r w:rsidR="00BF7EA0" w:rsidRPr="007924A8">
        <w:t xml:space="preserve">economies </w:t>
      </w:r>
      <w:r w:rsidR="00BF7EA0">
        <w:t xml:space="preserve">in </w:t>
      </w:r>
      <w:r w:rsidR="007924A8" w:rsidRPr="007924A8">
        <w:t>transition</w:t>
      </w:r>
      <w:r w:rsidR="00335ECB">
        <w:t>.</w:t>
      </w:r>
    </w:p>
    <w:p w:rsidR="00EE2786" w:rsidRPr="007924A8" w:rsidRDefault="009C14E6" w:rsidP="00EE2786">
      <w:pPr>
        <w:pStyle w:val="SingleTxtG"/>
        <w:ind w:left="1701" w:hanging="567"/>
      </w:pPr>
      <w:r>
        <w:t>13</w:t>
      </w:r>
      <w:r w:rsidR="00EE2786" w:rsidRPr="007924A8">
        <w:t>.</w:t>
      </w:r>
      <w:r w:rsidR="00EE2786" w:rsidRPr="007924A8">
        <w:tab/>
        <w:t>Transport and Competitiveness</w:t>
      </w:r>
      <w:r w:rsidR="00EE2786">
        <w:t>.</w:t>
      </w:r>
    </w:p>
    <w:p w:rsidR="007924A8" w:rsidRDefault="00C453C0" w:rsidP="007924A8">
      <w:pPr>
        <w:pStyle w:val="SingleTxtG"/>
        <w:ind w:left="1701" w:hanging="567"/>
      </w:pPr>
      <w:r>
        <w:t>1</w:t>
      </w:r>
      <w:r w:rsidR="009C14E6">
        <w:t>4</w:t>
      </w:r>
      <w:r>
        <w:t>.</w:t>
      </w:r>
      <w:r>
        <w:tab/>
      </w:r>
      <w:r w:rsidR="007924A8" w:rsidRPr="007924A8">
        <w:t>Activities of United Nations Economic Commission for Europe bodies of interest to the Working Party</w:t>
      </w:r>
      <w:r w:rsidR="00335ECB">
        <w:t>.</w:t>
      </w:r>
    </w:p>
    <w:p w:rsidR="009C14E6" w:rsidRDefault="009C14E6" w:rsidP="009C14E6">
      <w:pPr>
        <w:pStyle w:val="SingleTxtG"/>
        <w:ind w:left="1701" w:hanging="567"/>
      </w:pPr>
      <w:r>
        <w:t>15.</w:t>
      </w:r>
      <w:r>
        <w:tab/>
      </w:r>
      <w:r w:rsidRPr="00C453C0">
        <w:t>Programme of work and biennial evaluation for 201</w:t>
      </w:r>
      <w:r>
        <w:t>6–</w:t>
      </w:r>
      <w:r w:rsidRPr="00C453C0">
        <w:t>201</w:t>
      </w:r>
      <w:r>
        <w:t>7</w:t>
      </w:r>
    </w:p>
    <w:p w:rsidR="00A91FAE" w:rsidRDefault="00A91FAE" w:rsidP="00A91FAE">
      <w:pPr>
        <w:pStyle w:val="SingleTxtG"/>
        <w:ind w:left="1701"/>
      </w:pPr>
      <w:r>
        <w:t>(a) Draft programme of work and biennial evaluation for 2016–2017;</w:t>
      </w:r>
    </w:p>
    <w:p w:rsidR="00A91FAE" w:rsidRDefault="00A91FAE" w:rsidP="00A91FAE">
      <w:pPr>
        <w:pStyle w:val="SingleTxtG"/>
        <w:ind w:left="1701"/>
      </w:pPr>
      <w:r>
        <w:t>(b) Draft work plan for 2016–2020.</w:t>
      </w:r>
    </w:p>
    <w:p w:rsidR="007924A8" w:rsidRPr="007924A8" w:rsidRDefault="007924A8" w:rsidP="007924A8">
      <w:pPr>
        <w:pStyle w:val="SingleTxtG"/>
        <w:ind w:left="1701" w:hanging="567"/>
      </w:pPr>
      <w:r w:rsidRPr="007924A8">
        <w:t>1</w:t>
      </w:r>
      <w:r w:rsidR="004670C4">
        <w:t>6</w:t>
      </w:r>
      <w:r w:rsidRPr="007924A8">
        <w:t>.</w:t>
      </w:r>
      <w:r w:rsidRPr="007924A8">
        <w:tab/>
        <w:t>Other business</w:t>
      </w:r>
      <w:r w:rsidR="00335ECB">
        <w:t>.</w:t>
      </w:r>
    </w:p>
    <w:p w:rsidR="007924A8" w:rsidRPr="007924A8" w:rsidRDefault="007924A8" w:rsidP="007924A8">
      <w:pPr>
        <w:pStyle w:val="SingleTxtG"/>
        <w:ind w:left="1701" w:hanging="567"/>
      </w:pPr>
      <w:r w:rsidRPr="007924A8">
        <w:t>1</w:t>
      </w:r>
      <w:r w:rsidR="004670C4">
        <w:t>7</w:t>
      </w:r>
      <w:r w:rsidRPr="007924A8">
        <w:t>.</w:t>
      </w:r>
      <w:r w:rsidRPr="007924A8">
        <w:tab/>
        <w:t>Date of next session</w:t>
      </w:r>
      <w:r w:rsidR="00335ECB">
        <w:t>.</w:t>
      </w:r>
    </w:p>
    <w:p w:rsidR="000E3B62" w:rsidRDefault="007924A8" w:rsidP="007924A8">
      <w:pPr>
        <w:pStyle w:val="SingleTxtG"/>
        <w:ind w:left="1701" w:hanging="567"/>
      </w:pPr>
      <w:r w:rsidRPr="007924A8">
        <w:t>1</w:t>
      </w:r>
      <w:r w:rsidR="004670C4">
        <w:t>8</w:t>
      </w:r>
      <w:r w:rsidRPr="007924A8">
        <w:t>.</w:t>
      </w:r>
      <w:r w:rsidRPr="007924A8">
        <w:tab/>
        <w:t>Adoption of the report</w:t>
      </w:r>
      <w:r w:rsidR="00335ECB">
        <w:t>.</w:t>
      </w:r>
    </w:p>
    <w:p w:rsidR="007924A8" w:rsidRPr="002A5CE4" w:rsidRDefault="000E3B62" w:rsidP="002A5CE4">
      <w:pPr>
        <w:pStyle w:val="HChG"/>
      </w:pPr>
      <w:r>
        <w:br w:type="page"/>
      </w:r>
      <w:r w:rsidR="007924A8" w:rsidRPr="002A5CE4">
        <w:lastRenderedPageBreak/>
        <w:tab/>
        <w:t>II.</w:t>
      </w:r>
      <w:r w:rsidR="007924A8" w:rsidRPr="002A5CE4">
        <w:tab/>
        <w:t>Annotations</w:t>
      </w:r>
    </w:p>
    <w:p w:rsidR="009B6556" w:rsidRPr="009B6556" w:rsidRDefault="002871DA" w:rsidP="002871DA">
      <w:pPr>
        <w:pStyle w:val="H1G"/>
      </w:pPr>
      <w:r>
        <w:tab/>
        <w:t>1.</w:t>
      </w:r>
      <w:r w:rsidR="009B6556" w:rsidRPr="009B6556">
        <w:tab/>
        <w:t>Adoption of the agenda</w:t>
      </w:r>
    </w:p>
    <w:p w:rsidR="003537AF" w:rsidRDefault="003537AF" w:rsidP="003537AF">
      <w:pPr>
        <w:pStyle w:val="SingleTxtG"/>
      </w:pPr>
      <w:r w:rsidRPr="003537AF">
        <w:t>In accordance with the Commission’s rules of procedure, the first item on the provisional agenda is its adoption.</w:t>
      </w:r>
    </w:p>
    <w:p w:rsidR="003C111B" w:rsidRPr="00737099" w:rsidRDefault="009B6556" w:rsidP="00737099">
      <w:pPr>
        <w:pStyle w:val="SingleTxtG"/>
        <w:rPr>
          <w:b/>
          <w:bCs/>
        </w:rPr>
      </w:pPr>
      <w:r w:rsidRPr="00737099">
        <w:rPr>
          <w:b/>
          <w:bCs/>
        </w:rPr>
        <w:t>Documentation</w:t>
      </w:r>
    </w:p>
    <w:p w:rsidR="009B6556" w:rsidRPr="009B6556" w:rsidRDefault="009B6556" w:rsidP="00C06318">
      <w:pPr>
        <w:pStyle w:val="SingleTxtG"/>
      </w:pPr>
      <w:r w:rsidRPr="009B6556">
        <w:t>ECE/</w:t>
      </w:r>
      <w:r w:rsidRPr="002F396E">
        <w:t>TRANS/WP.5/</w:t>
      </w:r>
      <w:r w:rsidR="006D71BA">
        <w:t>5</w:t>
      </w:r>
      <w:r w:rsidR="00CC58B8">
        <w:t>7</w:t>
      </w:r>
    </w:p>
    <w:p w:rsidR="00C90BA1" w:rsidRPr="004C5A51" w:rsidRDefault="00737099" w:rsidP="002E5F7C">
      <w:pPr>
        <w:pStyle w:val="H1G"/>
        <w:jc w:val="both"/>
        <w:rPr>
          <w:color w:val="000000"/>
        </w:rPr>
      </w:pPr>
      <w:r w:rsidRPr="00736FAF">
        <w:tab/>
        <w:t>2</w:t>
      </w:r>
      <w:r w:rsidR="003C111B" w:rsidRPr="00736FAF">
        <w:t>.</w:t>
      </w:r>
      <w:r w:rsidR="003C111B" w:rsidRPr="00736FAF">
        <w:tab/>
      </w:r>
      <w:r w:rsidR="00A91FAE" w:rsidRPr="00A91FAE">
        <w:t xml:space="preserve">Workshop on “Road and Rail transport corridors along Europe and </w:t>
      </w:r>
      <w:r w:rsidR="002A5CE4">
        <w:rPr>
          <w:color w:val="000000"/>
        </w:rPr>
        <w:t>Asia”</w:t>
      </w:r>
    </w:p>
    <w:p w:rsidR="00632B70" w:rsidRPr="004C5A51" w:rsidRDefault="00632B70" w:rsidP="006D71BA">
      <w:pPr>
        <w:pStyle w:val="SingleTxtG"/>
        <w:rPr>
          <w:color w:val="000000"/>
        </w:rPr>
      </w:pPr>
      <w:r w:rsidRPr="004C5A51">
        <w:rPr>
          <w:color w:val="000000"/>
        </w:rPr>
        <w:t xml:space="preserve">At this workshop, </w:t>
      </w:r>
      <w:r w:rsidR="00CC58B8" w:rsidRPr="004C5A51">
        <w:rPr>
          <w:color w:val="000000"/>
        </w:rPr>
        <w:t xml:space="preserve">representatives from different initiatives and projects (program of workshop </w:t>
      </w:r>
      <w:r w:rsidR="00256F89">
        <w:rPr>
          <w:color w:val="000000"/>
        </w:rPr>
        <w:t xml:space="preserve">is in </w:t>
      </w:r>
      <w:r w:rsidR="00CC58B8" w:rsidRPr="004C5A51">
        <w:rPr>
          <w:color w:val="000000"/>
        </w:rPr>
        <w:t>Informal document No</w:t>
      </w:r>
      <w:r w:rsidR="005A02FE">
        <w:rPr>
          <w:color w:val="000000"/>
        </w:rPr>
        <w:t>.</w:t>
      </w:r>
      <w:r w:rsidR="00CC58B8" w:rsidRPr="004C5A51">
        <w:rPr>
          <w:color w:val="000000"/>
        </w:rPr>
        <w:t xml:space="preserve"> 1) on corridors development along Europe and Asia </w:t>
      </w:r>
      <w:r w:rsidR="002E5F7C" w:rsidRPr="004C5A51">
        <w:rPr>
          <w:color w:val="000000"/>
        </w:rPr>
        <w:t xml:space="preserve">as well as experts </w:t>
      </w:r>
      <w:r w:rsidR="00CC58B8" w:rsidRPr="004C5A51">
        <w:rPr>
          <w:color w:val="000000"/>
        </w:rPr>
        <w:t xml:space="preserve">from International Financial Institutions </w:t>
      </w:r>
      <w:r w:rsidRPr="004C5A51">
        <w:rPr>
          <w:color w:val="000000"/>
        </w:rPr>
        <w:t xml:space="preserve">will have the opportunity to present </w:t>
      </w:r>
      <w:r w:rsidR="00CC58B8" w:rsidRPr="004C5A51">
        <w:rPr>
          <w:color w:val="000000"/>
        </w:rPr>
        <w:t xml:space="preserve">and share </w:t>
      </w:r>
      <w:r w:rsidRPr="004C5A51">
        <w:rPr>
          <w:color w:val="000000"/>
        </w:rPr>
        <w:t xml:space="preserve">their </w:t>
      </w:r>
      <w:r w:rsidR="00CC58B8" w:rsidRPr="004C5A51">
        <w:rPr>
          <w:color w:val="000000"/>
        </w:rPr>
        <w:t xml:space="preserve">corridors development </w:t>
      </w:r>
      <w:r w:rsidR="002E5F7C" w:rsidRPr="004C5A51">
        <w:rPr>
          <w:color w:val="000000"/>
        </w:rPr>
        <w:t>case studies and good practices</w:t>
      </w:r>
      <w:r w:rsidR="00CC58B8" w:rsidRPr="004C5A51">
        <w:rPr>
          <w:color w:val="000000"/>
        </w:rPr>
        <w:t>. The workshop will take stock of initiatives by Governments and Regional International Organizations on development of international and regional transport corridors, their management, investment projects as well as their initiatives to eliminate border crossings delays and infrastructure missing links. The main objective is to bring together all decision- and policy-makers and experts related to corridors development and management to discuss challenges and new development concepts as well as agree on possible future activities and concerted actions.</w:t>
      </w:r>
    </w:p>
    <w:p w:rsidR="00263657" w:rsidRPr="004C5A51" w:rsidRDefault="008651E1" w:rsidP="00C06561">
      <w:pPr>
        <w:pStyle w:val="SingleTxtG"/>
        <w:rPr>
          <w:color w:val="000000"/>
        </w:rPr>
      </w:pPr>
      <w:r w:rsidRPr="004C5A51">
        <w:rPr>
          <w:color w:val="000000"/>
        </w:rPr>
        <w:t>The Working Party on Transport Trends and Economics</w:t>
      </w:r>
      <w:r w:rsidR="005A02FE">
        <w:rPr>
          <w:color w:val="000000"/>
        </w:rPr>
        <w:t xml:space="preserve"> (WP.5)</w:t>
      </w:r>
      <w:r w:rsidRPr="004C5A51">
        <w:rPr>
          <w:color w:val="000000"/>
        </w:rPr>
        <w:t xml:space="preserve"> </w:t>
      </w:r>
      <w:r w:rsidR="00263657" w:rsidRPr="004C5A51">
        <w:rPr>
          <w:color w:val="000000"/>
        </w:rPr>
        <w:t>may wish to consider p</w:t>
      </w:r>
      <w:r w:rsidR="00015103" w:rsidRPr="004C5A51">
        <w:rPr>
          <w:color w:val="000000"/>
        </w:rPr>
        <w:t>resentations by invited experts.</w:t>
      </w:r>
      <w:r w:rsidR="00263657" w:rsidRPr="004C5A51">
        <w:rPr>
          <w:color w:val="000000"/>
        </w:rPr>
        <w:t xml:space="preserve"> The Working Party may wish to </w:t>
      </w:r>
      <w:r w:rsidR="00015103" w:rsidRPr="004C5A51">
        <w:rPr>
          <w:color w:val="000000"/>
        </w:rPr>
        <w:t xml:space="preserve">review, discuss and </w:t>
      </w:r>
      <w:r w:rsidR="00263657" w:rsidRPr="004C5A51">
        <w:rPr>
          <w:color w:val="000000"/>
        </w:rPr>
        <w:t>adopt conclusions that reflect the presentations and subsequent discussions of workshop participants.</w:t>
      </w:r>
    </w:p>
    <w:p w:rsidR="00263657" w:rsidRPr="00256F89" w:rsidRDefault="00263657" w:rsidP="006D71BA">
      <w:pPr>
        <w:pStyle w:val="SingleTxtG"/>
        <w:rPr>
          <w:b/>
        </w:rPr>
      </w:pPr>
      <w:r w:rsidRPr="00256F89">
        <w:rPr>
          <w:b/>
        </w:rPr>
        <w:t>Documentation</w:t>
      </w:r>
    </w:p>
    <w:p w:rsidR="006F4A50" w:rsidRPr="00256F89" w:rsidRDefault="00C06561" w:rsidP="006D71BA">
      <w:pPr>
        <w:pStyle w:val="SingleTxtG"/>
      </w:pPr>
      <w:r w:rsidRPr="006D71BA">
        <w:t>Informal</w:t>
      </w:r>
      <w:r w:rsidRPr="00256F89">
        <w:t xml:space="preserve"> document No. 1</w:t>
      </w:r>
      <w:r w:rsidR="00076612" w:rsidRPr="00256F89">
        <w:t xml:space="preserve"> </w:t>
      </w:r>
    </w:p>
    <w:p w:rsidR="007F3C99" w:rsidRPr="00015A6F" w:rsidRDefault="006D71BA" w:rsidP="00076612">
      <w:pPr>
        <w:pStyle w:val="H1G"/>
        <w:keepNext w:val="0"/>
        <w:keepLines w:val="0"/>
        <w:widowControl w:val="0"/>
        <w:jc w:val="both"/>
      </w:pPr>
      <w:r w:rsidRPr="00256F89">
        <w:tab/>
      </w:r>
      <w:r w:rsidR="007F3C99" w:rsidRPr="000F784A">
        <w:t>3.</w:t>
      </w:r>
      <w:r w:rsidR="007F3C99" w:rsidRPr="000F784A">
        <w:tab/>
      </w:r>
      <w:r w:rsidR="00A91FAE" w:rsidRPr="00A91FAE">
        <w:t>Workshop on “</w:t>
      </w:r>
      <w:r w:rsidR="00547452" w:rsidRPr="00547452">
        <w:t>Vulnerability and Security of Critical Transport Infrastructure</w:t>
      </w:r>
      <w:r w:rsidR="002A5CE4">
        <w:t>”</w:t>
      </w:r>
    </w:p>
    <w:p w:rsidR="00817144" w:rsidRPr="002A5CE4" w:rsidRDefault="00817144" w:rsidP="002A5CE4">
      <w:pPr>
        <w:pStyle w:val="SingleTxtG"/>
      </w:pPr>
      <w:r w:rsidRPr="002A5CE4">
        <w:t xml:space="preserve">In 2010, the Inland Transport Committee (ECE/TRANS/208, para. 91) recommended that the UNECE Transport Division — in partnership with member States, international organizations, private sector, and academia — continue its work aimed at enhancing inland transport security, in particular, by organizing events to exchange information and share best practices. Based on this mandate a workshop on </w:t>
      </w:r>
      <w:r w:rsidR="00547452" w:rsidRPr="002A5CE4">
        <w:t xml:space="preserve">vulnerability and security of critical transport infrastructure </w:t>
      </w:r>
      <w:r w:rsidRPr="002A5CE4">
        <w:t>will be organized during the session of the Working Party.</w:t>
      </w:r>
      <w:r w:rsidR="00547452" w:rsidRPr="002A5CE4">
        <w:t xml:space="preserve"> </w:t>
      </w:r>
      <w:r w:rsidR="00256F89">
        <w:t>The outcome of the</w:t>
      </w:r>
      <w:r w:rsidR="00547452" w:rsidRPr="002A5CE4">
        <w:t xml:space="preserve"> workshop will</w:t>
      </w:r>
      <w:r w:rsidR="00256F89">
        <w:t xml:space="preserve"> be a </w:t>
      </w:r>
      <w:r w:rsidR="00547452" w:rsidRPr="002A5CE4">
        <w:t>contribut</w:t>
      </w:r>
      <w:r w:rsidR="00256F89">
        <w:t>ion</w:t>
      </w:r>
      <w:r w:rsidR="00547452" w:rsidRPr="002A5CE4">
        <w:t xml:space="preserve"> to the </w:t>
      </w:r>
      <w:r w:rsidR="00256F89">
        <w:t>Inland Transport S</w:t>
      </w:r>
      <w:r w:rsidR="00547452" w:rsidRPr="002A5CE4">
        <w:t xml:space="preserve">ecurity </w:t>
      </w:r>
      <w:r w:rsidR="00256F89">
        <w:t>F</w:t>
      </w:r>
      <w:r w:rsidR="00547452" w:rsidRPr="002A5CE4">
        <w:t xml:space="preserve">orum </w:t>
      </w:r>
      <w:r w:rsidR="00256F89">
        <w:t>of the</w:t>
      </w:r>
      <w:r w:rsidR="00256F89" w:rsidRPr="00256F89">
        <w:t xml:space="preserve"> Inland Transport Committee</w:t>
      </w:r>
      <w:r w:rsidR="00256F89">
        <w:t xml:space="preserve"> (ITC)</w:t>
      </w:r>
      <w:r w:rsidR="00547452" w:rsidRPr="002A5CE4">
        <w:t>.</w:t>
      </w:r>
    </w:p>
    <w:p w:rsidR="00A91FAE" w:rsidRPr="002A5CE4" w:rsidRDefault="00547452" w:rsidP="002A5CE4">
      <w:pPr>
        <w:pStyle w:val="SingleTxtG"/>
      </w:pPr>
      <w:r w:rsidRPr="002A5CE4">
        <w:t xml:space="preserve">Terrorist attacks and criminal activities can all disrupt the infrastructure on which we depend in our daily lives. This infrastructure – often called "critical infrastructure" - includes installations in the transport fields ranging from intermodal hubs and freight villages to rail </w:t>
      </w:r>
      <w:r w:rsidR="00256F89">
        <w:t xml:space="preserve">and road bridges and </w:t>
      </w:r>
      <w:r w:rsidRPr="002A5CE4">
        <w:t xml:space="preserve">tunnels. </w:t>
      </w:r>
      <w:r w:rsidR="00817144" w:rsidRPr="002A5CE4">
        <w:t xml:space="preserve">Representatives from Governments and international organizations </w:t>
      </w:r>
      <w:r w:rsidR="007551AA" w:rsidRPr="002A5CE4">
        <w:t>(program of workshop</w:t>
      </w:r>
      <w:r w:rsidR="00256F89">
        <w:t xml:space="preserve"> is in</w:t>
      </w:r>
      <w:r w:rsidR="007551AA" w:rsidRPr="002A5CE4">
        <w:t xml:space="preserve"> informal document No</w:t>
      </w:r>
      <w:r w:rsidR="005A02FE">
        <w:t>.</w:t>
      </w:r>
      <w:r w:rsidR="007551AA" w:rsidRPr="002A5CE4">
        <w:t xml:space="preserve"> 2) </w:t>
      </w:r>
      <w:r w:rsidR="00817144" w:rsidRPr="002A5CE4">
        <w:t>specialized on transport infrastructure security will share</w:t>
      </w:r>
      <w:r w:rsidR="00256F89">
        <w:t xml:space="preserve"> their </w:t>
      </w:r>
      <w:r w:rsidR="00817144" w:rsidRPr="002A5CE4">
        <w:t xml:space="preserve">experience and </w:t>
      </w:r>
      <w:r w:rsidR="007551AA" w:rsidRPr="002A5CE4">
        <w:t>good practices on how to further secure transport infrastructure.</w:t>
      </w:r>
    </w:p>
    <w:p w:rsidR="007551AA" w:rsidRPr="007551AA" w:rsidRDefault="007551AA" w:rsidP="002A5CE4">
      <w:pPr>
        <w:pStyle w:val="SingleTxtG"/>
      </w:pPr>
      <w:r w:rsidRPr="007551AA">
        <w:lastRenderedPageBreak/>
        <w:t>The Working Party on Transport Trends and Economics may wish to consider presentations by invited experts. The Working Party may wish to review, discuss and adopt conclusions that reflect the presentations and subsequent discussions of workshop participants.</w:t>
      </w:r>
    </w:p>
    <w:p w:rsidR="007551AA" w:rsidRPr="00256F89" w:rsidRDefault="00DF70AD" w:rsidP="00076612">
      <w:pPr>
        <w:pStyle w:val="H23G"/>
        <w:keepNext w:val="0"/>
        <w:keepLines w:val="0"/>
        <w:widowControl w:val="0"/>
        <w:rPr>
          <w:lang w:val="fr-CH"/>
        </w:rPr>
      </w:pPr>
      <w:r>
        <w:tab/>
      </w:r>
      <w:r>
        <w:tab/>
      </w:r>
      <w:r w:rsidR="003164BF" w:rsidRPr="00256F89">
        <w:rPr>
          <w:lang w:val="fr-CH"/>
        </w:rPr>
        <w:t>Documentation</w:t>
      </w:r>
      <w:r w:rsidR="007551AA" w:rsidRPr="00256F89">
        <w:rPr>
          <w:lang w:val="fr-CH"/>
        </w:rPr>
        <w:t xml:space="preserve"> </w:t>
      </w:r>
    </w:p>
    <w:p w:rsidR="007F3C99" w:rsidRDefault="003164BF" w:rsidP="00076612">
      <w:pPr>
        <w:pStyle w:val="SingleTxtG"/>
        <w:widowControl w:val="0"/>
        <w:rPr>
          <w:lang w:val="fr-CH"/>
        </w:rPr>
      </w:pPr>
      <w:r w:rsidRPr="00256F89">
        <w:rPr>
          <w:lang w:val="fr-CH"/>
        </w:rPr>
        <w:t xml:space="preserve">Informal document No. </w:t>
      </w:r>
      <w:r w:rsidR="007551AA" w:rsidRPr="00256F89">
        <w:rPr>
          <w:lang w:val="fr-CH"/>
        </w:rPr>
        <w:t>2</w:t>
      </w:r>
    </w:p>
    <w:p w:rsidR="00784EC7" w:rsidRPr="00256F89" w:rsidRDefault="00C06561" w:rsidP="006924E8">
      <w:pPr>
        <w:pStyle w:val="H1G"/>
        <w:jc w:val="both"/>
        <w:rPr>
          <w:lang w:val="fr-CH"/>
        </w:rPr>
      </w:pPr>
      <w:r w:rsidRPr="0018346C">
        <w:rPr>
          <w:lang w:val="fr-CH"/>
        </w:rPr>
        <w:tab/>
      </w:r>
      <w:r w:rsidR="006924E8" w:rsidRPr="00256F89">
        <w:rPr>
          <w:lang w:val="fr-CH"/>
        </w:rPr>
        <w:t>4</w:t>
      </w:r>
      <w:r w:rsidRPr="00256F89">
        <w:rPr>
          <w:lang w:val="fr-CH"/>
        </w:rPr>
        <w:t>.</w:t>
      </w:r>
      <w:r w:rsidRPr="00256F89">
        <w:rPr>
          <w:lang w:val="fr-CH"/>
        </w:rPr>
        <w:tab/>
      </w:r>
      <w:r w:rsidR="006924E8" w:rsidRPr="00256F89">
        <w:rPr>
          <w:lang w:val="fr-CH"/>
        </w:rPr>
        <w:t xml:space="preserve">Ports Hinterland connections </w:t>
      </w:r>
    </w:p>
    <w:p w:rsidR="00B252DF" w:rsidRPr="004C5A51" w:rsidRDefault="00AF5D10" w:rsidP="00B252DF">
      <w:pPr>
        <w:pStyle w:val="SingleTxtG"/>
        <w:rPr>
          <w:color w:val="000000"/>
        </w:rPr>
      </w:pPr>
      <w:r w:rsidRPr="004C5A51">
        <w:rPr>
          <w:color w:val="000000"/>
        </w:rPr>
        <w:t xml:space="preserve">The Working Party may wish to recall that at its last year’s session took note of the ports hinterland connections observatory prepared by </w:t>
      </w:r>
      <w:proofErr w:type="spellStart"/>
      <w:r w:rsidRPr="004C5A51">
        <w:rPr>
          <w:color w:val="000000"/>
        </w:rPr>
        <w:t>MedNet</w:t>
      </w:r>
      <w:proofErr w:type="spellEnd"/>
      <w:r w:rsidRPr="004C5A51">
        <w:rPr>
          <w:color w:val="000000"/>
        </w:rPr>
        <w:t xml:space="preserve"> programme.</w:t>
      </w:r>
      <w:r w:rsidR="00B252DF" w:rsidRPr="004C5A51">
        <w:rPr>
          <w:color w:val="000000"/>
        </w:rPr>
        <w:t xml:space="preserve"> </w:t>
      </w:r>
      <w:r w:rsidR="00B252DF" w:rsidRPr="00B252DF">
        <w:rPr>
          <w:color w:val="000000"/>
        </w:rPr>
        <w:t xml:space="preserve">It requested the secretariat to examine the possibilities on how the working party could further cooperate with </w:t>
      </w:r>
      <w:proofErr w:type="spellStart"/>
      <w:r w:rsidR="00B252DF" w:rsidRPr="00B252DF">
        <w:rPr>
          <w:color w:val="000000"/>
        </w:rPr>
        <w:t>MedNet</w:t>
      </w:r>
      <w:proofErr w:type="spellEnd"/>
      <w:r w:rsidR="00B252DF" w:rsidRPr="00B252DF">
        <w:rPr>
          <w:color w:val="000000"/>
        </w:rPr>
        <w:t xml:space="preserve"> programme and its observatory on ports hinterland connections and present at the next session for consideration.</w:t>
      </w:r>
      <w:r w:rsidR="00B252DF" w:rsidRPr="004C5A51">
        <w:rPr>
          <w:color w:val="000000"/>
        </w:rPr>
        <w:t xml:space="preserve"> </w:t>
      </w:r>
    </w:p>
    <w:p w:rsidR="00355ADC" w:rsidRPr="004C5A51" w:rsidRDefault="00B252DF" w:rsidP="006924E8">
      <w:pPr>
        <w:pStyle w:val="SingleTxtG"/>
        <w:rPr>
          <w:color w:val="000000"/>
        </w:rPr>
      </w:pPr>
      <w:r w:rsidRPr="004C5A51">
        <w:rPr>
          <w:color w:val="000000"/>
        </w:rPr>
        <w:t xml:space="preserve">The Working Party may wish to consider document ECE/TRANS/WP.5/2015/3 and provide guidance to the secretariat on how to further proceed with the </w:t>
      </w:r>
      <w:r w:rsidRPr="00B252DF">
        <w:rPr>
          <w:color w:val="000000"/>
        </w:rPr>
        <w:t>observatory on ports hinterland connections</w:t>
      </w:r>
      <w:r>
        <w:rPr>
          <w:color w:val="000000"/>
        </w:rPr>
        <w:t xml:space="preserve">. </w:t>
      </w:r>
    </w:p>
    <w:p w:rsidR="00B252DF" w:rsidRPr="002A5CE4" w:rsidRDefault="00DF70AD" w:rsidP="002A5CE4">
      <w:pPr>
        <w:pStyle w:val="H23G"/>
      </w:pPr>
      <w:r w:rsidRPr="002A5CE4">
        <w:tab/>
      </w:r>
      <w:r w:rsidRPr="002A5CE4">
        <w:tab/>
      </w:r>
      <w:r w:rsidR="00B252DF" w:rsidRPr="002A5CE4">
        <w:t>D</w:t>
      </w:r>
      <w:r w:rsidR="00B0580F" w:rsidRPr="002A5CE4">
        <w:t>ocumentation</w:t>
      </w:r>
    </w:p>
    <w:p w:rsidR="00B252DF" w:rsidRDefault="00B252DF" w:rsidP="002A5CE4">
      <w:pPr>
        <w:pStyle w:val="SingleTxtG"/>
      </w:pPr>
      <w:r w:rsidRPr="00B252DF">
        <w:t>ECE/TRANS/WP.5/2015/3</w:t>
      </w:r>
    </w:p>
    <w:p w:rsidR="009B6556" w:rsidRPr="009B6556" w:rsidRDefault="00784EC7" w:rsidP="00C06561">
      <w:pPr>
        <w:pStyle w:val="H1G"/>
      </w:pPr>
      <w:r>
        <w:tab/>
      </w:r>
      <w:r w:rsidR="006924E8">
        <w:t>5</w:t>
      </w:r>
      <w:r>
        <w:t>.</w:t>
      </w:r>
      <w:r>
        <w:tab/>
      </w:r>
      <w:r w:rsidR="009B6556" w:rsidRPr="00C06561">
        <w:t>Monitoring</w:t>
      </w:r>
      <w:r w:rsidR="009B6556" w:rsidRPr="009B6556">
        <w:t xml:space="preserve"> of the developments </w:t>
      </w:r>
      <w:r w:rsidR="0046058D">
        <w:t xml:space="preserve">in </w:t>
      </w:r>
      <w:r w:rsidR="009B6556" w:rsidRPr="009B6556">
        <w:t>pan-European transport networks</w:t>
      </w:r>
    </w:p>
    <w:p w:rsidR="009B6556" w:rsidRPr="009B6556" w:rsidRDefault="00737099" w:rsidP="00144277">
      <w:pPr>
        <w:pStyle w:val="H23G"/>
      </w:pPr>
      <w:r>
        <w:tab/>
        <w:t>(a)</w:t>
      </w:r>
      <w:r w:rsidR="00F7045A">
        <w:tab/>
      </w:r>
      <w:r w:rsidR="009B6556" w:rsidRPr="009B6556">
        <w:t>The European Commission briefing on the progress made in develop</w:t>
      </w:r>
      <w:r w:rsidR="0046058D">
        <w:t>ing</w:t>
      </w:r>
      <w:r w:rsidR="009B6556" w:rsidRPr="009B6556">
        <w:t xml:space="preserve"> the Tr</w:t>
      </w:r>
      <w:r w:rsidR="00144277">
        <w:t>ans-European Transport Network</w:t>
      </w:r>
    </w:p>
    <w:p w:rsidR="009B6556" w:rsidRPr="00036FCB" w:rsidRDefault="00B545B0" w:rsidP="00C06561">
      <w:pPr>
        <w:pStyle w:val="SingleTxtG"/>
      </w:pPr>
      <w:r>
        <w:t>T</w:t>
      </w:r>
      <w:r w:rsidR="009B6556" w:rsidRPr="009B6556">
        <w:t xml:space="preserve">he European Commission will brief the Working Party about the recent progress of </w:t>
      </w:r>
      <w:r w:rsidR="002A5CE4">
        <w:br/>
      </w:r>
      <w:r w:rsidR="009B6556" w:rsidRPr="009B6556">
        <w:t>TEN-T activities and exten</w:t>
      </w:r>
      <w:r>
        <w:t>ding</w:t>
      </w:r>
      <w:r w:rsidR="009B6556" w:rsidRPr="009B6556">
        <w:t xml:space="preserve"> the network to countries neighbour</w:t>
      </w:r>
      <w:r>
        <w:t xml:space="preserve">ing </w:t>
      </w:r>
      <w:r w:rsidR="009B6556" w:rsidRPr="009B6556">
        <w:t>the European Union (EU).</w:t>
      </w:r>
    </w:p>
    <w:p w:rsidR="003537AF" w:rsidRPr="0018346C" w:rsidRDefault="00DF70AD" w:rsidP="00DF70AD">
      <w:pPr>
        <w:pStyle w:val="H23G"/>
      </w:pPr>
      <w:r>
        <w:tab/>
      </w:r>
      <w:r>
        <w:tab/>
      </w:r>
      <w:r w:rsidR="003537AF" w:rsidRPr="0018346C">
        <w:t>Documentation</w:t>
      </w:r>
    </w:p>
    <w:p w:rsidR="003537AF" w:rsidRPr="0018346C" w:rsidRDefault="003537AF" w:rsidP="002A5CE4">
      <w:pPr>
        <w:pStyle w:val="SingleTxtG"/>
      </w:pPr>
      <w:r w:rsidRPr="00C06561">
        <w:t>Informal</w:t>
      </w:r>
      <w:r w:rsidRPr="0018346C">
        <w:t xml:space="preserve"> </w:t>
      </w:r>
      <w:r w:rsidR="00C06561" w:rsidRPr="0018346C">
        <w:t xml:space="preserve">document No. </w:t>
      </w:r>
      <w:r w:rsidR="00B252DF">
        <w:t>3</w:t>
      </w:r>
    </w:p>
    <w:p w:rsidR="009B6556" w:rsidRPr="009B6556" w:rsidRDefault="00F7045A" w:rsidP="00144277">
      <w:pPr>
        <w:pStyle w:val="H23G"/>
      </w:pPr>
      <w:r w:rsidRPr="0018346C">
        <w:tab/>
      </w:r>
      <w:r w:rsidR="00737099" w:rsidRPr="00015C6A">
        <w:t>(b)</w:t>
      </w:r>
      <w:r>
        <w:tab/>
      </w:r>
      <w:r w:rsidR="00DE0719">
        <w:t>Trans-</w:t>
      </w:r>
      <w:r w:rsidR="009B6556" w:rsidRPr="009B6556">
        <w:t>European Motorway</w:t>
      </w:r>
      <w:r w:rsidR="00B04083">
        <w:t xml:space="preserve"> and Trans-</w:t>
      </w:r>
      <w:r w:rsidR="00144277">
        <w:t xml:space="preserve">European Railway </w:t>
      </w:r>
      <w:r w:rsidR="009B6556" w:rsidRPr="009B6556">
        <w:t>projects</w:t>
      </w:r>
    </w:p>
    <w:p w:rsidR="009B6556" w:rsidRDefault="009B6556" w:rsidP="00C06561">
      <w:pPr>
        <w:pStyle w:val="SingleTxtG"/>
      </w:pPr>
      <w:r w:rsidRPr="009B6556">
        <w:t>The manager</w:t>
      </w:r>
      <w:r w:rsidR="006924E8">
        <w:t>s</w:t>
      </w:r>
      <w:r w:rsidRPr="009B6556">
        <w:t xml:space="preserve"> of the TEM</w:t>
      </w:r>
      <w:r w:rsidR="005A02FE">
        <w:t xml:space="preserve"> (</w:t>
      </w:r>
      <w:r w:rsidR="005A02FE" w:rsidRPr="005A02FE">
        <w:t>Trans-European Motorway</w:t>
      </w:r>
      <w:r w:rsidR="005A02FE">
        <w:t>)</w:t>
      </w:r>
      <w:r w:rsidRPr="009B6556">
        <w:t xml:space="preserve"> and TER</w:t>
      </w:r>
      <w:r w:rsidR="005A02FE">
        <w:t xml:space="preserve"> (</w:t>
      </w:r>
      <w:r w:rsidR="005A02FE" w:rsidRPr="005A02FE">
        <w:t>Trans-European Railway</w:t>
      </w:r>
      <w:r w:rsidR="005A02FE">
        <w:t>)</w:t>
      </w:r>
      <w:r w:rsidRPr="009B6556">
        <w:t xml:space="preserve"> projects will inform the </w:t>
      </w:r>
      <w:r w:rsidRPr="00C06561">
        <w:t>Working</w:t>
      </w:r>
      <w:r w:rsidRPr="009B6556">
        <w:t xml:space="preserve"> Party about the activities implement</w:t>
      </w:r>
      <w:r w:rsidR="00036FCB">
        <w:t>ed over the reporting period 201</w:t>
      </w:r>
      <w:r w:rsidR="00B252DF">
        <w:t>4</w:t>
      </w:r>
      <w:r w:rsidR="00403DD4">
        <w:t>–</w:t>
      </w:r>
      <w:r w:rsidRPr="009B6556">
        <w:t>201</w:t>
      </w:r>
      <w:r w:rsidR="00B252DF">
        <w:t>5.</w:t>
      </w:r>
    </w:p>
    <w:p w:rsidR="003537AF" w:rsidRPr="00737099" w:rsidRDefault="00DF70AD" w:rsidP="00DF70AD">
      <w:pPr>
        <w:pStyle w:val="H23G"/>
      </w:pPr>
      <w:r>
        <w:tab/>
      </w:r>
      <w:r>
        <w:tab/>
      </w:r>
      <w:r w:rsidR="003537AF" w:rsidRPr="00737099">
        <w:t>Documentation</w:t>
      </w:r>
    </w:p>
    <w:p w:rsidR="006924E8" w:rsidRDefault="006F4A50" w:rsidP="003537AF">
      <w:pPr>
        <w:pStyle w:val="SingleTxtG"/>
      </w:pPr>
      <w:r w:rsidRPr="006F4A50">
        <w:t>ECE/TRANS/WP.5/201</w:t>
      </w:r>
      <w:r w:rsidR="00B252DF">
        <w:t>5</w:t>
      </w:r>
      <w:r w:rsidRPr="006F4A50">
        <w:t>/</w:t>
      </w:r>
      <w:r w:rsidR="00B252DF">
        <w:t>4</w:t>
      </w:r>
      <w:r w:rsidR="006924E8">
        <w:t>, ECE/TRANS/WP5/201</w:t>
      </w:r>
      <w:r w:rsidR="00B252DF">
        <w:t>5</w:t>
      </w:r>
      <w:r w:rsidR="006924E8">
        <w:t>/</w:t>
      </w:r>
      <w:r w:rsidR="00B252DF">
        <w:t>5</w:t>
      </w:r>
    </w:p>
    <w:p w:rsidR="00A91FAE" w:rsidRPr="007924A8" w:rsidRDefault="00A91FAE" w:rsidP="00A91FAE">
      <w:pPr>
        <w:pStyle w:val="H1G"/>
      </w:pPr>
      <w:r>
        <w:tab/>
      </w:r>
      <w:r w:rsidRPr="007924A8">
        <w:t>6.</w:t>
      </w:r>
      <w:r w:rsidRPr="007924A8">
        <w:tab/>
        <w:t>Transport in the Mediterranean Region</w:t>
      </w:r>
    </w:p>
    <w:p w:rsidR="00A91FAE" w:rsidRDefault="00A91FAE" w:rsidP="00A91FAE">
      <w:pPr>
        <w:pStyle w:val="SingleTxtG"/>
        <w:ind w:left="0" w:firstLine="567"/>
        <w:rPr>
          <w:b/>
        </w:rPr>
      </w:pPr>
      <w:r w:rsidRPr="00A91FAE">
        <w:rPr>
          <w:b/>
        </w:rPr>
        <w:t>(a)</w:t>
      </w:r>
      <w:r w:rsidRPr="00A91FAE">
        <w:rPr>
          <w:b/>
        </w:rPr>
        <w:tab/>
        <w:t>Report of the Mediterranean Transport Study Centre</w:t>
      </w:r>
    </w:p>
    <w:p w:rsidR="00926039" w:rsidRPr="00926039" w:rsidRDefault="005A02FE" w:rsidP="00926039">
      <w:pPr>
        <w:pStyle w:val="SingleTxtG"/>
      </w:pPr>
      <w:r>
        <w:t>T</w:t>
      </w:r>
      <w:r w:rsidRPr="005A02FE">
        <w:t xml:space="preserve">he Mediterranean Transport Study Centre </w:t>
      </w:r>
      <w:r>
        <w:t>(</w:t>
      </w:r>
      <w:r w:rsidR="00926039" w:rsidRPr="00926039">
        <w:t>CETMO</w:t>
      </w:r>
      <w:r>
        <w:t>)</w:t>
      </w:r>
      <w:r w:rsidR="00926039" w:rsidRPr="00926039">
        <w:t xml:space="preserve"> had been asked to prepare a report on CETMO activities for the twenty-</w:t>
      </w:r>
      <w:r w:rsidR="00926039">
        <w:t xml:space="preserve">eighth </w:t>
      </w:r>
      <w:r w:rsidR="00926039" w:rsidRPr="00926039">
        <w:t>session of the Working Party. The information on recent activities of CETMO will be circulated for consideration by the Working Party.</w:t>
      </w:r>
    </w:p>
    <w:p w:rsidR="00926039" w:rsidRPr="00926039" w:rsidRDefault="002A5CE4" w:rsidP="002A5CE4">
      <w:pPr>
        <w:pStyle w:val="H23G"/>
      </w:pPr>
      <w:r>
        <w:tab/>
      </w:r>
      <w:r>
        <w:tab/>
      </w:r>
      <w:r w:rsidR="00926039" w:rsidRPr="00926039">
        <w:t>Documentation</w:t>
      </w:r>
    </w:p>
    <w:p w:rsidR="00A91FAE" w:rsidRPr="00926039" w:rsidRDefault="00926039" w:rsidP="00926039">
      <w:pPr>
        <w:pStyle w:val="SingleTxtG"/>
      </w:pPr>
      <w:r w:rsidRPr="00926039">
        <w:t>Informal document No. 4</w:t>
      </w:r>
    </w:p>
    <w:p w:rsidR="00A91FAE" w:rsidRPr="00A91FAE" w:rsidRDefault="002A5CE4" w:rsidP="002A5CE4">
      <w:pPr>
        <w:pStyle w:val="H23G"/>
      </w:pPr>
      <w:r>
        <w:tab/>
      </w:r>
      <w:r w:rsidR="00A91FAE" w:rsidRPr="00A91FAE">
        <w:t>(b)</w:t>
      </w:r>
      <w:r w:rsidR="00A91FAE" w:rsidRPr="00A91FAE">
        <w:tab/>
        <w:t>The Euro-</w:t>
      </w:r>
      <w:r>
        <w:t>Mediterranean transport network</w:t>
      </w:r>
    </w:p>
    <w:p w:rsidR="00A91FAE" w:rsidRDefault="00926039" w:rsidP="00926039">
      <w:pPr>
        <w:pStyle w:val="SingleTxtG"/>
      </w:pPr>
      <w:r w:rsidRPr="00926039">
        <w:t>The European Commission will brief the Working Party on its activities in developing the Euro-Mediterranean transport network.</w:t>
      </w:r>
    </w:p>
    <w:p w:rsidR="00A91FAE" w:rsidRPr="00A91FAE" w:rsidRDefault="002A5CE4" w:rsidP="002A5CE4">
      <w:pPr>
        <w:pStyle w:val="H23G"/>
      </w:pPr>
      <w:r>
        <w:tab/>
      </w:r>
      <w:r w:rsidR="00A91FAE" w:rsidRPr="00A91FAE">
        <w:t>(c)</w:t>
      </w:r>
      <w:r w:rsidR="00A91FAE" w:rsidRPr="00A91FAE">
        <w:tab/>
        <w:t>Report of t</w:t>
      </w:r>
      <w:r>
        <w:t>he Union for the Mediterranean</w:t>
      </w:r>
    </w:p>
    <w:p w:rsidR="00A91FAE" w:rsidRDefault="00926039" w:rsidP="00926039">
      <w:pPr>
        <w:pStyle w:val="SingleTxtG"/>
      </w:pPr>
      <w:r w:rsidRPr="00926039">
        <w:t>The Union for the Mediterranean (UFM) secretariat will brief the Working Party on its activities in developing the Mediterranean transport network.</w:t>
      </w:r>
    </w:p>
    <w:p w:rsidR="00A91FAE" w:rsidRPr="00A91FAE" w:rsidRDefault="002A5CE4" w:rsidP="002A5CE4">
      <w:pPr>
        <w:pStyle w:val="H23G"/>
      </w:pPr>
      <w:r>
        <w:tab/>
      </w:r>
      <w:r w:rsidR="00A91FAE" w:rsidRPr="00A91FAE">
        <w:t>(d)</w:t>
      </w:r>
      <w:r w:rsidR="00A91FAE" w:rsidRPr="00A91FAE">
        <w:tab/>
        <w:t>Project for a Europe-Africa fixed link through the Strait of Gibraltar: report on activities carried out during the period 2006</w:t>
      </w:r>
      <w:r w:rsidR="005A02FE">
        <w:t>–</w:t>
      </w:r>
      <w:r w:rsidR="00A91FAE" w:rsidRPr="00A91FAE">
        <w:t>2013 and programme proposed for the period 2013–2015.</w:t>
      </w:r>
    </w:p>
    <w:p w:rsidR="002C349D" w:rsidRDefault="002C349D" w:rsidP="002C349D">
      <w:pPr>
        <w:pStyle w:val="SingleTxtG"/>
      </w:pPr>
      <w:r>
        <w:t>The secretariat will inform the Working Party about the Project for a Europe-Africa fixed link through the Strait of Gibraltar.</w:t>
      </w:r>
    </w:p>
    <w:p w:rsidR="002A5CE4" w:rsidRDefault="002A5CE4" w:rsidP="002A5CE4">
      <w:pPr>
        <w:pStyle w:val="H23G"/>
      </w:pPr>
      <w:r>
        <w:tab/>
      </w:r>
      <w:r>
        <w:tab/>
      </w:r>
      <w:r w:rsidR="002C349D" w:rsidRPr="002C349D">
        <w:t>Documentation</w:t>
      </w:r>
    </w:p>
    <w:p w:rsidR="00A91FAE" w:rsidRDefault="002C349D" w:rsidP="002A5CE4">
      <w:pPr>
        <w:pStyle w:val="SingleTxtG"/>
      </w:pPr>
      <w:r w:rsidRPr="002A5CE4">
        <w:t>Informal</w:t>
      </w:r>
      <w:r>
        <w:t xml:space="preserve"> document No. </w:t>
      </w:r>
      <w:r w:rsidR="00926039">
        <w:t>5</w:t>
      </w:r>
    </w:p>
    <w:p w:rsidR="009B6556" w:rsidRPr="002A5CE4" w:rsidRDefault="00036BDC" w:rsidP="002A5CE4">
      <w:pPr>
        <w:pStyle w:val="H1G"/>
      </w:pPr>
      <w:r w:rsidRPr="002A5CE4">
        <w:tab/>
      </w:r>
      <w:r w:rsidR="00A91FAE" w:rsidRPr="002A5CE4">
        <w:t>7</w:t>
      </w:r>
      <w:r w:rsidR="00F7045A" w:rsidRPr="002A5CE4">
        <w:t>.</w:t>
      </w:r>
      <w:r w:rsidRPr="002A5CE4">
        <w:tab/>
      </w:r>
      <w:r w:rsidR="009B6556" w:rsidRPr="002A5CE4">
        <w:t>Euro-Asian Transport Links</w:t>
      </w:r>
    </w:p>
    <w:p w:rsidR="009B6556" w:rsidRPr="00F03321" w:rsidRDefault="00036BDC" w:rsidP="00F03321">
      <w:pPr>
        <w:pStyle w:val="H23G"/>
      </w:pPr>
      <w:r>
        <w:tab/>
      </w:r>
      <w:r w:rsidR="00BD5759">
        <w:t>(a)</w:t>
      </w:r>
      <w:r w:rsidR="009B6556" w:rsidRPr="009B6556">
        <w:tab/>
      </w:r>
      <w:r w:rsidR="00C75AC9">
        <w:t>Progress</w:t>
      </w:r>
      <w:r w:rsidR="009B6556" w:rsidRPr="009B6556">
        <w:t xml:space="preserve"> on Euro-Asian Transport Links</w:t>
      </w:r>
      <w:r w:rsidR="00C75AC9">
        <w:t xml:space="preserve"> (EATL) work</w:t>
      </w:r>
    </w:p>
    <w:p w:rsidR="00447976" w:rsidRDefault="00447976" w:rsidP="00447976">
      <w:pPr>
        <w:pStyle w:val="SingleTxtG"/>
      </w:pPr>
      <w:r w:rsidRPr="009B6556">
        <w:t xml:space="preserve">The </w:t>
      </w:r>
      <w:r>
        <w:t xml:space="preserve">secretariat will inform the Working Party </w:t>
      </w:r>
      <w:r w:rsidR="00B545B0">
        <w:t xml:space="preserve">about </w:t>
      </w:r>
      <w:r>
        <w:t xml:space="preserve">the progress of the work of the </w:t>
      </w:r>
      <w:r w:rsidR="00834801" w:rsidRPr="009B6556">
        <w:t xml:space="preserve">Group </w:t>
      </w:r>
      <w:r w:rsidR="00834801">
        <w:t xml:space="preserve">of Experts on </w:t>
      </w:r>
      <w:r w:rsidRPr="009B6556">
        <w:t>Euro-Asian Transport Links</w:t>
      </w:r>
      <w:r w:rsidR="00834801">
        <w:t xml:space="preserve"> (EATL)</w:t>
      </w:r>
      <w:r w:rsidRPr="009B6556" w:rsidDel="00C26903">
        <w:t xml:space="preserve"> </w:t>
      </w:r>
      <w:r>
        <w:t>and the recent developments of the EATL project Phase II</w:t>
      </w:r>
      <w:r w:rsidR="00FE6E74">
        <w:t>I</w:t>
      </w:r>
      <w:r>
        <w:t xml:space="preserve"> </w:t>
      </w:r>
      <w:r w:rsidRPr="009B6556">
        <w:t>(</w:t>
      </w:r>
      <w:r w:rsidR="006F4A50" w:rsidRPr="006D71BA">
        <w:t>ECE/TRANS/WP.5/</w:t>
      </w:r>
      <w:r w:rsidR="00FE6E74" w:rsidRPr="006D71BA">
        <w:t>GE</w:t>
      </w:r>
      <w:r w:rsidR="00FE6CDD" w:rsidRPr="006D71BA">
        <w:t>.</w:t>
      </w:r>
      <w:r w:rsidR="00FE6E74" w:rsidRPr="006D71BA">
        <w:t>2/</w:t>
      </w:r>
      <w:r w:rsidR="006D71BA" w:rsidRPr="006D71BA">
        <w:t>2</w:t>
      </w:r>
      <w:r w:rsidR="007551FB">
        <w:t>6</w:t>
      </w:r>
      <w:r w:rsidRPr="009B6556">
        <w:t xml:space="preserve">). </w:t>
      </w:r>
      <w:r>
        <w:t>The Working Party may wish to consider</w:t>
      </w:r>
      <w:r w:rsidR="00FE6E74">
        <w:t>,</w:t>
      </w:r>
      <w:r>
        <w:t xml:space="preserve"> discuss </w:t>
      </w:r>
      <w:r w:rsidR="00FE6E74">
        <w:t xml:space="preserve">and provide guidance </w:t>
      </w:r>
      <w:r w:rsidR="00621F1B">
        <w:t xml:space="preserve">on </w:t>
      </w:r>
      <w:r w:rsidR="00FE6E74">
        <w:t xml:space="preserve">the effective implementation of the </w:t>
      </w:r>
      <w:r w:rsidR="001A5509">
        <w:t xml:space="preserve">work plan of the </w:t>
      </w:r>
      <w:r w:rsidR="00621F1B">
        <w:t>G</w:t>
      </w:r>
      <w:r w:rsidR="00FE6E74">
        <w:t xml:space="preserve">roup of </w:t>
      </w:r>
      <w:r w:rsidR="00621F1B">
        <w:t>E</w:t>
      </w:r>
      <w:r w:rsidR="00FE6E74">
        <w:t>xperts</w:t>
      </w:r>
      <w:r>
        <w:t>.</w:t>
      </w:r>
    </w:p>
    <w:p w:rsidR="00F03321" w:rsidRPr="00DF70AD" w:rsidRDefault="00DF70AD" w:rsidP="00DF70AD">
      <w:pPr>
        <w:pStyle w:val="H23G"/>
        <w:rPr>
          <w:lang w:val="fr-CH"/>
        </w:rPr>
      </w:pPr>
      <w:r>
        <w:tab/>
      </w:r>
      <w:r>
        <w:tab/>
      </w:r>
      <w:r w:rsidR="00F03321" w:rsidRPr="00DF70AD">
        <w:rPr>
          <w:lang w:val="fr-CH"/>
        </w:rPr>
        <w:t>Documentation</w:t>
      </w:r>
    </w:p>
    <w:p w:rsidR="006924E8" w:rsidRPr="00DF70AD" w:rsidRDefault="006924E8" w:rsidP="00DF70AD">
      <w:pPr>
        <w:pStyle w:val="SingleTxtG"/>
        <w:rPr>
          <w:lang w:val="fr-CH"/>
        </w:rPr>
      </w:pPr>
      <w:r w:rsidRPr="00DF70AD">
        <w:rPr>
          <w:lang w:val="fr-CH"/>
        </w:rPr>
        <w:t>ECE/TRANS/WP.5/GE.2/</w:t>
      </w:r>
      <w:r w:rsidR="006D71BA" w:rsidRPr="00DF70AD">
        <w:rPr>
          <w:lang w:val="fr-CH"/>
        </w:rPr>
        <w:t>2</w:t>
      </w:r>
      <w:r w:rsidR="007551FB">
        <w:rPr>
          <w:lang w:val="fr-CH"/>
        </w:rPr>
        <w:t>6</w:t>
      </w:r>
    </w:p>
    <w:p w:rsidR="00B96736" w:rsidRDefault="00036BDC" w:rsidP="008D31C7">
      <w:pPr>
        <w:pStyle w:val="H23G"/>
      </w:pPr>
      <w:r w:rsidRPr="00DF70AD">
        <w:rPr>
          <w:lang w:val="fr-CH"/>
        </w:rPr>
        <w:tab/>
      </w:r>
      <w:r w:rsidR="007B5ACE">
        <w:t>(</w:t>
      </w:r>
      <w:r w:rsidR="002516C0">
        <w:t>b</w:t>
      </w:r>
      <w:r w:rsidR="007B5ACE">
        <w:t>)</w:t>
      </w:r>
      <w:r w:rsidR="008D31C7">
        <w:tab/>
      </w:r>
      <w:r w:rsidR="00656B70">
        <w:t>Other Euro-Asian transport i</w:t>
      </w:r>
      <w:r w:rsidR="00E9653F">
        <w:t>nitiatives</w:t>
      </w:r>
    </w:p>
    <w:p w:rsidR="00B96736" w:rsidRDefault="00B96736" w:rsidP="00C06561">
      <w:pPr>
        <w:pStyle w:val="SingleTxtG"/>
      </w:pPr>
      <w:r w:rsidRPr="00C06561">
        <w:t>Representatives</w:t>
      </w:r>
      <w:r>
        <w:t xml:space="preserve"> of </w:t>
      </w:r>
      <w:r w:rsidR="0086565E">
        <w:t xml:space="preserve">other </w:t>
      </w:r>
      <w:r>
        <w:t>Euro-Asian transport initiatives</w:t>
      </w:r>
      <w:r w:rsidR="0086565E">
        <w:t>/projects</w:t>
      </w:r>
      <w:r>
        <w:t xml:space="preserve"> will brief the Working Party about their activities and cooperation with the EATL Expert Group.</w:t>
      </w:r>
    </w:p>
    <w:p w:rsidR="00A91FAE" w:rsidRDefault="00784EC7" w:rsidP="007D266F">
      <w:pPr>
        <w:pStyle w:val="H1G"/>
        <w:jc w:val="both"/>
      </w:pPr>
      <w:r>
        <w:tab/>
      </w:r>
      <w:r w:rsidR="00A91FAE">
        <w:t>8</w:t>
      </w:r>
      <w:r w:rsidR="00A91FAE" w:rsidRPr="007924A8">
        <w:t>.</w:t>
      </w:r>
      <w:r w:rsidR="00A91FAE" w:rsidRPr="007924A8">
        <w:tab/>
      </w:r>
      <w:r w:rsidR="00076612" w:rsidRPr="00033404">
        <w:rPr>
          <w:color w:val="000000"/>
        </w:rPr>
        <w:t>Group of experts on</w:t>
      </w:r>
      <w:r w:rsidR="00A91FAE">
        <w:t xml:space="preserve"> benchmarking transport in</w:t>
      </w:r>
      <w:r w:rsidR="002A5CE4">
        <w:t>frastructure construction costs</w:t>
      </w:r>
    </w:p>
    <w:p w:rsidR="00A91FAE" w:rsidRPr="002A5CE4" w:rsidRDefault="007D266F" w:rsidP="002A5CE4">
      <w:pPr>
        <w:pStyle w:val="SingleTxtG"/>
      </w:pPr>
      <w:r w:rsidRPr="002A5CE4">
        <w:t xml:space="preserve">The Working Party may wish to recall that at its last session and during the workshop on Good practices and new tools for Financing Transport Infrastructure the participants </w:t>
      </w:r>
      <w:r w:rsidR="00256F89">
        <w:t>a</w:t>
      </w:r>
      <w:r w:rsidRPr="002A5CE4">
        <w:t>greed that the benchmarking of transport infrastructure construction costs is significant for having realistic construction costs and a stable investment programme with no cost explosions; agreed that the use of benchmarking of construction costs could be for cost estimates and for control</w:t>
      </w:r>
      <w:r w:rsidR="005A02FE">
        <w:t xml:space="preserve"> of projects’ cost developments.</w:t>
      </w:r>
    </w:p>
    <w:p w:rsidR="007D266F" w:rsidRPr="002A5CE4" w:rsidRDefault="007D266F" w:rsidP="002A5CE4">
      <w:pPr>
        <w:pStyle w:val="SingleTxtG"/>
      </w:pPr>
      <w:r w:rsidRPr="002A5CE4">
        <w:t>The Working Party requested the secretariat to draft a formal document based on inputs received by the experts on benchmarking of transport infrastructure construction costs for the next session. Proposals for possible further actions to be taken by the Working Party on this issue should be included.</w:t>
      </w:r>
    </w:p>
    <w:p w:rsidR="007D266F" w:rsidRDefault="007D266F" w:rsidP="002A5CE4">
      <w:pPr>
        <w:pStyle w:val="SingleTxtG"/>
      </w:pPr>
      <w:r w:rsidRPr="002A5CE4">
        <w:t xml:space="preserve">The Working Party may wish to consider document ECE/TRANS/WP.5/2015/2 which provides the terms of references for the development of a </w:t>
      </w:r>
      <w:r w:rsidR="00076612" w:rsidRPr="002A5CE4">
        <w:t>Group of experts on</w:t>
      </w:r>
      <w:r>
        <w:t xml:space="preserve"> benchmarking transport infrastructure construction costs and provide guidance to the secretariat on further actions.</w:t>
      </w:r>
    </w:p>
    <w:p w:rsidR="007D266F" w:rsidRPr="00415541" w:rsidRDefault="007D266F" w:rsidP="007D266F">
      <w:pPr>
        <w:pStyle w:val="H23G"/>
      </w:pPr>
      <w:r w:rsidRPr="00076612">
        <w:tab/>
      </w:r>
      <w:r w:rsidRPr="00076612">
        <w:tab/>
      </w:r>
      <w:r w:rsidRPr="00415541">
        <w:t>Documentation</w:t>
      </w:r>
    </w:p>
    <w:p w:rsidR="007D266F" w:rsidRPr="00415541" w:rsidRDefault="007D266F" w:rsidP="002A5CE4">
      <w:pPr>
        <w:pStyle w:val="SingleTxtG"/>
      </w:pPr>
      <w:r w:rsidRPr="00415541">
        <w:t>ECE/TRANS/WP.5/2015/2</w:t>
      </w:r>
    </w:p>
    <w:p w:rsidR="00A91FAE" w:rsidRPr="002A5CE4" w:rsidRDefault="00A91FAE" w:rsidP="002A5CE4">
      <w:pPr>
        <w:pStyle w:val="H1G"/>
      </w:pPr>
      <w:r w:rsidRPr="002A5CE4">
        <w:tab/>
        <w:t>9.</w:t>
      </w:r>
      <w:r w:rsidRPr="002A5CE4">
        <w:tab/>
      </w:r>
      <w:r w:rsidR="00076612" w:rsidRPr="002A5CE4">
        <w:t>Urban</w:t>
      </w:r>
      <w:r w:rsidR="002A5CE4">
        <w:t xml:space="preserve"> mobility and Public Transport</w:t>
      </w:r>
    </w:p>
    <w:p w:rsidR="00415541" w:rsidRDefault="00922735" w:rsidP="002A5CE4">
      <w:pPr>
        <w:pStyle w:val="SingleTxtG"/>
      </w:pPr>
      <w:r>
        <w:t xml:space="preserve">In the course of the last three years the Working Party addressed the topic of sustainable urban mobility and public transport by organizing a workshop on </w:t>
      </w:r>
      <w:r w:rsidR="001E004D">
        <w:t>“Urban Transport and Mobility”</w:t>
      </w:r>
      <w:r>
        <w:t xml:space="preserve"> during its </w:t>
      </w:r>
      <w:r w:rsidR="001E004D">
        <w:t xml:space="preserve">twenty fifth session (3-5 September 2012) and by preparing a report-publication on “Sustainable urban mobility and public transport” </w:t>
      </w:r>
      <w:r w:rsidR="00421B91">
        <w:t xml:space="preserve">which was published by ECE during 2015. </w:t>
      </w:r>
    </w:p>
    <w:p w:rsidR="00421B91" w:rsidRDefault="00421B91" w:rsidP="002A5CE4">
      <w:pPr>
        <w:pStyle w:val="SingleTxtG"/>
      </w:pPr>
      <w:r>
        <w:t xml:space="preserve">The Inland Transport Committee during its </w:t>
      </w:r>
      <w:r w:rsidR="005A02FE">
        <w:t>seventy-sixth</w:t>
      </w:r>
      <w:r>
        <w:t xml:space="preserve"> </w:t>
      </w:r>
      <w:r w:rsidRPr="00421B91">
        <w:t>session (25</w:t>
      </w:r>
      <w:r w:rsidR="005A02FE">
        <w:t>–</w:t>
      </w:r>
      <w:r w:rsidRPr="00421B91">
        <w:t>27 February 2014)</w:t>
      </w:r>
      <w:r>
        <w:t xml:space="preserve"> encouraged governments and municipalities to support further research on urban transport and mobility provided by UNECE, and suggested that this topic be addressed in the agenda of WP.5 (</w:t>
      </w:r>
      <w:r w:rsidRPr="00421B91">
        <w:t>ECE/TRANS/240</w:t>
      </w:r>
      <w:r>
        <w:t xml:space="preserve">, para 11). Furthermore at its </w:t>
      </w:r>
      <w:r w:rsidR="005A02FE">
        <w:t>seventy-seventh</w:t>
      </w:r>
      <w:r>
        <w:t xml:space="preserve"> session </w:t>
      </w:r>
      <w:r w:rsidR="00BA3313">
        <w:br/>
      </w:r>
      <w:r w:rsidR="008D7EF2">
        <w:t>(</w:t>
      </w:r>
      <w:r w:rsidR="008D7EF2" w:rsidRPr="008D7EF2">
        <w:t>24–26 February 2015</w:t>
      </w:r>
      <w:r w:rsidR="008D7EF2">
        <w:t xml:space="preserve">) </w:t>
      </w:r>
      <w:r w:rsidR="008D7EF2" w:rsidRPr="008D7EF2">
        <w:t>decided to regularly review the developments in urban mobility and transport, and particularly, the inter-linkages between urban, regional, national and international transport networks and services. In this regard, the Committee requested WP.5 to follow-up on this matter</w:t>
      </w:r>
      <w:r w:rsidR="0024750C">
        <w:t xml:space="preserve"> (</w:t>
      </w:r>
      <w:r w:rsidR="0024750C" w:rsidRPr="0024750C">
        <w:t>ECE/TRANS/248</w:t>
      </w:r>
      <w:r w:rsidR="0024750C">
        <w:t>, para 18)</w:t>
      </w:r>
      <w:r w:rsidR="008D7EF2" w:rsidRPr="008D7EF2">
        <w:t>.</w:t>
      </w:r>
    </w:p>
    <w:p w:rsidR="00415541" w:rsidRDefault="00415541" w:rsidP="002A5CE4">
      <w:pPr>
        <w:pStyle w:val="SingleTxtG"/>
      </w:pPr>
      <w:r>
        <w:t xml:space="preserve">The Working Party may wish to consider document </w:t>
      </w:r>
      <w:r w:rsidRPr="007D266F">
        <w:t>ECE/TRANS/WP.5/2015/</w:t>
      </w:r>
      <w:r>
        <w:t xml:space="preserve">6 which provides </w:t>
      </w:r>
      <w:r w:rsidR="00076612">
        <w:t xml:space="preserve">information on main challenges that urban mobility and public transport faces </w:t>
      </w:r>
      <w:r>
        <w:t xml:space="preserve">and provide guidance to the secretariat on further actions. </w:t>
      </w:r>
    </w:p>
    <w:p w:rsidR="00415541" w:rsidRPr="00256F89" w:rsidRDefault="00415541" w:rsidP="00415541">
      <w:pPr>
        <w:pStyle w:val="H23G"/>
      </w:pPr>
      <w:r w:rsidRPr="00415541">
        <w:tab/>
      </w:r>
      <w:r w:rsidRPr="00415541">
        <w:tab/>
      </w:r>
      <w:r w:rsidRPr="00256F89">
        <w:t>Documentation</w:t>
      </w:r>
    </w:p>
    <w:p w:rsidR="00415541" w:rsidRPr="00256F89" w:rsidRDefault="00415541" w:rsidP="00415541">
      <w:pPr>
        <w:ind w:left="1134" w:right="1134"/>
        <w:jc w:val="both"/>
      </w:pPr>
      <w:r w:rsidRPr="00256F89">
        <w:t>ECE/TRANS/WP.5/2015/6</w:t>
      </w:r>
    </w:p>
    <w:p w:rsidR="00784EC7" w:rsidRDefault="00A91FAE" w:rsidP="007B0FB5">
      <w:pPr>
        <w:pStyle w:val="H1G"/>
      </w:pPr>
      <w:r>
        <w:tab/>
        <w:t>10</w:t>
      </w:r>
      <w:r w:rsidR="00784EC7">
        <w:t>.</w:t>
      </w:r>
      <w:r w:rsidR="00784EC7" w:rsidRPr="009B6556">
        <w:tab/>
      </w:r>
      <w:r w:rsidR="00784EC7">
        <w:t xml:space="preserve">Climate Change </w:t>
      </w:r>
      <w:r w:rsidR="000B6D96">
        <w:t>and Transport</w:t>
      </w:r>
    </w:p>
    <w:p w:rsidR="00784EC7" w:rsidRDefault="00784EC7" w:rsidP="00784EC7">
      <w:pPr>
        <w:pStyle w:val="H23G"/>
        <w:jc w:val="both"/>
      </w:pPr>
      <w:r>
        <w:tab/>
        <w:t>(a)</w:t>
      </w:r>
      <w:r>
        <w:tab/>
        <w:t xml:space="preserve">Group of Experts on </w:t>
      </w:r>
      <w:r w:rsidR="00171E81">
        <w:t>C</w:t>
      </w:r>
      <w:r>
        <w:t xml:space="preserve">limate </w:t>
      </w:r>
      <w:r w:rsidR="00171E81">
        <w:t>C</w:t>
      </w:r>
      <w:r>
        <w:t xml:space="preserve">hange </w:t>
      </w:r>
      <w:r w:rsidR="00171E81">
        <w:t>I</w:t>
      </w:r>
      <w:r>
        <w:t xml:space="preserve">mpacts and </w:t>
      </w:r>
      <w:r w:rsidR="00171E81">
        <w:t>A</w:t>
      </w:r>
      <w:r>
        <w:t xml:space="preserve">daptation </w:t>
      </w:r>
      <w:r w:rsidR="00171E81">
        <w:t>for</w:t>
      </w:r>
      <w:r>
        <w:t xml:space="preserve"> Transport </w:t>
      </w:r>
      <w:r w:rsidR="00171E81">
        <w:t>N</w:t>
      </w:r>
      <w:r>
        <w:t>etworks</w:t>
      </w:r>
      <w:r w:rsidR="007879B5">
        <w:t xml:space="preserve"> and nodes</w:t>
      </w:r>
    </w:p>
    <w:p w:rsidR="0077415A" w:rsidRDefault="00784EC7" w:rsidP="0077415A">
      <w:pPr>
        <w:pStyle w:val="SingleTxtG"/>
      </w:pPr>
      <w:r w:rsidRPr="009B6556">
        <w:t xml:space="preserve">The secretariat will </w:t>
      </w:r>
      <w:r>
        <w:t>inf</w:t>
      </w:r>
      <w:r w:rsidR="0077415A">
        <w:t xml:space="preserve">orm the Working Party about the work during the second phase of the group of experts on </w:t>
      </w:r>
      <w:r w:rsidR="009760AB" w:rsidRPr="009760AB">
        <w:t xml:space="preserve">Climate Change </w:t>
      </w:r>
      <w:r w:rsidR="00171E81">
        <w:t>I</w:t>
      </w:r>
      <w:r w:rsidR="009760AB" w:rsidRPr="009760AB">
        <w:t xml:space="preserve">mpacts and </w:t>
      </w:r>
      <w:r w:rsidR="00171E81">
        <w:t>A</w:t>
      </w:r>
      <w:r w:rsidR="009760AB" w:rsidRPr="009760AB">
        <w:t xml:space="preserve">daptation for </w:t>
      </w:r>
      <w:r w:rsidR="00171E81">
        <w:t>T</w:t>
      </w:r>
      <w:r w:rsidR="009760AB" w:rsidRPr="009760AB">
        <w:t xml:space="preserve">ransport </w:t>
      </w:r>
      <w:r w:rsidR="00171E81">
        <w:t>N</w:t>
      </w:r>
      <w:r w:rsidR="009760AB" w:rsidRPr="009760AB">
        <w:t>etworks</w:t>
      </w:r>
      <w:r w:rsidR="0077415A">
        <w:t xml:space="preserve"> and nodes (</w:t>
      </w:r>
      <w:r w:rsidR="0077415A" w:rsidRPr="0077415A">
        <w:t>ECE/TRANS/WP.5/GE.3/1</w:t>
      </w:r>
      <w:r w:rsidR="0077415A">
        <w:t>4)</w:t>
      </w:r>
      <w:r w:rsidR="009760AB" w:rsidRPr="009760AB">
        <w:t>.</w:t>
      </w:r>
    </w:p>
    <w:p w:rsidR="00784EC7" w:rsidRDefault="00784EC7" w:rsidP="0077415A">
      <w:pPr>
        <w:pStyle w:val="SingleTxtG"/>
        <w:rPr>
          <w:b/>
          <w:lang w:val="fr-CH"/>
        </w:rPr>
      </w:pPr>
      <w:r w:rsidRPr="0077415A">
        <w:rPr>
          <w:b/>
          <w:lang w:val="fr-CH"/>
        </w:rPr>
        <w:t>Documentation</w:t>
      </w:r>
    </w:p>
    <w:p w:rsidR="0077415A" w:rsidRPr="0077415A" w:rsidRDefault="0077415A" w:rsidP="0077415A">
      <w:pPr>
        <w:pStyle w:val="SingleTxtG"/>
        <w:rPr>
          <w:lang w:val="fr-CH"/>
        </w:rPr>
      </w:pPr>
      <w:r w:rsidRPr="0077415A">
        <w:rPr>
          <w:lang w:val="fr-CH"/>
        </w:rPr>
        <w:t>ECE/TRANS/WP.5/GE.3/14</w:t>
      </w:r>
    </w:p>
    <w:p w:rsidR="00784EC7" w:rsidRDefault="00784EC7" w:rsidP="00784EC7">
      <w:pPr>
        <w:pStyle w:val="H23G"/>
        <w:jc w:val="both"/>
      </w:pPr>
      <w:r w:rsidRPr="00256F89">
        <w:rPr>
          <w:lang w:val="fr-CH"/>
        </w:rPr>
        <w:tab/>
      </w:r>
      <w:r>
        <w:t>(b)</w:t>
      </w:r>
      <w:r>
        <w:tab/>
      </w:r>
      <w:r w:rsidRPr="00784EC7">
        <w:t>Climate Change mitigation: UNECE ForFITS tool</w:t>
      </w:r>
    </w:p>
    <w:p w:rsidR="00784EC7" w:rsidRDefault="009760AB" w:rsidP="009760AB">
      <w:pPr>
        <w:pStyle w:val="SingleTxtG"/>
      </w:pPr>
      <w:r>
        <w:t>The Working Party will be informed by the secretariat about the developments in the For Future Inland Transport Systems (</w:t>
      </w:r>
      <w:proofErr w:type="spellStart"/>
      <w:r>
        <w:t>ForFITS</w:t>
      </w:r>
      <w:proofErr w:type="spellEnd"/>
      <w:r>
        <w:t>) project</w:t>
      </w:r>
      <w:r w:rsidR="005B26BC">
        <w:t xml:space="preserve"> during 201</w:t>
      </w:r>
      <w:r w:rsidR="0077415A">
        <w:t>4</w:t>
      </w:r>
      <w:r w:rsidR="005B26BC">
        <w:t>–201</w:t>
      </w:r>
      <w:r w:rsidR="0077415A">
        <w:t>5</w:t>
      </w:r>
      <w:r w:rsidR="002A5CE4">
        <w:t>.</w:t>
      </w:r>
    </w:p>
    <w:p w:rsidR="00784EC7" w:rsidRDefault="00784EC7" w:rsidP="00784EC7">
      <w:pPr>
        <w:pStyle w:val="H23G"/>
        <w:jc w:val="both"/>
      </w:pPr>
      <w:r>
        <w:tab/>
        <w:t>(c)</w:t>
      </w:r>
      <w:r>
        <w:tab/>
      </w:r>
      <w:r w:rsidRPr="00784EC7">
        <w:t>Diesel engine exhausts</w:t>
      </w:r>
    </w:p>
    <w:p w:rsidR="00A66D96" w:rsidRPr="00A66D96" w:rsidRDefault="001702B4" w:rsidP="001702B4">
      <w:pPr>
        <w:pStyle w:val="SingleTxtG"/>
        <w:rPr>
          <w:lang w:val="en-US"/>
        </w:rPr>
      </w:pPr>
      <w:r>
        <w:t xml:space="preserve">The </w:t>
      </w:r>
      <w:r w:rsidRPr="001702B4">
        <w:t xml:space="preserve">Working Party will be informed by the secretariat about the </w:t>
      </w:r>
      <w:r w:rsidR="0077415A">
        <w:t xml:space="preserve">developments in the </w:t>
      </w:r>
      <w:r>
        <w:t xml:space="preserve">discussion paper “Diesel engine exhausts: </w:t>
      </w:r>
      <w:r w:rsidR="00327978">
        <w:t>M</w:t>
      </w:r>
      <w:r>
        <w:t>yths and realities”</w:t>
      </w:r>
      <w:r w:rsidR="005B26BC">
        <w:t xml:space="preserve"> prepared by the secretariat.</w:t>
      </w:r>
    </w:p>
    <w:p w:rsidR="009B6556" w:rsidRPr="00036BDC" w:rsidRDefault="00036BDC" w:rsidP="00C06561">
      <w:pPr>
        <w:pStyle w:val="H1G"/>
      </w:pPr>
      <w:r>
        <w:tab/>
      </w:r>
      <w:r w:rsidR="00A91FAE">
        <w:t>11</w:t>
      </w:r>
      <w:r>
        <w:t>.</w:t>
      </w:r>
      <w:r w:rsidR="009B6556" w:rsidRPr="00036BDC">
        <w:tab/>
      </w:r>
      <w:r w:rsidR="00656B70" w:rsidRPr="00C06561">
        <w:t>Review</w:t>
      </w:r>
      <w:r w:rsidR="00656B70" w:rsidRPr="00656B70">
        <w:t xml:space="preserve"> of the transport situation, </w:t>
      </w:r>
      <w:r w:rsidR="00175FF7">
        <w:t xml:space="preserve">transport </w:t>
      </w:r>
      <w:r w:rsidR="00656B70" w:rsidRPr="00656B70">
        <w:t xml:space="preserve">trends and </w:t>
      </w:r>
      <w:r w:rsidR="00175FF7">
        <w:t xml:space="preserve">economics </w:t>
      </w:r>
      <w:r w:rsidR="00656B70" w:rsidRPr="00656B70">
        <w:t>in ECE region</w:t>
      </w:r>
    </w:p>
    <w:p w:rsidR="00153429" w:rsidRDefault="007B5ACE" w:rsidP="0039191D">
      <w:pPr>
        <w:pStyle w:val="H23G"/>
      </w:pPr>
      <w:r>
        <w:tab/>
        <w:t>(a)</w:t>
      </w:r>
      <w:r w:rsidR="009B6556" w:rsidRPr="009B6556">
        <w:tab/>
      </w:r>
      <w:r w:rsidR="00256F89" w:rsidRPr="00256F89">
        <w:t>Transport Trends and Economics 2012–2013: Sustainable Urban mobility and public transport</w:t>
      </w:r>
    </w:p>
    <w:p w:rsidR="00447976" w:rsidRDefault="00447976" w:rsidP="00C06561">
      <w:pPr>
        <w:pStyle w:val="SingleTxtG"/>
      </w:pPr>
      <w:r>
        <w:t xml:space="preserve">The Working Party will be informed by the secretariat </w:t>
      </w:r>
      <w:r w:rsidR="00B545B0">
        <w:t>about</w:t>
      </w:r>
      <w:r>
        <w:t xml:space="preserve"> the </w:t>
      </w:r>
      <w:r w:rsidR="00A66D96">
        <w:t>2012–2013</w:t>
      </w:r>
      <w:r w:rsidR="005B26BC" w:rsidRPr="005B26BC">
        <w:t xml:space="preserve"> </w:t>
      </w:r>
      <w:r w:rsidR="005B26BC">
        <w:t>publication</w:t>
      </w:r>
      <w:r w:rsidR="00AC4BE3">
        <w:t xml:space="preserve"> Transport Trends and Economics 2012</w:t>
      </w:r>
      <w:r w:rsidR="002A5CE4">
        <w:t>–</w:t>
      </w:r>
      <w:r w:rsidR="00AC4BE3">
        <w:t>2013 Sustainable</w:t>
      </w:r>
      <w:r w:rsidR="00A66D96">
        <w:t xml:space="preserve"> Urban </w:t>
      </w:r>
      <w:r w:rsidR="0077415A">
        <w:t xml:space="preserve">Mobility and Public Transport </w:t>
      </w:r>
      <w:r>
        <w:t xml:space="preserve">prepared by the secretariat on the basis of </w:t>
      </w:r>
      <w:r w:rsidR="005B26BC">
        <w:t xml:space="preserve">national </w:t>
      </w:r>
      <w:r>
        <w:t>inputs.</w:t>
      </w:r>
    </w:p>
    <w:p w:rsidR="00153429" w:rsidRPr="007B5ACE" w:rsidRDefault="00DF70AD" w:rsidP="00DF70AD">
      <w:pPr>
        <w:pStyle w:val="H23G"/>
      </w:pPr>
      <w:r>
        <w:tab/>
      </w:r>
      <w:r>
        <w:tab/>
      </w:r>
      <w:r w:rsidR="00153429" w:rsidRPr="007B5ACE">
        <w:t>Documentation</w:t>
      </w:r>
    </w:p>
    <w:p w:rsidR="00153429" w:rsidRDefault="00283268" w:rsidP="00DF70AD">
      <w:pPr>
        <w:pStyle w:val="SingleTxtG"/>
        <w:rPr>
          <w:b/>
        </w:rPr>
      </w:pPr>
      <w:r>
        <w:t>UNECE publication</w:t>
      </w:r>
    </w:p>
    <w:p w:rsidR="00283268" w:rsidRDefault="00283268" w:rsidP="007B5ACE">
      <w:pPr>
        <w:pStyle w:val="H23G"/>
      </w:pPr>
      <w:r w:rsidRPr="00283268">
        <w:tab/>
        <w:t>(b)</w:t>
      </w:r>
      <w:r w:rsidRPr="00283268">
        <w:tab/>
      </w:r>
      <w:r w:rsidR="00784EC7" w:rsidRPr="00784EC7">
        <w:t>Transport Trends and Economics 2013–201</w:t>
      </w:r>
      <w:r w:rsidR="00904CD4">
        <w:t>5</w:t>
      </w:r>
      <w:r w:rsidR="00784EC7" w:rsidRPr="00784EC7">
        <w:t>: Financing Transport Infrastructure</w:t>
      </w:r>
    </w:p>
    <w:p w:rsidR="00D637A9" w:rsidRDefault="00283268" w:rsidP="00C06318">
      <w:pPr>
        <w:pStyle w:val="SingleTxtG"/>
      </w:pPr>
      <w:r w:rsidRPr="00283268">
        <w:t xml:space="preserve">The </w:t>
      </w:r>
      <w:r w:rsidR="00D637A9">
        <w:t xml:space="preserve">secretariat will inform the Working Party </w:t>
      </w:r>
      <w:r w:rsidR="00B545B0">
        <w:t xml:space="preserve">about </w:t>
      </w:r>
      <w:r w:rsidR="00904CD4">
        <w:t xml:space="preserve">the </w:t>
      </w:r>
      <w:r w:rsidR="005B26BC">
        <w:t xml:space="preserve">2014-2015 publication </w:t>
      </w:r>
      <w:r w:rsidR="00904CD4">
        <w:t>“</w:t>
      </w:r>
      <w:r w:rsidR="005B26BC">
        <w:t>T</w:t>
      </w:r>
      <w:r w:rsidR="00D637A9">
        <w:t xml:space="preserve">ransport </w:t>
      </w:r>
      <w:r w:rsidR="00AC4BE3">
        <w:t>T</w:t>
      </w:r>
      <w:r w:rsidR="00D637A9">
        <w:t xml:space="preserve">rends and </w:t>
      </w:r>
      <w:r w:rsidR="00AC4BE3">
        <w:t>E</w:t>
      </w:r>
      <w:r w:rsidR="00D637A9">
        <w:t>conomics</w:t>
      </w:r>
      <w:r w:rsidR="00904CD4">
        <w:t xml:space="preserve">: </w:t>
      </w:r>
      <w:r w:rsidR="00AC4BE3">
        <w:t>F</w:t>
      </w:r>
      <w:r w:rsidR="00904CD4">
        <w:t xml:space="preserve">inancing </w:t>
      </w:r>
      <w:r w:rsidR="00AC4BE3">
        <w:t>T</w:t>
      </w:r>
      <w:r w:rsidR="00904CD4">
        <w:t xml:space="preserve">ransport </w:t>
      </w:r>
      <w:r w:rsidR="00AC4BE3">
        <w:t>I</w:t>
      </w:r>
      <w:r w:rsidR="00904CD4">
        <w:t>nfrastructure”</w:t>
      </w:r>
      <w:r w:rsidR="00B01043">
        <w:t>.</w:t>
      </w:r>
      <w:r w:rsidR="00A66D96">
        <w:t xml:space="preserve"> </w:t>
      </w:r>
      <w:r w:rsidR="0077415A">
        <w:t xml:space="preserve">The Working Party may wish to consider document </w:t>
      </w:r>
      <w:r w:rsidR="0077415A" w:rsidRPr="0077415A">
        <w:t>ECE/TRANS/WP.5/2015/1</w:t>
      </w:r>
      <w:r w:rsidR="0077415A">
        <w:t xml:space="preserve"> which contains a </w:t>
      </w:r>
      <w:r w:rsidR="0077415A" w:rsidRPr="00033404">
        <w:rPr>
          <w:color w:val="000000"/>
        </w:rPr>
        <w:t>questionnaire</w:t>
      </w:r>
      <w:r w:rsidR="0077415A">
        <w:t xml:space="preserve"> to be addresses to member States on financing transport infrastructure. The Working Party may wish to provide guidance to the secretariat on this issue.</w:t>
      </w:r>
    </w:p>
    <w:p w:rsidR="0077415A" w:rsidRPr="007B5ACE" w:rsidRDefault="0077415A" w:rsidP="0077415A">
      <w:pPr>
        <w:pStyle w:val="H23G"/>
      </w:pPr>
      <w:r>
        <w:tab/>
      </w:r>
      <w:r>
        <w:tab/>
      </w:r>
      <w:r w:rsidRPr="007B5ACE">
        <w:t>Documentation</w:t>
      </w:r>
    </w:p>
    <w:p w:rsidR="0077415A" w:rsidRDefault="0077415A" w:rsidP="00C06318">
      <w:pPr>
        <w:pStyle w:val="SingleTxtG"/>
      </w:pPr>
      <w:r w:rsidRPr="0077415A">
        <w:t>ECE/TRANS/WP.5/2015/1</w:t>
      </w:r>
    </w:p>
    <w:p w:rsidR="009B6556" w:rsidRPr="00036BDC" w:rsidRDefault="00283268" w:rsidP="00656B70">
      <w:pPr>
        <w:pStyle w:val="H23G"/>
      </w:pPr>
      <w:r>
        <w:tab/>
      </w:r>
      <w:r w:rsidR="007B5ACE">
        <w:t>(</w:t>
      </w:r>
      <w:r w:rsidR="00240C51">
        <w:t>c</w:t>
      </w:r>
      <w:r w:rsidR="007B5ACE">
        <w:t>)</w:t>
      </w:r>
      <w:r w:rsidR="00656B70">
        <w:tab/>
      </w:r>
      <w:r w:rsidR="00656B70" w:rsidRPr="00F97758">
        <w:t xml:space="preserve">Transport </w:t>
      </w:r>
      <w:r w:rsidR="00B545B0" w:rsidRPr="00F97758">
        <w:t xml:space="preserve">Trends </w:t>
      </w:r>
      <w:r w:rsidR="00656B70" w:rsidRPr="00F97758">
        <w:t xml:space="preserve">and </w:t>
      </w:r>
      <w:r w:rsidR="00B545B0" w:rsidRPr="00F97758">
        <w:t xml:space="preserve">Challenges </w:t>
      </w:r>
      <w:r w:rsidR="00656B70" w:rsidRPr="00F97758">
        <w:t>in the road sector</w:t>
      </w:r>
    </w:p>
    <w:p w:rsidR="009B6556" w:rsidRDefault="007329B8" w:rsidP="00DD3D1D">
      <w:pPr>
        <w:pStyle w:val="SingleTxtG"/>
      </w:pPr>
      <w:r>
        <w:t>A representative of the I</w:t>
      </w:r>
      <w:r w:rsidR="009B6556" w:rsidRPr="009B6556">
        <w:t>nternational Road Transport Union will present recent road transport trends and challenges.</w:t>
      </w:r>
    </w:p>
    <w:p w:rsidR="00B32401" w:rsidRDefault="00DF70AD" w:rsidP="00DF70AD">
      <w:pPr>
        <w:pStyle w:val="H23G"/>
      </w:pPr>
      <w:r>
        <w:tab/>
      </w:r>
      <w:r>
        <w:tab/>
      </w:r>
      <w:r w:rsidR="00B32401" w:rsidRPr="0018346C">
        <w:t>Documentation</w:t>
      </w:r>
    </w:p>
    <w:p w:rsidR="00B32401" w:rsidRPr="009B6556" w:rsidRDefault="00B32401" w:rsidP="00DF70AD">
      <w:pPr>
        <w:pStyle w:val="SingleTxtG"/>
      </w:pPr>
      <w:r w:rsidRPr="00DF70AD">
        <w:t>Informal</w:t>
      </w:r>
      <w:r w:rsidRPr="009B6556">
        <w:t xml:space="preserve"> </w:t>
      </w:r>
      <w:r w:rsidR="00C06561">
        <w:t>d</w:t>
      </w:r>
      <w:r w:rsidR="00C06561" w:rsidRPr="009B6556">
        <w:t>ocument</w:t>
      </w:r>
      <w:r w:rsidR="00C06561">
        <w:t xml:space="preserve"> No. </w:t>
      </w:r>
      <w:r w:rsidR="0024750C">
        <w:t>6</w:t>
      </w:r>
    </w:p>
    <w:p w:rsidR="009B6556" w:rsidRPr="00036BDC" w:rsidRDefault="00656B70" w:rsidP="00656B70">
      <w:pPr>
        <w:pStyle w:val="H23G"/>
      </w:pPr>
      <w:r>
        <w:tab/>
        <w:t>(</w:t>
      </w:r>
      <w:r w:rsidR="00B01043">
        <w:t>d</w:t>
      </w:r>
      <w:r>
        <w:t>)</w:t>
      </w:r>
      <w:r>
        <w:tab/>
      </w:r>
      <w:r w:rsidRPr="00F97758">
        <w:t xml:space="preserve">Transport </w:t>
      </w:r>
      <w:r w:rsidR="00B545B0" w:rsidRPr="00F97758">
        <w:t xml:space="preserve">Trends </w:t>
      </w:r>
      <w:r w:rsidRPr="00F97758">
        <w:t>an</w:t>
      </w:r>
      <w:r>
        <w:t xml:space="preserve">d </w:t>
      </w:r>
      <w:r w:rsidR="00B545B0">
        <w:t xml:space="preserve">Challenges </w:t>
      </w:r>
      <w:r>
        <w:t>in the rail sector</w:t>
      </w:r>
    </w:p>
    <w:p w:rsidR="009B6556" w:rsidRDefault="007329B8" w:rsidP="00DD3D1D">
      <w:pPr>
        <w:pStyle w:val="SingleTxtG"/>
      </w:pPr>
      <w:r>
        <w:t xml:space="preserve">A representative of the </w:t>
      </w:r>
      <w:r w:rsidR="009B6556" w:rsidRPr="009B6556">
        <w:t>International Union of Railways will present recent rail transport trends and challenges.</w:t>
      </w:r>
    </w:p>
    <w:p w:rsidR="00B32401" w:rsidRDefault="00DF70AD" w:rsidP="00DF70AD">
      <w:pPr>
        <w:pStyle w:val="H23G"/>
      </w:pPr>
      <w:r>
        <w:tab/>
      </w:r>
      <w:r>
        <w:tab/>
      </w:r>
      <w:r w:rsidR="00B32401" w:rsidRPr="0018346C">
        <w:t>Documentation</w:t>
      </w:r>
    </w:p>
    <w:p w:rsidR="00B32401" w:rsidRDefault="00B32401" w:rsidP="00DF70AD">
      <w:pPr>
        <w:pStyle w:val="SingleTxtG"/>
      </w:pPr>
      <w:r w:rsidRPr="009B6556">
        <w:t xml:space="preserve">Informal </w:t>
      </w:r>
      <w:r w:rsidR="00C06561" w:rsidRPr="00DF70AD">
        <w:t>document</w:t>
      </w:r>
      <w:r w:rsidR="00C06561">
        <w:t xml:space="preserve"> No. </w:t>
      </w:r>
      <w:r w:rsidR="0024750C">
        <w:t>7</w:t>
      </w:r>
    </w:p>
    <w:p w:rsidR="00C322DA" w:rsidRDefault="00B01043" w:rsidP="002A5CE4">
      <w:pPr>
        <w:pStyle w:val="H23G"/>
      </w:pPr>
      <w:r>
        <w:tab/>
        <w:t>(e</w:t>
      </w:r>
      <w:r w:rsidR="00C322DA">
        <w:t>)</w:t>
      </w:r>
      <w:r w:rsidR="00C322DA">
        <w:tab/>
        <w:t xml:space="preserve">Transport </w:t>
      </w:r>
      <w:r w:rsidR="00C322DA" w:rsidRPr="002A5CE4">
        <w:t>Trends</w:t>
      </w:r>
      <w:r w:rsidR="00C322DA">
        <w:t xml:space="preserve"> and Challenges in the inland waterways sector</w:t>
      </w:r>
    </w:p>
    <w:p w:rsidR="00C322DA" w:rsidRPr="002A5CE4" w:rsidRDefault="00C322DA" w:rsidP="002A5CE4">
      <w:pPr>
        <w:pStyle w:val="SingleTxtG"/>
      </w:pPr>
      <w:r w:rsidRPr="002A5CE4">
        <w:t xml:space="preserve">A representative of an </w:t>
      </w:r>
      <w:r w:rsidR="0000451B" w:rsidRPr="002A5CE4">
        <w:t>i</w:t>
      </w:r>
      <w:r w:rsidRPr="002A5CE4">
        <w:t xml:space="preserve">nternational </w:t>
      </w:r>
      <w:r w:rsidR="0000451B" w:rsidRPr="002A5CE4">
        <w:t>o</w:t>
      </w:r>
      <w:r w:rsidRPr="002A5CE4">
        <w:t>rganization will present recent inland waterways transport trends and challenges.</w:t>
      </w:r>
    </w:p>
    <w:p w:rsidR="00B01043" w:rsidRDefault="00B01043" w:rsidP="001543B8">
      <w:pPr>
        <w:pStyle w:val="H23G"/>
        <w:spacing w:before="0" w:line="240" w:lineRule="auto"/>
      </w:pPr>
      <w:r>
        <w:tab/>
        <w:t>(f)</w:t>
      </w:r>
      <w:r>
        <w:tab/>
        <w:t xml:space="preserve">UNECE Transport Statistics analysis </w:t>
      </w:r>
    </w:p>
    <w:p w:rsidR="00B01043" w:rsidRDefault="00B01043" w:rsidP="002A5CE4">
      <w:pPr>
        <w:pStyle w:val="SingleTxtG"/>
      </w:pPr>
      <w:r>
        <w:t xml:space="preserve">The </w:t>
      </w:r>
      <w:r w:rsidRPr="002A5CE4">
        <w:t>secretariat</w:t>
      </w:r>
      <w:r>
        <w:t xml:space="preserve"> will present its work and transport statistics</w:t>
      </w:r>
      <w:r w:rsidR="00BF7EA0">
        <w:t xml:space="preserve"> data</w:t>
      </w:r>
      <w:r w:rsidR="00BF7EA0" w:rsidDel="00BF7EA0">
        <w:t xml:space="preserve"> </w:t>
      </w:r>
      <w:r w:rsidR="00BF7EA0">
        <w:t xml:space="preserve">for </w:t>
      </w:r>
      <w:r>
        <w:t>201</w:t>
      </w:r>
      <w:r w:rsidR="0024750C">
        <w:t>4</w:t>
      </w:r>
      <w:r>
        <w:t xml:space="preserve">. </w:t>
      </w:r>
    </w:p>
    <w:p w:rsidR="009B6556" w:rsidRPr="00036BDC" w:rsidRDefault="00036BDC" w:rsidP="0000451B">
      <w:pPr>
        <w:pStyle w:val="H1G"/>
        <w:spacing w:before="0" w:after="120" w:line="240" w:lineRule="auto"/>
      </w:pPr>
      <w:r>
        <w:tab/>
      </w:r>
      <w:r w:rsidR="00A91FAE">
        <w:t>12</w:t>
      </w:r>
      <w:r>
        <w:t>.</w:t>
      </w:r>
      <w:r w:rsidR="009B6556" w:rsidRPr="00036BDC">
        <w:tab/>
        <w:t>Technical assistance to countries with economies</w:t>
      </w:r>
      <w:r w:rsidR="00BF7EA0">
        <w:t xml:space="preserve"> in</w:t>
      </w:r>
      <w:r w:rsidR="00BF7EA0" w:rsidRPr="00BF7EA0">
        <w:t xml:space="preserve"> </w:t>
      </w:r>
      <w:r w:rsidR="00BF7EA0" w:rsidRPr="00036BDC">
        <w:t>transition</w:t>
      </w:r>
    </w:p>
    <w:p w:rsidR="009B6556" w:rsidRDefault="009B6556" w:rsidP="00DD3D1D">
      <w:pPr>
        <w:pStyle w:val="SingleTxtG"/>
      </w:pPr>
      <w:r w:rsidRPr="009B6556">
        <w:t xml:space="preserve">The Working Party will be informed about activities of the Regional Adviser </w:t>
      </w:r>
      <w:r w:rsidR="0024750C">
        <w:t>(</w:t>
      </w:r>
      <w:r w:rsidR="0024750C" w:rsidRPr="009B6556">
        <w:t xml:space="preserve">Informal </w:t>
      </w:r>
      <w:r w:rsidR="0024750C">
        <w:t>d</w:t>
      </w:r>
      <w:r w:rsidR="0024750C" w:rsidRPr="009B6556">
        <w:t>ocument</w:t>
      </w:r>
      <w:r w:rsidR="0024750C">
        <w:t xml:space="preserve"> No. 8) on technical assistance provided by ECE to countries with economies in transition.</w:t>
      </w:r>
    </w:p>
    <w:p w:rsidR="00B32401" w:rsidRPr="00656B70" w:rsidRDefault="00DF70AD" w:rsidP="00DF70AD">
      <w:pPr>
        <w:pStyle w:val="H23G"/>
      </w:pPr>
      <w:r>
        <w:tab/>
      </w:r>
      <w:r>
        <w:tab/>
      </w:r>
      <w:r w:rsidR="00B32401" w:rsidRPr="00656B70">
        <w:t>Documentation</w:t>
      </w:r>
    </w:p>
    <w:p w:rsidR="00B32401" w:rsidRDefault="00B32401" w:rsidP="00B32401">
      <w:pPr>
        <w:pStyle w:val="SingleTxtG"/>
      </w:pPr>
      <w:r w:rsidRPr="009B6556">
        <w:t xml:space="preserve">Informal </w:t>
      </w:r>
      <w:r w:rsidR="00C06318">
        <w:t>d</w:t>
      </w:r>
      <w:r w:rsidR="00C06318" w:rsidRPr="009B6556">
        <w:t>ocument</w:t>
      </w:r>
      <w:r w:rsidR="00C06318">
        <w:t xml:space="preserve"> No. </w:t>
      </w:r>
      <w:r w:rsidR="0024750C">
        <w:t>8</w:t>
      </w:r>
    </w:p>
    <w:p w:rsidR="00A91FAE" w:rsidRPr="007924A8" w:rsidRDefault="00A91FAE" w:rsidP="00A91FAE">
      <w:pPr>
        <w:pStyle w:val="H1G"/>
      </w:pPr>
      <w:r>
        <w:tab/>
        <w:t>13</w:t>
      </w:r>
      <w:r w:rsidRPr="007924A8">
        <w:t>.</w:t>
      </w:r>
      <w:r w:rsidRPr="007924A8">
        <w:tab/>
        <w:t>Transport and Competitiveness</w:t>
      </w:r>
      <w:r>
        <w:t>.</w:t>
      </w:r>
    </w:p>
    <w:p w:rsidR="00A91FAE" w:rsidRDefault="002C21BA" w:rsidP="00B32401">
      <w:pPr>
        <w:pStyle w:val="SingleTxtG"/>
      </w:pPr>
      <w:r w:rsidRPr="002C21BA">
        <w:t>The secretariat will inform the Working Party about the progress of the UNECE project “Supply Chain Challenges for National Competitiveness through Transport” approved by ITC at its seventy-second session in February 2010.</w:t>
      </w:r>
    </w:p>
    <w:p w:rsidR="009B6556" w:rsidRDefault="00D04B5E" w:rsidP="00B01043">
      <w:pPr>
        <w:pStyle w:val="H1G"/>
        <w:jc w:val="both"/>
      </w:pPr>
      <w:r>
        <w:tab/>
        <w:t>1</w:t>
      </w:r>
      <w:r w:rsidR="00A91FAE">
        <w:t>4</w:t>
      </w:r>
      <w:r>
        <w:t>.</w:t>
      </w:r>
      <w:r>
        <w:tab/>
      </w:r>
      <w:r w:rsidR="009B6556" w:rsidRPr="00036BDC">
        <w:t>Activities of U</w:t>
      </w:r>
      <w:r w:rsidR="00144277">
        <w:t xml:space="preserve">nited Nations </w:t>
      </w:r>
      <w:r w:rsidR="009B6556" w:rsidRPr="00036BDC">
        <w:t>E</w:t>
      </w:r>
      <w:r w:rsidR="00144277">
        <w:t xml:space="preserve">conomic </w:t>
      </w:r>
      <w:r w:rsidR="00144277" w:rsidRPr="00036BDC">
        <w:t>C</w:t>
      </w:r>
      <w:r w:rsidR="00144277">
        <w:t xml:space="preserve">ommission for </w:t>
      </w:r>
      <w:r w:rsidR="009B6556" w:rsidRPr="00036BDC">
        <w:t>E</w:t>
      </w:r>
      <w:r w:rsidR="00144277">
        <w:t>urope</w:t>
      </w:r>
      <w:r w:rsidR="009B6556" w:rsidRPr="00036BDC">
        <w:t xml:space="preserve"> bodies of interest to the Working Party</w:t>
      </w:r>
    </w:p>
    <w:p w:rsidR="002C21BA" w:rsidRPr="002A5CE4" w:rsidRDefault="002C21BA" w:rsidP="002A5CE4">
      <w:pPr>
        <w:pStyle w:val="SingleTxtG"/>
      </w:pPr>
      <w:r w:rsidRPr="002A5CE4">
        <w:t>The Working Party will be informed about the main decisions of the seventy-sixth session of the Inland Transport Committee (25–27 February 2015) on issues of interest to the Working Party.</w:t>
      </w:r>
    </w:p>
    <w:p w:rsidR="002A5CE4" w:rsidRDefault="002A5CE4" w:rsidP="002A5CE4">
      <w:pPr>
        <w:pStyle w:val="H23G"/>
      </w:pPr>
      <w:r>
        <w:tab/>
      </w:r>
      <w:r>
        <w:tab/>
        <w:t>Documentation</w:t>
      </w:r>
    </w:p>
    <w:p w:rsidR="00A91FAE" w:rsidRPr="002A5CE4" w:rsidRDefault="002C21BA" w:rsidP="002A5CE4">
      <w:pPr>
        <w:pStyle w:val="SingleTxtG"/>
      </w:pPr>
      <w:r w:rsidRPr="002A5CE4">
        <w:t>ECE/TRANS/24</w:t>
      </w:r>
      <w:r w:rsidR="0024750C" w:rsidRPr="002A5CE4">
        <w:t>8</w:t>
      </w:r>
    </w:p>
    <w:p w:rsidR="00A91FAE" w:rsidRDefault="00A91FAE" w:rsidP="00A91FAE">
      <w:pPr>
        <w:pStyle w:val="H1G"/>
      </w:pPr>
      <w:r>
        <w:tab/>
        <w:t>15.</w:t>
      </w:r>
      <w:r>
        <w:tab/>
      </w:r>
      <w:r w:rsidRPr="00C453C0">
        <w:t>Programme of work and biennial evaluation for 201</w:t>
      </w:r>
      <w:r>
        <w:t>6–</w:t>
      </w:r>
      <w:r w:rsidRPr="00C453C0">
        <w:t>201</w:t>
      </w:r>
      <w:r>
        <w:t>7</w:t>
      </w:r>
    </w:p>
    <w:p w:rsidR="00D8718E" w:rsidRDefault="002A5CE4" w:rsidP="00D8718E">
      <w:pPr>
        <w:pStyle w:val="H23G"/>
        <w:jc w:val="both"/>
      </w:pPr>
      <w:r>
        <w:tab/>
      </w:r>
      <w:r w:rsidR="00D8718E">
        <w:t>(a)</w:t>
      </w:r>
      <w:r>
        <w:tab/>
      </w:r>
      <w:r w:rsidR="00D8718E">
        <w:t>Draft programme of work and biennial evaluation for 2016–2017</w:t>
      </w:r>
    </w:p>
    <w:p w:rsidR="00D8718E" w:rsidRDefault="002C21BA" w:rsidP="002A5CE4">
      <w:pPr>
        <w:pStyle w:val="SingleTxtG"/>
        <w:rPr>
          <w:lang w:eastAsia="en-GB"/>
        </w:rPr>
      </w:pPr>
      <w:r>
        <w:rPr>
          <w:lang w:eastAsia="en-GB"/>
        </w:rPr>
        <w:t xml:space="preserve">The Working Party may wish to recall that, at its </w:t>
      </w:r>
      <w:r w:rsidR="0024750C">
        <w:rPr>
          <w:lang w:eastAsia="en-GB"/>
        </w:rPr>
        <w:t>twenty</w:t>
      </w:r>
      <w:r>
        <w:rPr>
          <w:lang w:eastAsia="en-GB"/>
        </w:rPr>
        <w:t>-</w:t>
      </w:r>
      <w:r w:rsidR="0024750C">
        <w:rPr>
          <w:lang w:eastAsia="en-GB"/>
        </w:rPr>
        <w:t>sixth</w:t>
      </w:r>
      <w:r>
        <w:rPr>
          <w:lang w:eastAsia="en-GB"/>
        </w:rPr>
        <w:t xml:space="preserve"> session on </w:t>
      </w:r>
      <w:r w:rsidR="00BA3313">
        <w:rPr>
          <w:lang w:eastAsia="en-GB"/>
        </w:rPr>
        <w:br/>
      </w:r>
      <w:r w:rsidR="0024750C">
        <w:rPr>
          <w:lang w:eastAsia="en-GB"/>
        </w:rPr>
        <w:t>10</w:t>
      </w:r>
      <w:r w:rsidR="00BA3313">
        <w:rPr>
          <w:lang w:eastAsia="en-GB"/>
        </w:rPr>
        <w:t>–</w:t>
      </w:r>
      <w:r w:rsidR="0024750C">
        <w:rPr>
          <w:lang w:eastAsia="en-GB"/>
        </w:rPr>
        <w:t>12 September</w:t>
      </w:r>
      <w:r>
        <w:rPr>
          <w:lang w:eastAsia="en-GB"/>
        </w:rPr>
        <w:t xml:space="preserve"> 201</w:t>
      </w:r>
      <w:r w:rsidR="0024750C">
        <w:rPr>
          <w:lang w:eastAsia="en-GB"/>
        </w:rPr>
        <w:t>3</w:t>
      </w:r>
      <w:r>
        <w:rPr>
          <w:lang w:eastAsia="en-GB"/>
        </w:rPr>
        <w:t>,</w:t>
      </w:r>
      <w:r w:rsidR="0024750C">
        <w:rPr>
          <w:lang w:eastAsia="en-GB"/>
        </w:rPr>
        <w:t xml:space="preserve"> </w:t>
      </w:r>
      <w:r>
        <w:rPr>
          <w:lang w:eastAsia="en-GB"/>
        </w:rPr>
        <w:t>it had approved indicators of achievement for measuring its expected accomplishments in 201</w:t>
      </w:r>
      <w:r w:rsidR="0024750C">
        <w:rPr>
          <w:lang w:eastAsia="en-GB"/>
        </w:rPr>
        <w:t>4</w:t>
      </w:r>
      <w:r>
        <w:rPr>
          <w:lang w:eastAsia="en-GB"/>
        </w:rPr>
        <w:t xml:space="preserve"> and 201</w:t>
      </w:r>
      <w:r w:rsidR="0024750C">
        <w:rPr>
          <w:lang w:eastAsia="en-GB"/>
        </w:rPr>
        <w:t>5</w:t>
      </w:r>
      <w:r>
        <w:rPr>
          <w:lang w:eastAsia="en-GB"/>
        </w:rPr>
        <w:t xml:space="preserve"> (ECE/TRANS/</w:t>
      </w:r>
      <w:r w:rsidR="0024750C">
        <w:rPr>
          <w:lang w:eastAsia="en-GB"/>
        </w:rPr>
        <w:t>WP.5</w:t>
      </w:r>
      <w:r>
        <w:rPr>
          <w:lang w:eastAsia="en-GB"/>
        </w:rPr>
        <w:t>/</w:t>
      </w:r>
      <w:r w:rsidR="0024750C">
        <w:rPr>
          <w:lang w:eastAsia="en-GB"/>
        </w:rPr>
        <w:t>54</w:t>
      </w:r>
      <w:r>
        <w:rPr>
          <w:lang w:eastAsia="en-GB"/>
        </w:rPr>
        <w:t xml:space="preserve">, para. </w:t>
      </w:r>
      <w:r w:rsidR="0024750C">
        <w:rPr>
          <w:lang w:eastAsia="en-GB"/>
        </w:rPr>
        <w:t>77</w:t>
      </w:r>
      <w:r>
        <w:rPr>
          <w:lang w:eastAsia="en-GB"/>
        </w:rPr>
        <w:t>). In accordance with the decision of the ITC to review its programme of work every two years, the next review being in 201</w:t>
      </w:r>
      <w:r w:rsidR="0024750C">
        <w:rPr>
          <w:lang w:eastAsia="en-GB"/>
        </w:rPr>
        <w:t>6</w:t>
      </w:r>
      <w:r>
        <w:rPr>
          <w:lang w:eastAsia="en-GB"/>
        </w:rPr>
        <w:t>, the Working Party may wish to review and adopt its programme of work for 201</w:t>
      </w:r>
      <w:r w:rsidR="0024750C">
        <w:rPr>
          <w:lang w:eastAsia="en-GB"/>
        </w:rPr>
        <w:t>6</w:t>
      </w:r>
      <w:r>
        <w:rPr>
          <w:lang w:eastAsia="en-GB"/>
        </w:rPr>
        <w:t>–201</w:t>
      </w:r>
      <w:r w:rsidR="0024750C">
        <w:rPr>
          <w:lang w:eastAsia="en-GB"/>
        </w:rPr>
        <w:t>7</w:t>
      </w:r>
      <w:r>
        <w:rPr>
          <w:lang w:eastAsia="en-GB"/>
        </w:rPr>
        <w:t xml:space="preserve"> as</w:t>
      </w:r>
      <w:r w:rsidR="0024750C">
        <w:rPr>
          <w:lang w:eastAsia="en-GB"/>
        </w:rPr>
        <w:t xml:space="preserve"> </w:t>
      </w:r>
      <w:r>
        <w:rPr>
          <w:lang w:eastAsia="en-GB"/>
        </w:rPr>
        <w:t>well as the relevant parameters for its biennial evaluation. The draft programme of work for 201</w:t>
      </w:r>
      <w:r w:rsidR="0024750C">
        <w:rPr>
          <w:lang w:eastAsia="en-GB"/>
        </w:rPr>
        <w:t>6</w:t>
      </w:r>
      <w:r>
        <w:rPr>
          <w:lang w:eastAsia="en-GB"/>
        </w:rPr>
        <w:t>–201</w:t>
      </w:r>
      <w:r w:rsidR="0024750C">
        <w:rPr>
          <w:lang w:eastAsia="en-GB"/>
        </w:rPr>
        <w:t>7</w:t>
      </w:r>
      <w:r>
        <w:rPr>
          <w:lang w:eastAsia="en-GB"/>
        </w:rPr>
        <w:t xml:space="preserve"> and the expected accomplishment indicators are contained in document ECE/TRANS/</w:t>
      </w:r>
      <w:r w:rsidR="0024750C">
        <w:rPr>
          <w:lang w:eastAsia="en-GB"/>
        </w:rPr>
        <w:t>WP.5</w:t>
      </w:r>
      <w:r>
        <w:rPr>
          <w:lang w:eastAsia="en-GB"/>
        </w:rPr>
        <w:t>/201</w:t>
      </w:r>
      <w:r w:rsidR="0024750C">
        <w:rPr>
          <w:lang w:eastAsia="en-GB"/>
        </w:rPr>
        <w:t>5</w:t>
      </w:r>
      <w:r>
        <w:rPr>
          <w:lang w:eastAsia="en-GB"/>
        </w:rPr>
        <w:t>/</w:t>
      </w:r>
      <w:r w:rsidR="0024750C">
        <w:rPr>
          <w:lang w:eastAsia="en-GB"/>
        </w:rPr>
        <w:t>8</w:t>
      </w:r>
      <w:r>
        <w:rPr>
          <w:lang w:eastAsia="en-GB"/>
        </w:rPr>
        <w:t>.</w:t>
      </w:r>
    </w:p>
    <w:p w:rsidR="002A5CE4" w:rsidRDefault="002A5CE4" w:rsidP="002A5CE4">
      <w:pPr>
        <w:pStyle w:val="H23G"/>
        <w:rPr>
          <w:lang w:eastAsia="en-GB"/>
        </w:rPr>
      </w:pPr>
      <w:r>
        <w:rPr>
          <w:lang w:eastAsia="en-GB"/>
        </w:rPr>
        <w:tab/>
      </w:r>
      <w:r>
        <w:rPr>
          <w:lang w:eastAsia="en-GB"/>
        </w:rPr>
        <w:tab/>
      </w:r>
      <w:r w:rsidR="002C21BA">
        <w:rPr>
          <w:lang w:eastAsia="en-GB"/>
        </w:rPr>
        <w:t>Documentation</w:t>
      </w:r>
    </w:p>
    <w:p w:rsidR="002C21BA" w:rsidRDefault="002C21BA" w:rsidP="002A5CE4">
      <w:pPr>
        <w:pStyle w:val="SingleTxtG"/>
      </w:pPr>
      <w:r w:rsidRPr="002C21BA">
        <w:rPr>
          <w:lang w:eastAsia="en-GB"/>
        </w:rPr>
        <w:t>ECE/TRANS/WP.5/2015/8</w:t>
      </w:r>
    </w:p>
    <w:p w:rsidR="00D8718E" w:rsidRPr="002A5CE4" w:rsidRDefault="00D8718E" w:rsidP="002A5CE4">
      <w:pPr>
        <w:pStyle w:val="H23G"/>
      </w:pPr>
      <w:r w:rsidRPr="002A5CE4">
        <w:tab/>
        <w:t>(b)</w:t>
      </w:r>
      <w:r w:rsidR="002A5CE4">
        <w:tab/>
      </w:r>
      <w:r w:rsidR="00BA3313">
        <w:t>Draft work plan for 2016–2020</w:t>
      </w:r>
    </w:p>
    <w:p w:rsidR="00A91FAE" w:rsidRPr="00A91FAE" w:rsidRDefault="002C21BA" w:rsidP="002A5CE4">
      <w:pPr>
        <w:pStyle w:val="SingleTxtG"/>
      </w:pPr>
      <w:r>
        <w:rPr>
          <w:lang w:eastAsia="en-GB"/>
        </w:rPr>
        <w:t>As requested by the ITC Bureau on 20 June 2011, the Working Party should review and approve its traditional 4-year work plan for 201</w:t>
      </w:r>
      <w:r w:rsidR="0024750C">
        <w:rPr>
          <w:lang w:eastAsia="en-GB"/>
        </w:rPr>
        <w:t>6</w:t>
      </w:r>
      <w:r>
        <w:rPr>
          <w:lang w:eastAsia="en-GB"/>
        </w:rPr>
        <w:t>–20</w:t>
      </w:r>
      <w:r w:rsidR="0024750C">
        <w:rPr>
          <w:lang w:eastAsia="en-GB"/>
        </w:rPr>
        <w:t>20</w:t>
      </w:r>
      <w:r>
        <w:rPr>
          <w:lang w:eastAsia="en-GB"/>
        </w:rPr>
        <w:t>, in addition to the mandatory programme of work and biennial evaluation for 201</w:t>
      </w:r>
      <w:r w:rsidR="0024750C">
        <w:rPr>
          <w:lang w:eastAsia="en-GB"/>
        </w:rPr>
        <w:t>6</w:t>
      </w:r>
      <w:r>
        <w:rPr>
          <w:lang w:eastAsia="en-GB"/>
        </w:rPr>
        <w:t>–201</w:t>
      </w:r>
      <w:r w:rsidR="0024750C">
        <w:rPr>
          <w:lang w:eastAsia="en-GB"/>
        </w:rPr>
        <w:t>7</w:t>
      </w:r>
      <w:r>
        <w:rPr>
          <w:lang w:eastAsia="en-GB"/>
        </w:rPr>
        <w:t xml:space="preserve"> (see above). Document ECE/TRANS/</w:t>
      </w:r>
      <w:r w:rsidR="0024750C">
        <w:rPr>
          <w:lang w:eastAsia="en-GB"/>
        </w:rPr>
        <w:t>WP.5</w:t>
      </w:r>
      <w:r>
        <w:rPr>
          <w:lang w:eastAsia="en-GB"/>
        </w:rPr>
        <w:t>/201</w:t>
      </w:r>
      <w:r w:rsidR="0024750C">
        <w:rPr>
          <w:lang w:eastAsia="en-GB"/>
        </w:rPr>
        <w:t>5</w:t>
      </w:r>
      <w:r>
        <w:rPr>
          <w:lang w:eastAsia="en-GB"/>
        </w:rPr>
        <w:t xml:space="preserve">/9 has reproduced the work plan adopted by the Working Party on </w:t>
      </w:r>
      <w:r w:rsidR="0024750C">
        <w:rPr>
          <w:lang w:eastAsia="en-GB"/>
        </w:rPr>
        <w:t xml:space="preserve">12 September </w:t>
      </w:r>
      <w:r>
        <w:rPr>
          <w:lang w:eastAsia="en-GB"/>
        </w:rPr>
        <w:t>201</w:t>
      </w:r>
      <w:r w:rsidR="0024750C">
        <w:rPr>
          <w:lang w:eastAsia="en-GB"/>
        </w:rPr>
        <w:t>3</w:t>
      </w:r>
      <w:r>
        <w:rPr>
          <w:lang w:eastAsia="en-GB"/>
        </w:rPr>
        <w:t xml:space="preserve"> (ECE/TRANS/</w:t>
      </w:r>
      <w:r w:rsidR="0024750C">
        <w:rPr>
          <w:lang w:eastAsia="en-GB"/>
        </w:rPr>
        <w:t>WP.5</w:t>
      </w:r>
      <w:r>
        <w:rPr>
          <w:lang w:eastAsia="en-GB"/>
        </w:rPr>
        <w:t>/</w:t>
      </w:r>
      <w:r w:rsidR="0024750C">
        <w:rPr>
          <w:lang w:eastAsia="en-GB"/>
        </w:rPr>
        <w:t>54</w:t>
      </w:r>
      <w:r>
        <w:rPr>
          <w:lang w:eastAsia="en-GB"/>
        </w:rPr>
        <w:t xml:space="preserve">, para. </w:t>
      </w:r>
      <w:r w:rsidR="0024750C">
        <w:rPr>
          <w:lang w:eastAsia="en-GB"/>
        </w:rPr>
        <w:t>7</w:t>
      </w:r>
      <w:r>
        <w:rPr>
          <w:lang w:eastAsia="en-GB"/>
        </w:rPr>
        <w:t xml:space="preserve">7) and approved </w:t>
      </w:r>
      <w:r w:rsidR="00F902D0">
        <w:rPr>
          <w:lang w:eastAsia="en-GB"/>
        </w:rPr>
        <w:t xml:space="preserve">by </w:t>
      </w:r>
      <w:r>
        <w:rPr>
          <w:lang w:eastAsia="en-GB"/>
        </w:rPr>
        <w:t xml:space="preserve">the ITC on </w:t>
      </w:r>
      <w:r w:rsidR="005650A4">
        <w:rPr>
          <w:lang w:eastAsia="en-GB"/>
        </w:rPr>
        <w:br/>
      </w:r>
      <w:r w:rsidR="00F902D0">
        <w:rPr>
          <w:lang w:eastAsia="en-GB"/>
        </w:rPr>
        <w:t>27 February 2014</w:t>
      </w:r>
      <w:r>
        <w:rPr>
          <w:lang w:eastAsia="en-GB"/>
        </w:rPr>
        <w:t xml:space="preserve"> (ECE/TRANS/24</w:t>
      </w:r>
      <w:r w:rsidR="00F902D0">
        <w:rPr>
          <w:lang w:eastAsia="en-GB"/>
        </w:rPr>
        <w:t>0</w:t>
      </w:r>
      <w:r>
        <w:rPr>
          <w:lang w:eastAsia="en-GB"/>
        </w:rPr>
        <w:t xml:space="preserve">, para. </w:t>
      </w:r>
      <w:r w:rsidR="00F902D0">
        <w:rPr>
          <w:lang w:eastAsia="en-GB"/>
        </w:rPr>
        <w:t>105</w:t>
      </w:r>
      <w:r>
        <w:rPr>
          <w:lang w:eastAsia="en-GB"/>
        </w:rPr>
        <w:t>), indicating also proposed deletions, modifications and additions, as appropriate. The Working Party may wish to review its work plan for 201</w:t>
      </w:r>
      <w:r w:rsidR="00F902D0">
        <w:rPr>
          <w:lang w:eastAsia="en-GB"/>
        </w:rPr>
        <w:t>6</w:t>
      </w:r>
      <w:r>
        <w:rPr>
          <w:lang w:eastAsia="en-GB"/>
        </w:rPr>
        <w:t>–20</w:t>
      </w:r>
      <w:r w:rsidR="00F902D0">
        <w:rPr>
          <w:lang w:eastAsia="en-GB"/>
        </w:rPr>
        <w:t>20</w:t>
      </w:r>
      <w:r>
        <w:rPr>
          <w:lang w:eastAsia="en-GB"/>
        </w:rPr>
        <w:t xml:space="preserve"> for adoption and transmission to the ITC.</w:t>
      </w:r>
    </w:p>
    <w:p w:rsidR="002A5CE4" w:rsidRDefault="002A5CE4" w:rsidP="002A5CE4">
      <w:pPr>
        <w:pStyle w:val="H23G"/>
        <w:rPr>
          <w:lang w:eastAsia="en-GB"/>
        </w:rPr>
      </w:pPr>
      <w:r>
        <w:rPr>
          <w:lang w:eastAsia="en-GB"/>
        </w:rPr>
        <w:tab/>
      </w:r>
      <w:r>
        <w:rPr>
          <w:lang w:eastAsia="en-GB"/>
        </w:rPr>
        <w:tab/>
      </w:r>
      <w:r w:rsidR="002C21BA">
        <w:rPr>
          <w:lang w:eastAsia="en-GB"/>
        </w:rPr>
        <w:t>Documentation</w:t>
      </w:r>
    </w:p>
    <w:p w:rsidR="00A91FAE" w:rsidRPr="002A5CE4" w:rsidRDefault="002C21BA" w:rsidP="002A5CE4">
      <w:pPr>
        <w:pStyle w:val="SingleTxtG"/>
      </w:pPr>
      <w:r w:rsidRPr="002A5CE4">
        <w:t>ECE/TRANS/WP.5/2015/9</w:t>
      </w:r>
    </w:p>
    <w:p w:rsidR="009B6556" w:rsidRPr="00036BDC" w:rsidRDefault="00DD3D1D" w:rsidP="00036BDC">
      <w:pPr>
        <w:pStyle w:val="H1G"/>
      </w:pPr>
      <w:r>
        <w:tab/>
      </w:r>
      <w:r w:rsidR="009B6556" w:rsidRPr="00036BDC">
        <w:t>1</w:t>
      </w:r>
      <w:r w:rsidR="00A91FAE">
        <w:t>6</w:t>
      </w:r>
      <w:r>
        <w:t>.</w:t>
      </w:r>
      <w:r w:rsidR="009B6556" w:rsidRPr="00036BDC">
        <w:tab/>
        <w:t>Other business</w:t>
      </w:r>
    </w:p>
    <w:p w:rsidR="009B6556" w:rsidRPr="009B6556" w:rsidRDefault="009B6556" w:rsidP="00DD3D1D">
      <w:pPr>
        <w:pStyle w:val="SingleTxtG"/>
      </w:pPr>
      <w:r w:rsidRPr="009B6556">
        <w:t>At the time of drafting this provisional agenda, there were no proposals under this item.</w:t>
      </w:r>
    </w:p>
    <w:p w:rsidR="009B6556" w:rsidRPr="00036BDC" w:rsidRDefault="00DD3D1D" w:rsidP="00E00EB3">
      <w:pPr>
        <w:pStyle w:val="H1G"/>
      </w:pPr>
      <w:r>
        <w:tab/>
      </w:r>
      <w:r w:rsidR="009B6556" w:rsidRPr="00036BDC">
        <w:t>1</w:t>
      </w:r>
      <w:r w:rsidR="00A91FAE">
        <w:t>7</w:t>
      </w:r>
      <w:r w:rsidR="00E00EB3">
        <w:t>.</w:t>
      </w:r>
      <w:r w:rsidR="009B6556" w:rsidRPr="00036BDC">
        <w:tab/>
        <w:t>Date of next session</w:t>
      </w:r>
    </w:p>
    <w:p w:rsidR="00B32401" w:rsidRPr="00AB60BC" w:rsidRDefault="009B6556" w:rsidP="00AB60BC">
      <w:pPr>
        <w:pStyle w:val="SingleTxtG"/>
      </w:pPr>
      <w:r w:rsidRPr="009B6556">
        <w:t>The Working Party’s twenty-</w:t>
      </w:r>
      <w:r w:rsidR="00147230">
        <w:t>ninth</w:t>
      </w:r>
      <w:r w:rsidR="00784FC8">
        <w:t xml:space="preserve"> </w:t>
      </w:r>
      <w:r w:rsidRPr="009B6556">
        <w:t xml:space="preserve">session is tentatively scheduled to take place in Geneva </w:t>
      </w:r>
      <w:r w:rsidR="00EF12DA">
        <w:t xml:space="preserve">from </w:t>
      </w:r>
      <w:r w:rsidR="00076612" w:rsidRPr="00033404">
        <w:rPr>
          <w:color w:val="000000"/>
        </w:rPr>
        <w:t>5</w:t>
      </w:r>
      <w:r w:rsidR="00EF12DA" w:rsidRPr="00033404">
        <w:rPr>
          <w:color w:val="000000"/>
        </w:rPr>
        <w:t xml:space="preserve"> to </w:t>
      </w:r>
      <w:r w:rsidR="00076612" w:rsidRPr="00033404">
        <w:rPr>
          <w:color w:val="000000"/>
        </w:rPr>
        <w:t>7</w:t>
      </w:r>
      <w:r w:rsidR="000F784A" w:rsidRPr="00033404">
        <w:rPr>
          <w:color w:val="000000"/>
        </w:rPr>
        <w:t xml:space="preserve"> </w:t>
      </w:r>
      <w:r w:rsidR="00C06318" w:rsidRPr="00033404">
        <w:rPr>
          <w:color w:val="000000"/>
        </w:rPr>
        <w:t>September 201</w:t>
      </w:r>
      <w:r w:rsidR="00147230" w:rsidRPr="00033404">
        <w:rPr>
          <w:color w:val="000000"/>
        </w:rPr>
        <w:t>6</w:t>
      </w:r>
      <w:r w:rsidRPr="00033404">
        <w:rPr>
          <w:color w:val="000000"/>
        </w:rPr>
        <w:t>.</w:t>
      </w:r>
      <w:r w:rsidRPr="009B6556">
        <w:t xml:space="preserve"> </w:t>
      </w:r>
    </w:p>
    <w:p w:rsidR="009B6556" w:rsidRPr="00036BDC" w:rsidRDefault="00A4022D" w:rsidP="00036BDC">
      <w:pPr>
        <w:pStyle w:val="H1G"/>
      </w:pPr>
      <w:r>
        <w:tab/>
      </w:r>
      <w:r w:rsidR="009B6556" w:rsidRPr="00036BDC">
        <w:t>1</w:t>
      </w:r>
      <w:r w:rsidR="00A91FAE">
        <w:t>8</w:t>
      </w:r>
      <w:r>
        <w:t>.</w:t>
      </w:r>
      <w:r w:rsidR="009B6556" w:rsidRPr="00036BDC">
        <w:tab/>
        <w:t>Adoption of the report</w:t>
      </w:r>
    </w:p>
    <w:p w:rsidR="009B6556" w:rsidRDefault="009B6556" w:rsidP="00895281">
      <w:pPr>
        <w:pStyle w:val="SingleTxtG"/>
      </w:pPr>
      <w:r w:rsidRPr="009B6556">
        <w:t>In accordance with the decision of the Working Party taken at its fifteenth session (TRANS/WP.5/32, para.</w:t>
      </w:r>
      <w:r w:rsidR="00A4022D">
        <w:t xml:space="preserve"> </w:t>
      </w:r>
      <w:r w:rsidRPr="009B6556">
        <w:t>56), decisions taken at the session will be adopted at the end of the session. The report of the session, including the decisions, will be established by the Chair and Vice-Chair with the assistance of the secretariat, for submission to the Inland Transport Committee.</w:t>
      </w:r>
    </w:p>
    <w:p w:rsidR="00FC0F6E" w:rsidRPr="00FC0F6E" w:rsidRDefault="00FC0F6E" w:rsidP="00FC0F6E">
      <w:pPr>
        <w:pStyle w:val="SingleTxtG"/>
        <w:spacing w:before="240" w:after="0"/>
        <w:jc w:val="center"/>
        <w:rPr>
          <w:u w:val="single"/>
        </w:rPr>
      </w:pPr>
      <w:r>
        <w:rPr>
          <w:u w:val="single"/>
        </w:rPr>
        <w:tab/>
      </w:r>
      <w:r>
        <w:rPr>
          <w:u w:val="single"/>
        </w:rPr>
        <w:tab/>
      </w:r>
      <w:r>
        <w:rPr>
          <w:u w:val="single"/>
        </w:rPr>
        <w:tab/>
      </w:r>
    </w:p>
    <w:sectPr w:rsidR="00FC0F6E" w:rsidRPr="00FC0F6E" w:rsidSect="00036F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F8" w:rsidRDefault="00A958F8"/>
  </w:endnote>
  <w:endnote w:type="continuationSeparator" w:id="0">
    <w:p w:rsidR="00A958F8" w:rsidRDefault="00A958F8"/>
  </w:endnote>
  <w:endnote w:type="continuationNotice" w:id="1">
    <w:p w:rsidR="00A958F8" w:rsidRDefault="00A9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sz w:val="18"/>
      </w:rPr>
    </w:pPr>
    <w:r w:rsidRPr="00F16E71">
      <w:rPr>
        <w:b/>
        <w:sz w:val="18"/>
      </w:rPr>
      <w:fldChar w:fldCharType="begin"/>
    </w:r>
    <w:r w:rsidRPr="00F16E71">
      <w:rPr>
        <w:b/>
        <w:sz w:val="18"/>
      </w:rPr>
      <w:instrText xml:space="preserve"> PAGE  \* MERGEFORMAT </w:instrText>
    </w:r>
    <w:r w:rsidRPr="00F16E71">
      <w:rPr>
        <w:b/>
        <w:sz w:val="18"/>
      </w:rPr>
      <w:fldChar w:fldCharType="separate"/>
    </w:r>
    <w:r w:rsidR="00411CEF">
      <w:rPr>
        <w:b/>
        <w:noProof/>
        <w:sz w:val="18"/>
      </w:rPr>
      <w:t>2</w:t>
    </w:r>
    <w:r w:rsidRPr="00F16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b/>
        <w:sz w:val="18"/>
      </w:rPr>
    </w:pPr>
    <w:r>
      <w:tab/>
    </w:r>
    <w:r w:rsidRPr="00F16E71">
      <w:rPr>
        <w:b/>
        <w:sz w:val="18"/>
      </w:rPr>
      <w:fldChar w:fldCharType="begin"/>
    </w:r>
    <w:r w:rsidRPr="00F16E71">
      <w:rPr>
        <w:b/>
        <w:sz w:val="18"/>
      </w:rPr>
      <w:instrText xml:space="preserve"> PAGE  \* MERGEFORMAT </w:instrText>
    </w:r>
    <w:r w:rsidRPr="00F16E71">
      <w:rPr>
        <w:b/>
        <w:sz w:val="18"/>
      </w:rPr>
      <w:fldChar w:fldCharType="separate"/>
    </w:r>
    <w:r w:rsidR="00411CEF">
      <w:rPr>
        <w:b/>
        <w:noProof/>
        <w:sz w:val="18"/>
      </w:rPr>
      <w:t>9</w:t>
    </w:r>
    <w:r w:rsidRPr="00F16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1B4909">
    <w:pPr>
      <w:pStyle w:val="Footer"/>
      <w:rPr>
        <w:sz w:val="20"/>
      </w:rPr>
    </w:pPr>
    <w:r>
      <w:rPr>
        <w:noProof/>
        <w:lang w:eastAsia="en-GB"/>
      </w:rPr>
      <w:drawing>
        <wp:anchor distT="0" distB="0" distL="114300" distR="114300" simplePos="0" relativeHeight="251659264" behindDoc="0" locked="0" layoutInCell="1" allowOverlap="1" wp14:anchorId="2A1FFE97" wp14:editId="2876A87F">
          <wp:simplePos x="0" y="0"/>
          <wp:positionH relativeFrom="margin">
            <wp:posOffset>4283710</wp:posOffset>
          </wp:positionH>
          <wp:positionV relativeFrom="margin">
            <wp:posOffset>8207375</wp:posOffset>
          </wp:positionV>
          <wp:extent cx="936345" cy="234086"/>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45" cy="234086"/>
                  </a:xfrm>
                  <a:prstGeom prst="rect">
                    <a:avLst/>
                  </a:prstGeom>
                  <a:noFill/>
                  <a:ln>
                    <a:noFill/>
                  </a:ln>
                </pic:spPr>
              </pic:pic>
            </a:graphicData>
          </a:graphic>
          <wp14:sizeRelH relativeFrom="page">
            <wp14:pctWidth>0</wp14:pctWidth>
          </wp14:sizeRelH>
          <wp14:sizeRelV relativeFrom="page">
            <wp14:pctHeight>0</wp14:pctHeight>
          </wp14:sizeRelV>
        </wp:anchor>
      </w:drawing>
    </w:r>
    <w:r w:rsidR="00C22611">
      <w:rPr>
        <w:sz w:val="20"/>
      </w:rPr>
      <w:t>GE.1</w:t>
    </w:r>
    <w:r w:rsidR="00FB0E52">
      <w:rPr>
        <w:sz w:val="20"/>
      </w:rPr>
      <w:t>5</w:t>
    </w:r>
    <w:r w:rsidR="00C22611">
      <w:rPr>
        <w:sz w:val="20"/>
      </w:rPr>
      <w:t>-</w:t>
    </w:r>
    <w:proofErr w:type="gramStart"/>
    <w:r>
      <w:rPr>
        <w:sz w:val="20"/>
      </w:rPr>
      <w:t>09781  (</w:t>
    </w:r>
    <w:proofErr w:type="gramEnd"/>
    <w:r>
      <w:rPr>
        <w:sz w:val="20"/>
      </w:rPr>
      <w:t>E)</w:t>
    </w:r>
    <w:r>
      <w:rPr>
        <w:sz w:val="20"/>
      </w:rPr>
      <w:br/>
    </w:r>
    <w:r w:rsidRPr="001B4909">
      <w:rPr>
        <w:rFonts w:ascii="C39T30Lfz" w:hAnsi="C39T30Lfz"/>
        <w:sz w:val="56"/>
      </w:rPr>
      <w:t></w:t>
    </w:r>
    <w:r w:rsidRPr="001B4909">
      <w:rPr>
        <w:rFonts w:ascii="C39T30Lfz" w:hAnsi="C39T30Lfz"/>
        <w:sz w:val="56"/>
      </w:rPr>
      <w:t></w:t>
    </w:r>
    <w:r w:rsidRPr="001B4909">
      <w:rPr>
        <w:rFonts w:ascii="C39T30Lfz" w:hAnsi="C39T30Lfz"/>
        <w:sz w:val="56"/>
      </w:rPr>
      <w:t></w:t>
    </w:r>
    <w:r w:rsidRPr="001B4909">
      <w:rPr>
        <w:rFonts w:ascii="C39T30Lfz" w:hAnsi="C39T30Lfz"/>
        <w:sz w:val="56"/>
      </w:rPr>
      <w:t></w:t>
    </w:r>
    <w:r w:rsidRPr="001B4909">
      <w:rPr>
        <w:rFonts w:ascii="C39T30Lfz" w:hAnsi="C39T30Lfz"/>
        <w:sz w:val="56"/>
      </w:rPr>
      <w:t></w:t>
    </w:r>
    <w:r w:rsidRPr="001B4909">
      <w:rPr>
        <w:rFonts w:ascii="C39T30Lfz" w:hAnsi="C39T30Lfz"/>
        <w:sz w:val="56"/>
      </w:rPr>
      <w:t></w:t>
    </w:r>
    <w:r w:rsidRPr="001B4909">
      <w:rPr>
        <w:rFonts w:ascii="C39T30Lfz" w:hAnsi="C39T30Lfz"/>
        <w:sz w:val="56"/>
      </w:rPr>
      <w:t></w:t>
    </w:r>
    <w:r w:rsidRPr="001B4909">
      <w:rPr>
        <w:rFonts w:ascii="C39T30Lfz" w:hAnsi="C39T30Lfz"/>
        <w:sz w:val="56"/>
      </w:rPr>
      <w:t></w:t>
    </w:r>
    <w:r w:rsidRPr="001B490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F8" w:rsidRPr="000B175B" w:rsidRDefault="00A958F8" w:rsidP="000B175B">
      <w:pPr>
        <w:tabs>
          <w:tab w:val="right" w:pos="2155"/>
        </w:tabs>
        <w:spacing w:after="80"/>
        <w:ind w:left="680"/>
        <w:rPr>
          <w:u w:val="single"/>
        </w:rPr>
      </w:pPr>
      <w:r>
        <w:rPr>
          <w:u w:val="single"/>
        </w:rPr>
        <w:tab/>
      </w:r>
    </w:p>
  </w:footnote>
  <w:footnote w:type="continuationSeparator" w:id="0">
    <w:p w:rsidR="00A958F8" w:rsidRPr="00FC68B7" w:rsidRDefault="00A958F8" w:rsidP="00FC68B7">
      <w:pPr>
        <w:tabs>
          <w:tab w:val="left" w:pos="2155"/>
        </w:tabs>
        <w:spacing w:after="80"/>
        <w:ind w:left="680"/>
        <w:rPr>
          <w:u w:val="single"/>
        </w:rPr>
      </w:pPr>
      <w:r>
        <w:rPr>
          <w:u w:val="single"/>
        </w:rPr>
        <w:tab/>
      </w:r>
    </w:p>
  </w:footnote>
  <w:footnote w:type="continuationNotice" w:id="1">
    <w:p w:rsidR="00A958F8" w:rsidRDefault="00A958F8"/>
  </w:footnote>
  <w:footnote w:id="2">
    <w:p w:rsidR="00C22611" w:rsidRPr="001A3FBD" w:rsidRDefault="00C22611" w:rsidP="0046058D">
      <w:pPr>
        <w:pStyle w:val="FootnoteText"/>
        <w:widowControl w:val="0"/>
        <w:tabs>
          <w:tab w:val="clear" w:pos="1021"/>
          <w:tab w:val="right" w:pos="1020"/>
        </w:tabs>
        <w:rPr>
          <w:lang w:val="en-US"/>
        </w:rPr>
      </w:pPr>
      <w:r>
        <w:tab/>
      </w:r>
      <w:r>
        <w:rPr>
          <w:rStyle w:val="FootnoteReference"/>
        </w:rPr>
        <w:footnoteRef/>
      </w:r>
      <w:r>
        <w:tab/>
      </w:r>
      <w:r w:rsidRPr="001A3FBD">
        <w:t>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5A0CEC">
          <w:rPr>
            <w:rStyle w:val="Hyperlink"/>
          </w:rPr>
          <w:t>www.unece.org/trans/main/wp5/wp5.html</w:t>
        </w:r>
      </w:hyperlink>
      <w:r w:rsidRPr="001A3FBD">
        <w:t>). During the session, official documents may be obtained from the UNOG Documents Distribution Section (Room C.337, third floor, Palais des Nations).</w:t>
      </w:r>
      <w:r>
        <w:t xml:space="preserve"> </w:t>
      </w:r>
    </w:p>
  </w:footnote>
  <w:footnote w:id="3">
    <w:p w:rsidR="00C22611" w:rsidRPr="001A3FBD" w:rsidRDefault="00C22611" w:rsidP="003537AF">
      <w:pPr>
        <w:pStyle w:val="FootnoteText"/>
        <w:widowControl w:val="0"/>
        <w:tabs>
          <w:tab w:val="clear" w:pos="1021"/>
          <w:tab w:val="right" w:pos="1020"/>
        </w:tabs>
        <w:rPr>
          <w:lang w:val="en-US"/>
        </w:rPr>
      </w:pPr>
      <w:r>
        <w:tab/>
      </w:r>
      <w:r>
        <w:rPr>
          <w:rStyle w:val="FootnoteReference"/>
        </w:rPr>
        <w:footnoteRef/>
      </w:r>
      <w:r>
        <w:tab/>
      </w:r>
      <w:r w:rsidR="00001485" w:rsidRPr="00001485">
        <w:t>Delegates are requested to register online at: https://www2.unece.org/uncdb/app/ext/meeting-registration?id=eev_jC or</w:t>
      </w:r>
      <w:r w:rsidRPr="001A3FBD">
        <w:t xml:space="preserve"> to complete the registration form available for download at the UNECE Transport Division's website (</w:t>
      </w:r>
      <w:hyperlink r:id="rId2" w:history="1">
        <w:r w:rsidRPr="005A0CEC">
          <w:rPr>
            <w:rStyle w:val="Hyperlink"/>
          </w:rPr>
          <w:t>www.unece.org/trans/registfr.html</w:t>
        </w:r>
      </w:hyperlink>
      <w:r w:rsidRPr="001A3FBD">
        <w:t xml:space="preserve">). It should be transmitted to the UNECE secretariat </w:t>
      </w:r>
      <w:r>
        <w:t xml:space="preserve">two </w:t>
      </w:r>
      <w:r w:rsidRPr="001A3FBD">
        <w:t>weeks prior to the session by e</w:t>
      </w:r>
      <w:r>
        <w:t>-</w:t>
      </w:r>
      <w:r w:rsidRPr="001A3FBD">
        <w:t>mail (</w:t>
      </w:r>
      <w:hyperlink r:id="rId3" w:history="1">
        <w:r w:rsidRPr="001D095F">
          <w:rPr>
            <w:rStyle w:val="Hyperlink"/>
          </w:rPr>
          <w:t>maria.mostovets@unece.org</w:t>
        </w:r>
      </w:hyperlink>
      <w:r w:rsidRPr="001A3FBD">
        <w:rPr>
          <w:u w:val="single"/>
        </w:rPr>
        <w:t>)</w:t>
      </w:r>
      <w:r w:rsidRPr="001A3FBD">
        <w:t xml:space="preserve"> or by fax (+41</w:t>
      </w:r>
      <w:r>
        <w:t>–</w:t>
      </w:r>
      <w:r w:rsidRPr="001A3FBD">
        <w:t>22</w:t>
      </w:r>
      <w:r>
        <w:t>–</w:t>
      </w:r>
      <w:r w:rsidRPr="001A3FBD">
        <w:t xml:space="preserve">917 0039). Delegates should obtain an identification badge at the UNOG Security and Safety Section, located at the Pregny Gate, 14, Avenue de la Paix (see the map on our website </w:t>
      </w:r>
      <w:hyperlink r:id="rId4" w:history="1">
        <w:r w:rsidRPr="005A0CEC">
          <w:rPr>
            <w:rStyle w:val="Hyperlink"/>
          </w:rPr>
          <w:t>www.unece.org/meetings/practical.htm</w:t>
        </w:r>
      </w:hyperlink>
      <w:r w:rsidRPr="001A3F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pPr>
      <w:pStyle w:val="Header"/>
    </w:pPr>
    <w:r w:rsidRPr="002F396E">
      <w:t>ECE/TRANS/WP.5/</w:t>
    </w:r>
    <w:r>
      <w:t>5</w:t>
    </w:r>
    <w:r w:rsidR="005459D3">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Header"/>
      <w:jc w:val="right"/>
    </w:pPr>
    <w:r w:rsidRPr="002F396E">
      <w:t>ECE/TRANS/WP.5/</w:t>
    </w:r>
    <w:r>
      <w:t>5</w:t>
    </w:r>
    <w:r w:rsidR="005459D3">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F7F7E"/>
    <w:multiLevelType w:val="hybridMultilevel"/>
    <w:tmpl w:val="8D94CF86"/>
    <w:lvl w:ilvl="0" w:tplc="6F9AF5EA">
      <w:start w:val="1"/>
      <w:numFmt w:val="lowerLetter"/>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EA5538"/>
    <w:multiLevelType w:val="hybridMultilevel"/>
    <w:tmpl w:val="67EAE476"/>
    <w:lvl w:ilvl="0" w:tplc="A9C8043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4B02522"/>
    <w:multiLevelType w:val="hybridMultilevel"/>
    <w:tmpl w:val="13389C8C"/>
    <w:lvl w:ilvl="0" w:tplc="37D42620">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2A9149EA"/>
    <w:multiLevelType w:val="hybridMultilevel"/>
    <w:tmpl w:val="D92AC4E0"/>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D5187F"/>
    <w:multiLevelType w:val="hybridMultilevel"/>
    <w:tmpl w:val="1C321666"/>
    <w:lvl w:ilvl="0" w:tplc="04090015">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nsid w:val="30E51135"/>
    <w:multiLevelType w:val="hybridMultilevel"/>
    <w:tmpl w:val="9BD0E578"/>
    <w:lvl w:ilvl="0" w:tplc="EC68F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5D59D1"/>
    <w:multiLevelType w:val="hybridMultilevel"/>
    <w:tmpl w:val="9A6C94BA"/>
    <w:lvl w:ilvl="0" w:tplc="85B87BF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7306B17"/>
    <w:multiLevelType w:val="hybridMultilevel"/>
    <w:tmpl w:val="79AAF4E0"/>
    <w:lvl w:ilvl="0" w:tplc="46963C62">
      <w:start w:val="11"/>
      <w:numFmt w:val="decimal"/>
      <w:lvlText w:val="%1."/>
      <w:lvlJc w:val="left"/>
      <w:pPr>
        <w:tabs>
          <w:tab w:val="num" w:pos="1140"/>
        </w:tabs>
        <w:ind w:left="1140" w:hanging="585"/>
      </w:pPr>
      <w:rPr>
        <w:rFonts w:hint="default"/>
      </w:rPr>
    </w:lvl>
    <w:lvl w:ilvl="1" w:tplc="3B50C71E">
      <w:start w:val="3"/>
      <w:numFmt w:val="lowerLetter"/>
      <w:lvlText w:val="%2."/>
      <w:lvlJc w:val="left"/>
      <w:pPr>
        <w:tabs>
          <w:tab w:val="num" w:pos="1635"/>
        </w:tabs>
        <w:ind w:left="1635" w:hanging="360"/>
      </w:pPr>
      <w:rPr>
        <w:rFonts w:hint="default"/>
      </w:rPr>
    </w:lvl>
    <w:lvl w:ilvl="2" w:tplc="C2C2061E">
      <w:start w:val="3"/>
      <w:numFmt w:val="upperLetter"/>
      <w:lvlText w:val="%3."/>
      <w:lvlJc w:val="left"/>
      <w:pPr>
        <w:tabs>
          <w:tab w:val="num" w:pos="2535"/>
        </w:tabs>
        <w:ind w:left="2535" w:hanging="360"/>
      </w:pPr>
      <w:rPr>
        <w:rFonts w:hint="default"/>
      </w:r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4C2A2160"/>
    <w:multiLevelType w:val="hybridMultilevel"/>
    <w:tmpl w:val="BC3CC626"/>
    <w:lvl w:ilvl="0" w:tplc="85B87B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80805EB"/>
    <w:multiLevelType w:val="hybridMultilevel"/>
    <w:tmpl w:val="DF9C1AD8"/>
    <w:lvl w:ilvl="0" w:tplc="310291C0">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A85BEB"/>
    <w:multiLevelType w:val="hybridMultilevel"/>
    <w:tmpl w:val="28BE5FA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12"/>
  </w:num>
  <w:num w:numId="15">
    <w:abstractNumId w:val="21"/>
  </w:num>
  <w:num w:numId="16">
    <w:abstractNumId w:val="13"/>
  </w:num>
  <w:num w:numId="17">
    <w:abstractNumId w:val="26"/>
  </w:num>
  <w:num w:numId="18">
    <w:abstractNumId w:val="27"/>
  </w:num>
  <w:num w:numId="19">
    <w:abstractNumId w:val="25"/>
  </w:num>
  <w:num w:numId="20">
    <w:abstractNumId w:val="18"/>
  </w:num>
  <w:num w:numId="21">
    <w:abstractNumId w:val="23"/>
  </w:num>
  <w:num w:numId="22">
    <w:abstractNumId w:val="16"/>
  </w:num>
  <w:num w:numId="23">
    <w:abstractNumId w:val="19"/>
  </w:num>
  <w:num w:numId="24">
    <w:abstractNumId w:val="15"/>
  </w:num>
  <w:num w:numId="25">
    <w:abstractNumId w:val="22"/>
  </w:num>
  <w:num w:numId="26">
    <w:abstractNumId w:val="28"/>
  </w:num>
  <w:num w:numId="27">
    <w:abstractNumId w:val="17"/>
  </w:num>
  <w:num w:numId="28">
    <w:abstractNumId w:val="1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1485"/>
    <w:rsid w:val="00002A7D"/>
    <w:rsid w:val="000038A8"/>
    <w:rsid w:val="0000451B"/>
    <w:rsid w:val="00006790"/>
    <w:rsid w:val="0000711B"/>
    <w:rsid w:val="00015103"/>
    <w:rsid w:val="00015938"/>
    <w:rsid w:val="00015A6F"/>
    <w:rsid w:val="00015C6A"/>
    <w:rsid w:val="00027624"/>
    <w:rsid w:val="00033404"/>
    <w:rsid w:val="00036BDC"/>
    <w:rsid w:val="00036FCB"/>
    <w:rsid w:val="00044EA3"/>
    <w:rsid w:val="00050EE4"/>
    <w:rsid w:val="00050F6B"/>
    <w:rsid w:val="000678CD"/>
    <w:rsid w:val="00072C8C"/>
    <w:rsid w:val="00076612"/>
    <w:rsid w:val="00081CE0"/>
    <w:rsid w:val="00084D30"/>
    <w:rsid w:val="00086BFF"/>
    <w:rsid w:val="00090320"/>
    <w:rsid w:val="000931C0"/>
    <w:rsid w:val="000A1550"/>
    <w:rsid w:val="000A2E09"/>
    <w:rsid w:val="000B175B"/>
    <w:rsid w:val="000B1A93"/>
    <w:rsid w:val="000B3A0F"/>
    <w:rsid w:val="000B6D96"/>
    <w:rsid w:val="000D6110"/>
    <w:rsid w:val="000E0415"/>
    <w:rsid w:val="000E3B62"/>
    <w:rsid w:val="000E3D40"/>
    <w:rsid w:val="000E488A"/>
    <w:rsid w:val="000F7715"/>
    <w:rsid w:val="000F784A"/>
    <w:rsid w:val="00140B73"/>
    <w:rsid w:val="00141336"/>
    <w:rsid w:val="00144277"/>
    <w:rsid w:val="00145AF8"/>
    <w:rsid w:val="00147230"/>
    <w:rsid w:val="00153429"/>
    <w:rsid w:val="001543B8"/>
    <w:rsid w:val="00156B99"/>
    <w:rsid w:val="00156D94"/>
    <w:rsid w:val="00166124"/>
    <w:rsid w:val="001702B4"/>
    <w:rsid w:val="00171E81"/>
    <w:rsid w:val="00175FF7"/>
    <w:rsid w:val="0018346C"/>
    <w:rsid w:val="00184DDA"/>
    <w:rsid w:val="001900CD"/>
    <w:rsid w:val="001A0452"/>
    <w:rsid w:val="001A3FBD"/>
    <w:rsid w:val="001A5509"/>
    <w:rsid w:val="001B3322"/>
    <w:rsid w:val="001B4909"/>
    <w:rsid w:val="001B4B04"/>
    <w:rsid w:val="001B5875"/>
    <w:rsid w:val="001C4B9C"/>
    <w:rsid w:val="001C5090"/>
    <w:rsid w:val="001C6663"/>
    <w:rsid w:val="001C74DC"/>
    <w:rsid w:val="001C7704"/>
    <w:rsid w:val="001C7895"/>
    <w:rsid w:val="001D26DF"/>
    <w:rsid w:val="001E004D"/>
    <w:rsid w:val="001E42BA"/>
    <w:rsid w:val="001F1599"/>
    <w:rsid w:val="001F19C4"/>
    <w:rsid w:val="001F28E1"/>
    <w:rsid w:val="002043F0"/>
    <w:rsid w:val="00204EAE"/>
    <w:rsid w:val="00211E0B"/>
    <w:rsid w:val="00213E31"/>
    <w:rsid w:val="0023079B"/>
    <w:rsid w:val="00232575"/>
    <w:rsid w:val="002362C0"/>
    <w:rsid w:val="00240C51"/>
    <w:rsid w:val="00243FFD"/>
    <w:rsid w:val="00247258"/>
    <w:rsid w:val="0024750C"/>
    <w:rsid w:val="002516C0"/>
    <w:rsid w:val="00254FB4"/>
    <w:rsid w:val="00256BAB"/>
    <w:rsid w:val="00256F89"/>
    <w:rsid w:val="00257CAC"/>
    <w:rsid w:val="00263657"/>
    <w:rsid w:val="0027237A"/>
    <w:rsid w:val="00283268"/>
    <w:rsid w:val="002871DA"/>
    <w:rsid w:val="002974E9"/>
    <w:rsid w:val="002A5CE4"/>
    <w:rsid w:val="002A7401"/>
    <w:rsid w:val="002A796A"/>
    <w:rsid w:val="002A7F94"/>
    <w:rsid w:val="002B109A"/>
    <w:rsid w:val="002B1880"/>
    <w:rsid w:val="002B74CD"/>
    <w:rsid w:val="002C21BA"/>
    <w:rsid w:val="002C349D"/>
    <w:rsid w:val="002C6D45"/>
    <w:rsid w:val="002D191B"/>
    <w:rsid w:val="002D6E53"/>
    <w:rsid w:val="002E5F7C"/>
    <w:rsid w:val="002F046D"/>
    <w:rsid w:val="002F396E"/>
    <w:rsid w:val="00301764"/>
    <w:rsid w:val="00302F0E"/>
    <w:rsid w:val="0030716D"/>
    <w:rsid w:val="003164BF"/>
    <w:rsid w:val="00316C12"/>
    <w:rsid w:val="003229D8"/>
    <w:rsid w:val="00327978"/>
    <w:rsid w:val="00335ECB"/>
    <w:rsid w:val="00336C97"/>
    <w:rsid w:val="00337F88"/>
    <w:rsid w:val="00342432"/>
    <w:rsid w:val="00347E38"/>
    <w:rsid w:val="0035223F"/>
    <w:rsid w:val="00352D4B"/>
    <w:rsid w:val="003537AF"/>
    <w:rsid w:val="003543F7"/>
    <w:rsid w:val="00355ADC"/>
    <w:rsid w:val="0035638C"/>
    <w:rsid w:val="0037220B"/>
    <w:rsid w:val="0039191D"/>
    <w:rsid w:val="00396C96"/>
    <w:rsid w:val="003A0AED"/>
    <w:rsid w:val="003A2208"/>
    <w:rsid w:val="003A46BB"/>
    <w:rsid w:val="003A4EC7"/>
    <w:rsid w:val="003A714E"/>
    <w:rsid w:val="003A7295"/>
    <w:rsid w:val="003A7FF1"/>
    <w:rsid w:val="003B1F60"/>
    <w:rsid w:val="003C111B"/>
    <w:rsid w:val="003C2CC4"/>
    <w:rsid w:val="003D4B23"/>
    <w:rsid w:val="003E10A6"/>
    <w:rsid w:val="003E278A"/>
    <w:rsid w:val="003F1442"/>
    <w:rsid w:val="00403DD4"/>
    <w:rsid w:val="00406F14"/>
    <w:rsid w:val="00411CEF"/>
    <w:rsid w:val="00413520"/>
    <w:rsid w:val="00415541"/>
    <w:rsid w:val="00421B91"/>
    <w:rsid w:val="00423630"/>
    <w:rsid w:val="004325CB"/>
    <w:rsid w:val="00433886"/>
    <w:rsid w:val="00433985"/>
    <w:rsid w:val="00440A07"/>
    <w:rsid w:val="00444B2A"/>
    <w:rsid w:val="00447976"/>
    <w:rsid w:val="0046058D"/>
    <w:rsid w:val="00462880"/>
    <w:rsid w:val="004670C4"/>
    <w:rsid w:val="00476F24"/>
    <w:rsid w:val="004824EA"/>
    <w:rsid w:val="0049094D"/>
    <w:rsid w:val="00497D89"/>
    <w:rsid w:val="004C55B0"/>
    <w:rsid w:val="004C5A51"/>
    <w:rsid w:val="004D3242"/>
    <w:rsid w:val="004F3C49"/>
    <w:rsid w:val="004F60D5"/>
    <w:rsid w:val="004F6BA0"/>
    <w:rsid w:val="00503BEA"/>
    <w:rsid w:val="00503DAF"/>
    <w:rsid w:val="0050700C"/>
    <w:rsid w:val="00511975"/>
    <w:rsid w:val="00533616"/>
    <w:rsid w:val="00534490"/>
    <w:rsid w:val="00535ABA"/>
    <w:rsid w:val="0053768B"/>
    <w:rsid w:val="005420F2"/>
    <w:rsid w:val="0054285C"/>
    <w:rsid w:val="005459D3"/>
    <w:rsid w:val="00545AAC"/>
    <w:rsid w:val="00547452"/>
    <w:rsid w:val="00547BA7"/>
    <w:rsid w:val="005510ED"/>
    <w:rsid w:val="00552180"/>
    <w:rsid w:val="005650A4"/>
    <w:rsid w:val="00576CC6"/>
    <w:rsid w:val="00584173"/>
    <w:rsid w:val="00595520"/>
    <w:rsid w:val="005A02FE"/>
    <w:rsid w:val="005A44B9"/>
    <w:rsid w:val="005B1BA0"/>
    <w:rsid w:val="005B26BC"/>
    <w:rsid w:val="005B3DB3"/>
    <w:rsid w:val="005C227A"/>
    <w:rsid w:val="005C2B41"/>
    <w:rsid w:val="005D1137"/>
    <w:rsid w:val="005D15CA"/>
    <w:rsid w:val="005D3E77"/>
    <w:rsid w:val="005D7A3B"/>
    <w:rsid w:val="005E1A5E"/>
    <w:rsid w:val="005E698E"/>
    <w:rsid w:val="005F25DF"/>
    <w:rsid w:val="005F3066"/>
    <w:rsid w:val="005F3E61"/>
    <w:rsid w:val="00600504"/>
    <w:rsid w:val="00602C13"/>
    <w:rsid w:val="00604DDD"/>
    <w:rsid w:val="0061043D"/>
    <w:rsid w:val="006115CC"/>
    <w:rsid w:val="00611FC4"/>
    <w:rsid w:val="006176FB"/>
    <w:rsid w:val="00617A06"/>
    <w:rsid w:val="00621F1B"/>
    <w:rsid w:val="006268B3"/>
    <w:rsid w:val="00630FCB"/>
    <w:rsid w:val="006312E2"/>
    <w:rsid w:val="00632B70"/>
    <w:rsid w:val="00640B26"/>
    <w:rsid w:val="006421A5"/>
    <w:rsid w:val="00645740"/>
    <w:rsid w:val="00656B70"/>
    <w:rsid w:val="00666506"/>
    <w:rsid w:val="00667DDA"/>
    <w:rsid w:val="006770B2"/>
    <w:rsid w:val="006836C6"/>
    <w:rsid w:val="00691C7E"/>
    <w:rsid w:val="006924E8"/>
    <w:rsid w:val="006940E1"/>
    <w:rsid w:val="00696C11"/>
    <w:rsid w:val="006A3C72"/>
    <w:rsid w:val="006A7392"/>
    <w:rsid w:val="006B03A1"/>
    <w:rsid w:val="006B2C5F"/>
    <w:rsid w:val="006B67D9"/>
    <w:rsid w:val="006C5535"/>
    <w:rsid w:val="006D0589"/>
    <w:rsid w:val="006D40F4"/>
    <w:rsid w:val="006D5B6C"/>
    <w:rsid w:val="006D71BA"/>
    <w:rsid w:val="006D7570"/>
    <w:rsid w:val="006E1DFC"/>
    <w:rsid w:val="006E4822"/>
    <w:rsid w:val="006E564B"/>
    <w:rsid w:val="006E7154"/>
    <w:rsid w:val="006F4A50"/>
    <w:rsid w:val="007003CD"/>
    <w:rsid w:val="0070701E"/>
    <w:rsid w:val="0072630B"/>
    <w:rsid w:val="0072632A"/>
    <w:rsid w:val="007329B8"/>
    <w:rsid w:val="0073436B"/>
    <w:rsid w:val="007358E8"/>
    <w:rsid w:val="00736ECE"/>
    <w:rsid w:val="00736FAF"/>
    <w:rsid w:val="00737099"/>
    <w:rsid w:val="00737BF2"/>
    <w:rsid w:val="0074533B"/>
    <w:rsid w:val="00750C6A"/>
    <w:rsid w:val="007551AA"/>
    <w:rsid w:val="007551FB"/>
    <w:rsid w:val="007643BC"/>
    <w:rsid w:val="007678F3"/>
    <w:rsid w:val="0077415A"/>
    <w:rsid w:val="00784EC7"/>
    <w:rsid w:val="00784FC8"/>
    <w:rsid w:val="00785F8A"/>
    <w:rsid w:val="007879B5"/>
    <w:rsid w:val="007924A8"/>
    <w:rsid w:val="00792546"/>
    <w:rsid w:val="007959FE"/>
    <w:rsid w:val="00797921"/>
    <w:rsid w:val="007A0CF1"/>
    <w:rsid w:val="007A62DC"/>
    <w:rsid w:val="007B0FB5"/>
    <w:rsid w:val="007B5ACE"/>
    <w:rsid w:val="007B6BA5"/>
    <w:rsid w:val="007C3390"/>
    <w:rsid w:val="007C42D8"/>
    <w:rsid w:val="007C4F4B"/>
    <w:rsid w:val="007D118D"/>
    <w:rsid w:val="007D266F"/>
    <w:rsid w:val="007D7362"/>
    <w:rsid w:val="007F3C99"/>
    <w:rsid w:val="007F5CE2"/>
    <w:rsid w:val="007F6611"/>
    <w:rsid w:val="00810BAC"/>
    <w:rsid w:val="00817144"/>
    <w:rsid w:val="008175E9"/>
    <w:rsid w:val="008242D7"/>
    <w:rsid w:val="0082577B"/>
    <w:rsid w:val="00834801"/>
    <w:rsid w:val="0085167B"/>
    <w:rsid w:val="008651E1"/>
    <w:rsid w:val="00865256"/>
    <w:rsid w:val="0086565E"/>
    <w:rsid w:val="00866893"/>
    <w:rsid w:val="00866F02"/>
    <w:rsid w:val="00867D18"/>
    <w:rsid w:val="00871F9A"/>
    <w:rsid w:val="00871FD5"/>
    <w:rsid w:val="0088172E"/>
    <w:rsid w:val="00881EFA"/>
    <w:rsid w:val="00883FD3"/>
    <w:rsid w:val="008878A9"/>
    <w:rsid w:val="008879CB"/>
    <w:rsid w:val="00895281"/>
    <w:rsid w:val="008979B1"/>
    <w:rsid w:val="008A6998"/>
    <w:rsid w:val="008A6B25"/>
    <w:rsid w:val="008A6C4F"/>
    <w:rsid w:val="008B389E"/>
    <w:rsid w:val="008B5D5B"/>
    <w:rsid w:val="008D045E"/>
    <w:rsid w:val="008D31C7"/>
    <w:rsid w:val="008D3F25"/>
    <w:rsid w:val="008D4D82"/>
    <w:rsid w:val="008D7EF2"/>
    <w:rsid w:val="008E0E46"/>
    <w:rsid w:val="008E65C0"/>
    <w:rsid w:val="008E7116"/>
    <w:rsid w:val="008F143B"/>
    <w:rsid w:val="008F3882"/>
    <w:rsid w:val="008F4B7C"/>
    <w:rsid w:val="00904CD4"/>
    <w:rsid w:val="00922735"/>
    <w:rsid w:val="00926039"/>
    <w:rsid w:val="00926E47"/>
    <w:rsid w:val="00934FE4"/>
    <w:rsid w:val="00940ACD"/>
    <w:rsid w:val="00940C15"/>
    <w:rsid w:val="00947162"/>
    <w:rsid w:val="009610D0"/>
    <w:rsid w:val="0096375C"/>
    <w:rsid w:val="00965FE7"/>
    <w:rsid w:val="009662E6"/>
    <w:rsid w:val="0097095E"/>
    <w:rsid w:val="009760AB"/>
    <w:rsid w:val="0098592B"/>
    <w:rsid w:val="00985FC4"/>
    <w:rsid w:val="00987573"/>
    <w:rsid w:val="00990766"/>
    <w:rsid w:val="00991261"/>
    <w:rsid w:val="009917A0"/>
    <w:rsid w:val="00992BFE"/>
    <w:rsid w:val="009964C4"/>
    <w:rsid w:val="00996DE8"/>
    <w:rsid w:val="009A7B81"/>
    <w:rsid w:val="009B49CF"/>
    <w:rsid w:val="009B49EF"/>
    <w:rsid w:val="009B6556"/>
    <w:rsid w:val="009C03A3"/>
    <w:rsid w:val="009C14E6"/>
    <w:rsid w:val="009C5BF9"/>
    <w:rsid w:val="009D01C0"/>
    <w:rsid w:val="009D6A08"/>
    <w:rsid w:val="009E0A16"/>
    <w:rsid w:val="009E6CB7"/>
    <w:rsid w:val="009E7970"/>
    <w:rsid w:val="009F2EAC"/>
    <w:rsid w:val="009F57E3"/>
    <w:rsid w:val="00A10F4F"/>
    <w:rsid w:val="00A11067"/>
    <w:rsid w:val="00A1704A"/>
    <w:rsid w:val="00A33ADF"/>
    <w:rsid w:val="00A35FB3"/>
    <w:rsid w:val="00A4022D"/>
    <w:rsid w:val="00A425EB"/>
    <w:rsid w:val="00A44366"/>
    <w:rsid w:val="00A47C4F"/>
    <w:rsid w:val="00A52A8D"/>
    <w:rsid w:val="00A55B33"/>
    <w:rsid w:val="00A65F49"/>
    <w:rsid w:val="00A66D96"/>
    <w:rsid w:val="00A72F22"/>
    <w:rsid w:val="00A733BC"/>
    <w:rsid w:val="00A748A6"/>
    <w:rsid w:val="00A74AEC"/>
    <w:rsid w:val="00A76A69"/>
    <w:rsid w:val="00A82BA1"/>
    <w:rsid w:val="00A85E65"/>
    <w:rsid w:val="00A879A4"/>
    <w:rsid w:val="00A91FAE"/>
    <w:rsid w:val="00A958F8"/>
    <w:rsid w:val="00A9657F"/>
    <w:rsid w:val="00A97A35"/>
    <w:rsid w:val="00A97B83"/>
    <w:rsid w:val="00AA0FF8"/>
    <w:rsid w:val="00AA64A9"/>
    <w:rsid w:val="00AB60BC"/>
    <w:rsid w:val="00AC0F2C"/>
    <w:rsid w:val="00AC4BE3"/>
    <w:rsid w:val="00AC502A"/>
    <w:rsid w:val="00AD27A9"/>
    <w:rsid w:val="00AE666F"/>
    <w:rsid w:val="00AF58C1"/>
    <w:rsid w:val="00AF5D10"/>
    <w:rsid w:val="00B01043"/>
    <w:rsid w:val="00B04083"/>
    <w:rsid w:val="00B04A3F"/>
    <w:rsid w:val="00B0580F"/>
    <w:rsid w:val="00B06643"/>
    <w:rsid w:val="00B11AF4"/>
    <w:rsid w:val="00B15055"/>
    <w:rsid w:val="00B15607"/>
    <w:rsid w:val="00B16835"/>
    <w:rsid w:val="00B239DE"/>
    <w:rsid w:val="00B252DF"/>
    <w:rsid w:val="00B30179"/>
    <w:rsid w:val="00B32401"/>
    <w:rsid w:val="00B36D2A"/>
    <w:rsid w:val="00B37B15"/>
    <w:rsid w:val="00B4170C"/>
    <w:rsid w:val="00B45C02"/>
    <w:rsid w:val="00B52B5D"/>
    <w:rsid w:val="00B545B0"/>
    <w:rsid w:val="00B5525B"/>
    <w:rsid w:val="00B72A1E"/>
    <w:rsid w:val="00B81E12"/>
    <w:rsid w:val="00B82549"/>
    <w:rsid w:val="00B8568D"/>
    <w:rsid w:val="00B860F0"/>
    <w:rsid w:val="00B925D1"/>
    <w:rsid w:val="00B949D7"/>
    <w:rsid w:val="00B96736"/>
    <w:rsid w:val="00BA3313"/>
    <w:rsid w:val="00BA339B"/>
    <w:rsid w:val="00BA4C2F"/>
    <w:rsid w:val="00BA59A5"/>
    <w:rsid w:val="00BB0355"/>
    <w:rsid w:val="00BB7809"/>
    <w:rsid w:val="00BC1E7E"/>
    <w:rsid w:val="00BC3BDF"/>
    <w:rsid w:val="00BC74E9"/>
    <w:rsid w:val="00BD5759"/>
    <w:rsid w:val="00BE0C15"/>
    <w:rsid w:val="00BE36A9"/>
    <w:rsid w:val="00BE618E"/>
    <w:rsid w:val="00BE7BEC"/>
    <w:rsid w:val="00BF0A5A"/>
    <w:rsid w:val="00BF0E08"/>
    <w:rsid w:val="00BF0E63"/>
    <w:rsid w:val="00BF12A3"/>
    <w:rsid w:val="00BF16D7"/>
    <w:rsid w:val="00BF22EA"/>
    <w:rsid w:val="00BF2373"/>
    <w:rsid w:val="00BF5B68"/>
    <w:rsid w:val="00BF7EA0"/>
    <w:rsid w:val="00C044E2"/>
    <w:rsid w:val="00C048CB"/>
    <w:rsid w:val="00C05735"/>
    <w:rsid w:val="00C06318"/>
    <w:rsid w:val="00C06561"/>
    <w:rsid w:val="00C066F3"/>
    <w:rsid w:val="00C07F8C"/>
    <w:rsid w:val="00C16666"/>
    <w:rsid w:val="00C172F9"/>
    <w:rsid w:val="00C22611"/>
    <w:rsid w:val="00C26A6F"/>
    <w:rsid w:val="00C3160D"/>
    <w:rsid w:val="00C322DA"/>
    <w:rsid w:val="00C4511A"/>
    <w:rsid w:val="00C453C0"/>
    <w:rsid w:val="00C463DD"/>
    <w:rsid w:val="00C46F04"/>
    <w:rsid w:val="00C57C8C"/>
    <w:rsid w:val="00C71474"/>
    <w:rsid w:val="00C745C3"/>
    <w:rsid w:val="00C75AC9"/>
    <w:rsid w:val="00C812EE"/>
    <w:rsid w:val="00C90BA1"/>
    <w:rsid w:val="00C938E1"/>
    <w:rsid w:val="00C95F9F"/>
    <w:rsid w:val="00CA24A4"/>
    <w:rsid w:val="00CB348D"/>
    <w:rsid w:val="00CB5C3B"/>
    <w:rsid w:val="00CB78AF"/>
    <w:rsid w:val="00CC58B8"/>
    <w:rsid w:val="00CC5C81"/>
    <w:rsid w:val="00CD46F5"/>
    <w:rsid w:val="00CE4A8F"/>
    <w:rsid w:val="00CF071D"/>
    <w:rsid w:val="00CF28DC"/>
    <w:rsid w:val="00CF7860"/>
    <w:rsid w:val="00D04B5E"/>
    <w:rsid w:val="00D15B04"/>
    <w:rsid w:val="00D17B10"/>
    <w:rsid w:val="00D2031B"/>
    <w:rsid w:val="00D25FE2"/>
    <w:rsid w:val="00D35A0E"/>
    <w:rsid w:val="00D37DA9"/>
    <w:rsid w:val="00D406A7"/>
    <w:rsid w:val="00D41D86"/>
    <w:rsid w:val="00D43252"/>
    <w:rsid w:val="00D43F83"/>
    <w:rsid w:val="00D44D86"/>
    <w:rsid w:val="00D459D1"/>
    <w:rsid w:val="00D47AFE"/>
    <w:rsid w:val="00D50B7D"/>
    <w:rsid w:val="00D52012"/>
    <w:rsid w:val="00D555FC"/>
    <w:rsid w:val="00D63700"/>
    <w:rsid w:val="00D637A9"/>
    <w:rsid w:val="00D704E5"/>
    <w:rsid w:val="00D710E5"/>
    <w:rsid w:val="00D72727"/>
    <w:rsid w:val="00D750B0"/>
    <w:rsid w:val="00D8551E"/>
    <w:rsid w:val="00D8718E"/>
    <w:rsid w:val="00D93A43"/>
    <w:rsid w:val="00D957C1"/>
    <w:rsid w:val="00D96C80"/>
    <w:rsid w:val="00D978C6"/>
    <w:rsid w:val="00DA0956"/>
    <w:rsid w:val="00DA357F"/>
    <w:rsid w:val="00DA3E12"/>
    <w:rsid w:val="00DC18AD"/>
    <w:rsid w:val="00DD118B"/>
    <w:rsid w:val="00DD1F60"/>
    <w:rsid w:val="00DD3155"/>
    <w:rsid w:val="00DD3D1D"/>
    <w:rsid w:val="00DE0719"/>
    <w:rsid w:val="00DF70AD"/>
    <w:rsid w:val="00DF7CAE"/>
    <w:rsid w:val="00E00EB3"/>
    <w:rsid w:val="00E423C0"/>
    <w:rsid w:val="00E600C3"/>
    <w:rsid w:val="00E60A8F"/>
    <w:rsid w:val="00E6414C"/>
    <w:rsid w:val="00E65617"/>
    <w:rsid w:val="00E705B1"/>
    <w:rsid w:val="00E7260F"/>
    <w:rsid w:val="00E84139"/>
    <w:rsid w:val="00E8702D"/>
    <w:rsid w:val="00E916A9"/>
    <w:rsid w:val="00E916DE"/>
    <w:rsid w:val="00E925AD"/>
    <w:rsid w:val="00E9653F"/>
    <w:rsid w:val="00E96630"/>
    <w:rsid w:val="00EB58C3"/>
    <w:rsid w:val="00EB69EF"/>
    <w:rsid w:val="00ED000F"/>
    <w:rsid w:val="00ED18DC"/>
    <w:rsid w:val="00ED6201"/>
    <w:rsid w:val="00ED7A2A"/>
    <w:rsid w:val="00EE2786"/>
    <w:rsid w:val="00EF12DA"/>
    <w:rsid w:val="00EF1D7F"/>
    <w:rsid w:val="00F0137E"/>
    <w:rsid w:val="00F03321"/>
    <w:rsid w:val="00F110A4"/>
    <w:rsid w:val="00F16E71"/>
    <w:rsid w:val="00F21786"/>
    <w:rsid w:val="00F26948"/>
    <w:rsid w:val="00F27610"/>
    <w:rsid w:val="00F3742B"/>
    <w:rsid w:val="00F41FDB"/>
    <w:rsid w:val="00F507EC"/>
    <w:rsid w:val="00F56274"/>
    <w:rsid w:val="00F56D63"/>
    <w:rsid w:val="00F609A9"/>
    <w:rsid w:val="00F7045A"/>
    <w:rsid w:val="00F80C99"/>
    <w:rsid w:val="00F867EC"/>
    <w:rsid w:val="00F902D0"/>
    <w:rsid w:val="00F90EE7"/>
    <w:rsid w:val="00F91B2B"/>
    <w:rsid w:val="00FA02AF"/>
    <w:rsid w:val="00FB0C57"/>
    <w:rsid w:val="00FB0E52"/>
    <w:rsid w:val="00FB141B"/>
    <w:rsid w:val="00FB7450"/>
    <w:rsid w:val="00FC03CD"/>
    <w:rsid w:val="00FC0646"/>
    <w:rsid w:val="00FC0F6E"/>
    <w:rsid w:val="00FC68B7"/>
    <w:rsid w:val="00FE6985"/>
    <w:rsid w:val="00FE6CDD"/>
    <w:rsid w:val="00FE6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0448">
      <w:bodyDiv w:val="1"/>
      <w:marLeft w:val="0"/>
      <w:marRight w:val="0"/>
      <w:marTop w:val="0"/>
      <w:marBottom w:val="0"/>
      <w:divBdr>
        <w:top w:val="none" w:sz="0" w:space="0" w:color="auto"/>
        <w:left w:val="none" w:sz="0" w:space="0" w:color="auto"/>
        <w:bottom w:val="none" w:sz="0" w:space="0" w:color="auto"/>
        <w:right w:val="none" w:sz="0" w:space="0" w:color="auto"/>
      </w:divBdr>
    </w:div>
    <w:div w:id="1540314152">
      <w:bodyDiv w:val="1"/>
      <w:marLeft w:val="0"/>
      <w:marRight w:val="0"/>
      <w:marTop w:val="0"/>
      <w:marBottom w:val="0"/>
      <w:divBdr>
        <w:top w:val="none" w:sz="0" w:space="0" w:color="auto"/>
        <w:left w:val="none" w:sz="0" w:space="0" w:color="auto"/>
        <w:bottom w:val="none" w:sz="0" w:space="0" w:color="auto"/>
        <w:right w:val="none" w:sz="0" w:space="0" w:color="auto"/>
      </w:divBdr>
      <w:divsChild>
        <w:div w:id="1143160118">
          <w:marLeft w:val="0"/>
          <w:marRight w:val="0"/>
          <w:marTop w:val="0"/>
          <w:marBottom w:val="0"/>
          <w:divBdr>
            <w:top w:val="single" w:sz="2" w:space="0" w:color="DDDDDD"/>
            <w:left w:val="single" w:sz="2" w:space="0" w:color="DDDDDD"/>
            <w:bottom w:val="single" w:sz="2" w:space="0" w:color="DDDDDD"/>
            <w:right w:val="single" w:sz="2" w:space="0" w:color="DDDDDD"/>
          </w:divBdr>
          <w:divsChild>
            <w:div w:id="1312948359">
              <w:marLeft w:val="0"/>
              <w:marRight w:val="0"/>
              <w:marTop w:val="0"/>
              <w:marBottom w:val="0"/>
              <w:divBdr>
                <w:top w:val="none" w:sz="0" w:space="0" w:color="auto"/>
                <w:left w:val="none" w:sz="0" w:space="0" w:color="auto"/>
                <w:bottom w:val="none" w:sz="0" w:space="0" w:color="auto"/>
                <w:right w:val="none" w:sz="0" w:space="0" w:color="auto"/>
              </w:divBdr>
              <w:divsChild>
                <w:div w:id="851342026">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107818786">
                          <w:marLeft w:val="0"/>
                          <w:marRight w:val="0"/>
                          <w:marTop w:val="0"/>
                          <w:marBottom w:val="0"/>
                          <w:divBdr>
                            <w:top w:val="none" w:sz="0" w:space="0" w:color="auto"/>
                            <w:left w:val="none" w:sz="0" w:space="0" w:color="auto"/>
                            <w:bottom w:val="none" w:sz="0" w:space="0" w:color="auto"/>
                            <w:right w:val="none" w:sz="0" w:space="0" w:color="auto"/>
                          </w:divBdr>
                          <w:divsChild>
                            <w:div w:id="1353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70055">
      <w:bodyDiv w:val="1"/>
      <w:marLeft w:val="0"/>
      <w:marRight w:val="0"/>
      <w:marTop w:val="0"/>
      <w:marBottom w:val="0"/>
      <w:divBdr>
        <w:top w:val="none" w:sz="0" w:space="0" w:color="auto"/>
        <w:left w:val="none" w:sz="0" w:space="0" w:color="auto"/>
        <w:bottom w:val="none" w:sz="0" w:space="0" w:color="auto"/>
        <w:right w:val="none" w:sz="0" w:space="0" w:color="auto"/>
      </w:divBdr>
      <w:divsChild>
        <w:div w:id="2066637347">
          <w:marLeft w:val="0"/>
          <w:marRight w:val="0"/>
          <w:marTop w:val="0"/>
          <w:marBottom w:val="0"/>
          <w:divBdr>
            <w:top w:val="single" w:sz="2" w:space="0" w:color="DDDDDD"/>
            <w:left w:val="single" w:sz="2" w:space="0" w:color="DDDDDD"/>
            <w:bottom w:val="single" w:sz="2" w:space="0" w:color="DDDDDD"/>
            <w:right w:val="single" w:sz="2" w:space="0" w:color="DDDDDD"/>
          </w:divBdr>
          <w:divsChild>
            <w:div w:id="1063135325">
              <w:marLeft w:val="0"/>
              <w:marRight w:val="0"/>
              <w:marTop w:val="0"/>
              <w:marBottom w:val="0"/>
              <w:divBdr>
                <w:top w:val="none" w:sz="0" w:space="0" w:color="auto"/>
                <w:left w:val="none" w:sz="0" w:space="0" w:color="auto"/>
                <w:bottom w:val="none" w:sz="0" w:space="0" w:color="auto"/>
                <w:right w:val="none" w:sz="0" w:space="0" w:color="auto"/>
              </w:divBdr>
              <w:divsChild>
                <w:div w:id="257563161">
                  <w:marLeft w:val="0"/>
                  <w:marRight w:val="0"/>
                  <w:marTop w:val="0"/>
                  <w:marBottom w:val="0"/>
                  <w:divBdr>
                    <w:top w:val="none" w:sz="0" w:space="0" w:color="auto"/>
                    <w:left w:val="none" w:sz="0" w:space="0" w:color="auto"/>
                    <w:bottom w:val="none" w:sz="0" w:space="0" w:color="auto"/>
                    <w:right w:val="none" w:sz="0" w:space="0" w:color="auto"/>
                  </w:divBdr>
                  <w:divsChild>
                    <w:div w:id="606893688">
                      <w:marLeft w:val="0"/>
                      <w:marRight w:val="0"/>
                      <w:marTop w:val="0"/>
                      <w:marBottom w:val="0"/>
                      <w:divBdr>
                        <w:top w:val="none" w:sz="0" w:space="0" w:color="auto"/>
                        <w:left w:val="none" w:sz="0" w:space="0" w:color="auto"/>
                        <w:bottom w:val="none" w:sz="0" w:space="0" w:color="auto"/>
                        <w:right w:val="none" w:sz="0" w:space="0" w:color="auto"/>
                      </w:divBdr>
                      <w:divsChild>
                        <w:div w:id="961494652">
                          <w:marLeft w:val="0"/>
                          <w:marRight w:val="0"/>
                          <w:marTop w:val="0"/>
                          <w:marBottom w:val="0"/>
                          <w:divBdr>
                            <w:top w:val="none" w:sz="0" w:space="0" w:color="auto"/>
                            <w:left w:val="none" w:sz="0" w:space="0" w:color="auto"/>
                            <w:bottom w:val="none" w:sz="0" w:space="0" w:color="auto"/>
                            <w:right w:val="none" w:sz="0" w:space="0" w:color="auto"/>
                          </w:divBdr>
                          <w:divsChild>
                            <w:div w:id="336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8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2951">
          <w:marLeft w:val="0"/>
          <w:marRight w:val="0"/>
          <w:marTop w:val="0"/>
          <w:marBottom w:val="0"/>
          <w:divBdr>
            <w:top w:val="single" w:sz="2" w:space="0" w:color="DDDDDD"/>
            <w:left w:val="single" w:sz="2" w:space="0" w:color="DDDDDD"/>
            <w:bottom w:val="single" w:sz="2" w:space="0" w:color="DDDDDD"/>
            <w:right w:val="single" w:sz="2" w:space="0" w:color="DDDDDD"/>
          </w:divBdr>
          <w:divsChild>
            <w:div w:id="291637225">
              <w:marLeft w:val="0"/>
              <w:marRight w:val="0"/>
              <w:marTop w:val="0"/>
              <w:marBottom w:val="0"/>
              <w:divBdr>
                <w:top w:val="none" w:sz="0" w:space="0" w:color="auto"/>
                <w:left w:val="none" w:sz="0" w:space="0" w:color="auto"/>
                <w:bottom w:val="none" w:sz="0" w:space="0" w:color="auto"/>
                <w:right w:val="none" w:sz="0" w:space="0" w:color="auto"/>
              </w:divBdr>
              <w:divsChild>
                <w:div w:id="1016930557">
                  <w:marLeft w:val="0"/>
                  <w:marRight w:val="0"/>
                  <w:marTop w:val="0"/>
                  <w:marBottom w:val="0"/>
                  <w:divBdr>
                    <w:top w:val="none" w:sz="0" w:space="0" w:color="auto"/>
                    <w:left w:val="none" w:sz="0" w:space="0" w:color="auto"/>
                    <w:bottom w:val="none" w:sz="0" w:space="0" w:color="auto"/>
                    <w:right w:val="none" w:sz="0" w:space="0" w:color="auto"/>
                  </w:divBdr>
                  <w:divsChild>
                    <w:div w:id="433012675">
                      <w:marLeft w:val="0"/>
                      <w:marRight w:val="0"/>
                      <w:marTop w:val="0"/>
                      <w:marBottom w:val="0"/>
                      <w:divBdr>
                        <w:top w:val="none" w:sz="0" w:space="0" w:color="auto"/>
                        <w:left w:val="none" w:sz="0" w:space="0" w:color="auto"/>
                        <w:bottom w:val="none" w:sz="0" w:space="0" w:color="auto"/>
                        <w:right w:val="none" w:sz="0" w:space="0" w:color="auto"/>
                      </w:divBdr>
                      <w:divsChild>
                        <w:div w:id="1930504536">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maria.mostovets@unece.org" TargetMode="External"/><Relationship Id="rId2" Type="http://schemas.openxmlformats.org/officeDocument/2006/relationships/hyperlink" Target="http://www.unece.org/trans/registfr.html" TargetMode="External"/><Relationship Id="rId1" Type="http://schemas.openxmlformats.org/officeDocument/2006/relationships/hyperlink" Target="http://www.unece.org/trans/main/wp5/wp5.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2</TotalTime>
  <Pages>9</Pages>
  <Words>2549</Words>
  <Characters>14530</Characters>
  <Application>Microsoft Office Word</Application>
  <DocSecurity>0</DocSecurity>
  <Lines>121</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United Nations</vt:lpstr>
      <vt:lpstr>United Nations</vt:lpstr>
    </vt:vector>
  </TitlesOfParts>
  <Company>CSD</Company>
  <LinksUpToDate>false</LinksUpToDate>
  <CharactersWithSpaces>17045</CharactersWithSpaces>
  <SharedDoc>false</SharedDoc>
  <HLinks>
    <vt:vector size="24" baseType="variant">
      <vt:variant>
        <vt:i4>3932192</vt:i4>
      </vt:variant>
      <vt:variant>
        <vt:i4>9</vt:i4>
      </vt:variant>
      <vt:variant>
        <vt:i4>0</vt:i4>
      </vt:variant>
      <vt:variant>
        <vt:i4>5</vt:i4>
      </vt:variant>
      <vt:variant>
        <vt:lpwstr>http://www.unece.org/meetings/practical.htm</vt:lpwstr>
      </vt:variant>
      <vt:variant>
        <vt:lpwstr/>
      </vt:variant>
      <vt:variant>
        <vt:i4>393316</vt:i4>
      </vt:variant>
      <vt:variant>
        <vt:i4>6</vt:i4>
      </vt:variant>
      <vt:variant>
        <vt:i4>0</vt:i4>
      </vt:variant>
      <vt:variant>
        <vt:i4>5</vt:i4>
      </vt:variant>
      <vt:variant>
        <vt:lpwstr>mailto:maria.mostovets@unece.org</vt:lpwstr>
      </vt:variant>
      <vt:variant>
        <vt:lpwstr/>
      </vt:variant>
      <vt:variant>
        <vt:i4>393234</vt:i4>
      </vt:variant>
      <vt:variant>
        <vt:i4>3</vt:i4>
      </vt:variant>
      <vt:variant>
        <vt:i4>0</vt:i4>
      </vt:variant>
      <vt:variant>
        <vt:i4>5</vt:i4>
      </vt:variant>
      <vt:variant>
        <vt:lpwstr>http://www.unece.org/trans/registfr.html</vt:lpwstr>
      </vt:variant>
      <vt:variant>
        <vt:lpwstr/>
      </vt:variant>
      <vt:variant>
        <vt:i4>131095</vt:i4>
      </vt:variant>
      <vt:variant>
        <vt:i4>0</vt:i4>
      </vt:variant>
      <vt:variant>
        <vt:i4>0</vt:i4>
      </vt:variant>
      <vt:variant>
        <vt:i4>5</vt:i4>
      </vt:variant>
      <vt:variant>
        <vt:lpwstr>http://www.unece.org/trans/main/wp5/wp5.html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Mostovets</dc:creator>
  <cp:lastModifiedBy>Maria Mostovets</cp:lastModifiedBy>
  <cp:revision>2</cp:revision>
  <cp:lastPrinted>2015-06-16T12:21:00Z</cp:lastPrinted>
  <dcterms:created xsi:type="dcterms:W3CDTF">2015-07-20T15:06:00Z</dcterms:created>
  <dcterms:modified xsi:type="dcterms:W3CDTF">2015-07-20T15:06:00Z</dcterms:modified>
</cp:coreProperties>
</file>