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3" w:rsidRDefault="00164D63" w:rsidP="00164D63">
      <w:pPr>
        <w:spacing w:line="60" w:lineRule="exact"/>
        <w:rPr>
          <w:color w:val="010000"/>
          <w:sz w:val="6"/>
        </w:rPr>
        <w:sectPr w:rsidR="00164D63" w:rsidSect="00164D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:rsidR="00C57E5E" w:rsidRPr="00485FE2" w:rsidRDefault="00C57E5E" w:rsidP="00485FE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485FE2">
        <w:rPr>
          <w:sz w:val="28"/>
          <w:szCs w:val="28"/>
        </w:rPr>
        <w:lastRenderedPageBreak/>
        <w:t>Европейская экономическая комиссия</w:t>
      </w:r>
    </w:p>
    <w:p w:rsidR="00485FE2" w:rsidRPr="00485FE2" w:rsidRDefault="00485FE2" w:rsidP="00485FE2">
      <w:pPr>
        <w:spacing w:line="120" w:lineRule="exact"/>
        <w:rPr>
          <w:sz w:val="10"/>
        </w:rPr>
      </w:pPr>
    </w:p>
    <w:p w:rsidR="00C57E5E" w:rsidRPr="00485FE2" w:rsidRDefault="00C57E5E" w:rsidP="00485FE2">
      <w:pPr>
        <w:rPr>
          <w:sz w:val="28"/>
          <w:szCs w:val="28"/>
        </w:rPr>
      </w:pPr>
      <w:r w:rsidRPr="00485FE2">
        <w:rPr>
          <w:sz w:val="28"/>
          <w:szCs w:val="28"/>
        </w:rPr>
        <w:t>Комитет по внутреннему транспорту</w:t>
      </w:r>
    </w:p>
    <w:p w:rsidR="00485FE2" w:rsidRPr="00485FE2" w:rsidRDefault="00485FE2" w:rsidP="00485FE2">
      <w:pPr>
        <w:spacing w:line="120" w:lineRule="exact"/>
        <w:rPr>
          <w:sz w:val="10"/>
        </w:rPr>
      </w:pPr>
    </w:p>
    <w:p w:rsidR="00C57E5E" w:rsidRDefault="00C57E5E" w:rsidP="00485FE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Рабочая группа по тенденциям и экономике </w:t>
      </w:r>
      <w:r w:rsidR="007848C6">
        <w:br/>
      </w:r>
      <w:r>
        <w:t>транспорта</w:t>
      </w:r>
    </w:p>
    <w:p w:rsidR="00485FE2" w:rsidRPr="00485FE2" w:rsidRDefault="00485FE2" w:rsidP="00485FE2">
      <w:pPr>
        <w:spacing w:line="120" w:lineRule="exact"/>
        <w:rPr>
          <w:sz w:val="10"/>
        </w:rPr>
      </w:pPr>
    </w:p>
    <w:p w:rsidR="00C57E5E" w:rsidRDefault="00C57E5E" w:rsidP="00485FE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восьмая сессия</w:t>
      </w:r>
    </w:p>
    <w:p w:rsidR="00C57E5E" w:rsidRDefault="00C57E5E" w:rsidP="00485FE2">
      <w:r>
        <w:t>Женева, 7−9 сентября 2015 года</w:t>
      </w:r>
    </w:p>
    <w:p w:rsidR="00C57E5E" w:rsidRDefault="00C57E5E" w:rsidP="00485FE2">
      <w:r>
        <w:t>Пункт 4 предварительной повестки дня</w:t>
      </w:r>
    </w:p>
    <w:p w:rsidR="00C57E5E" w:rsidRDefault="00C57E5E" w:rsidP="00485FE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Связи между портами и внутренними районами</w:t>
      </w: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C57E5E" w:rsidRDefault="00485FE2" w:rsidP="00E3595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57E5E">
        <w:t>Платформа мониторинга связей между портами и</w:t>
      </w:r>
      <w:r w:rsidR="00E3595A">
        <w:t> </w:t>
      </w:r>
      <w:r w:rsidR="00C57E5E">
        <w:t xml:space="preserve">внутренними районами, разработанная </w:t>
      </w:r>
      <w:r w:rsidR="00E3595A">
        <w:br/>
      </w:r>
      <w:r w:rsidR="00C57E5E">
        <w:t>программой Средиземноморской сети</w:t>
      </w:r>
      <w:r w:rsidRPr="006123FD">
        <w:rPr>
          <w:b w:val="0"/>
          <w:bCs/>
          <w:sz w:val="20"/>
          <w:szCs w:val="20"/>
        </w:rPr>
        <w:footnoteReference w:customMarkFollows="1" w:id="1"/>
        <w:t>*</w:t>
      </w: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C57E5E" w:rsidRDefault="00485FE2" w:rsidP="00485F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57E5E">
        <w:t>Представлено секретариатом</w:t>
      </w: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C57E5E" w:rsidRDefault="006123FD" w:rsidP="006123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57E5E">
        <w:t>I.</w:t>
      </w:r>
      <w:r w:rsidR="00C57E5E">
        <w:tab/>
        <w:t>Введение</w:t>
      </w: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485FE2" w:rsidRPr="00485FE2" w:rsidRDefault="00485FE2" w:rsidP="00485FE2">
      <w:pPr>
        <w:pStyle w:val="SingleTxt"/>
        <w:spacing w:after="0" w:line="120" w:lineRule="exact"/>
        <w:rPr>
          <w:sz w:val="10"/>
        </w:rPr>
      </w:pPr>
    </w:p>
    <w:p w:rsidR="00C57E5E" w:rsidRDefault="00C57E5E" w:rsidP="00C57E5E">
      <w:pPr>
        <w:pStyle w:val="SingleTxt"/>
      </w:pPr>
      <w:r>
        <w:t>1.</w:t>
      </w:r>
      <w:r>
        <w:tab/>
      </w:r>
      <w:proofErr w:type="spellStart"/>
      <w:r>
        <w:t>МЕДНЕТ</w:t>
      </w:r>
      <w:proofErr w:type="spellEnd"/>
      <w:r>
        <w:t xml:space="preserve"> представляет собой европейский проект, финансируемый с уч</w:t>
      </w:r>
      <w:r>
        <w:t>а</w:t>
      </w:r>
      <w:r>
        <w:t>стием Средиземноморской программы, и направлен на упрощение и гармониз</w:t>
      </w:r>
      <w:r>
        <w:t>а</w:t>
      </w:r>
      <w:r>
        <w:t>цию процедур морских и портовых операций в рамках Средиземноморского р</w:t>
      </w:r>
      <w:r>
        <w:t>е</w:t>
      </w:r>
      <w:r>
        <w:t>гиона. После завершения его реализации в мае 2015 года были вынесены рек</w:t>
      </w:r>
      <w:r>
        <w:t>о</w:t>
      </w:r>
      <w:r>
        <w:t>мендации по действиям и мерам для облегчения морских грузовых перевозок, ускорения логистических процедур и снижения логистических расходов. Кроме того, более эффективная эксплуатация морских маршрутов уже начинает спосо</w:t>
      </w:r>
      <w:r>
        <w:t>б</w:t>
      </w:r>
      <w:r>
        <w:t>ствовать более интенсивному перераспределению перевозок по видам транспо</w:t>
      </w:r>
      <w:r>
        <w:t>р</w:t>
      </w:r>
      <w:r>
        <w:t>та за счет ограничения степени задействования перегруженной в настоящее вр</w:t>
      </w:r>
      <w:r>
        <w:t>е</w:t>
      </w:r>
      <w:r>
        <w:t>мя европейской автодорожной сети при одновременном снижении негативных экологических последствий и повышении социального и экономического взаим</w:t>
      </w:r>
      <w:r>
        <w:t>о</w:t>
      </w:r>
      <w:r>
        <w:t xml:space="preserve">действия между европейскими и средиземноморскими странами. </w:t>
      </w:r>
    </w:p>
    <w:p w:rsidR="00C57E5E" w:rsidRDefault="00C57E5E" w:rsidP="00C57E5E">
      <w:pPr>
        <w:pStyle w:val="SingleTxt"/>
      </w:pPr>
      <w:r>
        <w:t>2.</w:t>
      </w:r>
      <w:r>
        <w:tab/>
        <w:t>В рамках этого проекта было разработано 20 экспериментальных видов де</w:t>
      </w:r>
      <w:r>
        <w:t>я</w:t>
      </w:r>
      <w:r>
        <w:t>тельности, апробированных в портах-партнерах и в административных или т</w:t>
      </w:r>
      <w:r>
        <w:t>а</w:t>
      </w:r>
      <w:r>
        <w:t>моженных учреждениях участвующих стран и позволивших выявить возможн</w:t>
      </w:r>
      <w:r>
        <w:t>о</w:t>
      </w:r>
      <w:r>
        <w:t>сти для упрощения и гармонизации процедур. Параллельно с этим были пров</w:t>
      </w:r>
      <w:r>
        <w:t>е</w:t>
      </w:r>
      <w:r>
        <w:t>дены исследования для мониторинга и сбора данных, в результате чего информ</w:t>
      </w:r>
      <w:r>
        <w:t>а</w:t>
      </w:r>
      <w:r>
        <w:t xml:space="preserve">ция поступила в базу данных "платформы мониторинга портовых операций в </w:t>
      </w:r>
      <w:r>
        <w:lastRenderedPageBreak/>
        <w:t xml:space="preserve">Средиземноморье", </w:t>
      </w:r>
      <w:proofErr w:type="gramStart"/>
      <w:r>
        <w:t>к</w:t>
      </w:r>
      <w:proofErr w:type="gramEnd"/>
      <w:r>
        <w:t xml:space="preserve"> которой был открыт доступ для партнеров и всех сторон, участвующих в морских перевозках.</w:t>
      </w:r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C57E5E" w:rsidRDefault="00C57E5E" w:rsidP="006123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proofErr w:type="spellStart"/>
      <w:r>
        <w:t>II</w:t>
      </w:r>
      <w:proofErr w:type="spellEnd"/>
      <w:r>
        <w:t>.</w:t>
      </w:r>
      <w:r>
        <w:tab/>
        <w:t>Платформа мониторинга портовых операций в</w:t>
      </w:r>
      <w:r w:rsidR="006123FD">
        <w:t> </w:t>
      </w:r>
      <w:r>
        <w:t>Средиземноморье</w:t>
      </w:r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C57E5E" w:rsidRDefault="00C57E5E" w:rsidP="00C57E5E">
      <w:pPr>
        <w:pStyle w:val="SingleTxt"/>
      </w:pPr>
      <w:r>
        <w:t>3.</w:t>
      </w:r>
      <w:r>
        <w:tab/>
      </w:r>
      <w:r w:rsidR="00154FD9">
        <w:t xml:space="preserve">Платформа </w:t>
      </w:r>
      <w:r>
        <w:t>мониторинга портовых операций в Средиземном море предста</w:t>
      </w:r>
      <w:r>
        <w:t>в</w:t>
      </w:r>
      <w:r>
        <w:t>ляет собой комплексный информационный центр и базу данных о требованиях портовых администраций, логистических процедурах, портовых операциях и т</w:t>
      </w:r>
      <w:r>
        <w:t>а</w:t>
      </w:r>
      <w:r>
        <w:t>моженных формальностях. Она позволяет зарегистрировать и распространить информацию об оптимальной практике, а также ознакомиться с техническими параметрами, касающимися эффективности портовых операций, на основе пр</w:t>
      </w:r>
      <w:r>
        <w:t>и</w:t>
      </w:r>
      <w:r>
        <w:t>менения специализированной базы данных, причем с освещением в то же время сильных и слабых аспектов портовых операций. Кроме того, она обеспечивает возможности для связи на европейском, национальном и региональном уровнях при помощи группы открытого обсуждения. Она также позволяет представит</w:t>
      </w:r>
      <w:r>
        <w:t>е</w:t>
      </w:r>
      <w:r>
        <w:t xml:space="preserve">лям портовых властей Средиземноморского региона производить онлайновую оценку их порта. </w:t>
      </w:r>
    </w:p>
    <w:p w:rsidR="00164D63" w:rsidRDefault="00C57E5E" w:rsidP="00C57E5E">
      <w:pPr>
        <w:pStyle w:val="SingleTxt"/>
      </w:pPr>
      <w:r>
        <w:t>4.</w:t>
      </w:r>
      <w:r>
        <w:tab/>
        <w:t>Набор ключевых услуг для субъектов портовой деятельности</w:t>
      </w:r>
    </w:p>
    <w:p w:rsidR="00C57E5E" w:rsidRPr="006123FD" w:rsidRDefault="00C57E5E" w:rsidP="006123FD">
      <w:pPr>
        <w:pStyle w:val="SingleTxt"/>
        <w:spacing w:after="0" w:line="120" w:lineRule="exact"/>
        <w:rPr>
          <w:sz w:val="10"/>
          <w:lang w:val="en-US"/>
        </w:rPr>
      </w:pPr>
    </w:p>
    <w:p w:rsidR="006123FD" w:rsidRPr="006123FD" w:rsidRDefault="006123FD" w:rsidP="006123F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675"/>
        <w:gridCol w:w="1675"/>
        <w:gridCol w:w="1675"/>
        <w:gridCol w:w="1675"/>
        <w:gridCol w:w="1676"/>
      </w:tblGrid>
      <w:tr w:rsidR="00791ECB" w:rsidRPr="00791ECB" w:rsidTr="00C0152E">
        <w:trPr>
          <w:cantSplit/>
          <w:tblHeader/>
        </w:trPr>
        <w:tc>
          <w:tcPr>
            <w:tcW w:w="100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791ECB" w:rsidRDefault="00791ECB" w:rsidP="00C0152E">
            <w:pPr>
              <w:spacing w:before="80" w:after="80" w:line="200" w:lineRule="exact"/>
              <w:ind w:right="43"/>
              <w:jc w:val="center"/>
              <w:rPr>
                <w:i/>
                <w:sz w:val="14"/>
              </w:rPr>
            </w:pPr>
            <w:r w:rsidRPr="00791ECB">
              <w:rPr>
                <w:i/>
                <w:sz w:val="14"/>
              </w:rPr>
              <w:t>Набор ключевых услуг для субъектов портовой деятельности</w:t>
            </w:r>
          </w:p>
        </w:tc>
      </w:tr>
      <w:tr w:rsidR="00791ECB" w:rsidRPr="00C0152E" w:rsidTr="00C0152E">
        <w:trPr>
          <w:cantSplit/>
          <w:tblHeader/>
        </w:trPr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791ECB" w:rsidRDefault="00791ECB" w:rsidP="00C0152E">
            <w:pPr>
              <w:spacing w:after="80" w:line="200" w:lineRule="exact"/>
              <w:rPr>
                <w:i/>
                <w:sz w:val="14"/>
                <w:lang w:val="en-US"/>
              </w:rPr>
            </w:pPr>
            <w:r w:rsidRPr="00791ECB">
              <w:rPr>
                <w:i/>
                <w:sz w:val="14"/>
              </w:rPr>
              <w:t>Портовые власти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791ECB" w:rsidRDefault="00791ECB" w:rsidP="00C0152E">
            <w:pPr>
              <w:spacing w:after="80" w:line="200" w:lineRule="exact"/>
              <w:ind w:right="43"/>
              <w:rPr>
                <w:i/>
                <w:sz w:val="14"/>
                <w:lang w:val="en-US"/>
              </w:rPr>
            </w:pPr>
            <w:r w:rsidRPr="00791ECB">
              <w:rPr>
                <w:i/>
                <w:sz w:val="14"/>
              </w:rPr>
              <w:t>Таможенный орган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791ECB" w:rsidRDefault="00791ECB" w:rsidP="00C0152E">
            <w:pPr>
              <w:spacing w:after="80" w:line="200" w:lineRule="exact"/>
              <w:ind w:right="43"/>
              <w:rPr>
                <w:i/>
                <w:sz w:val="14"/>
                <w:lang w:val="en-US"/>
              </w:rPr>
            </w:pPr>
            <w:r w:rsidRPr="00791ECB">
              <w:rPr>
                <w:i/>
                <w:sz w:val="14"/>
              </w:rPr>
              <w:t>Судоходная компания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791ECB" w:rsidRDefault="00791ECB" w:rsidP="00C0152E">
            <w:pPr>
              <w:spacing w:after="80" w:line="200" w:lineRule="exact"/>
              <w:ind w:right="43"/>
              <w:rPr>
                <w:i/>
                <w:sz w:val="14"/>
                <w:lang w:val="en-US"/>
              </w:rPr>
            </w:pPr>
            <w:r w:rsidRPr="00791ECB">
              <w:rPr>
                <w:i/>
                <w:sz w:val="14"/>
              </w:rPr>
              <w:t>Грузоотправитель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C0152E" w:rsidRDefault="00791ECB" w:rsidP="00C0152E">
            <w:pPr>
              <w:spacing w:after="80" w:line="200" w:lineRule="exact"/>
              <w:ind w:right="43"/>
              <w:rPr>
                <w:i/>
                <w:sz w:val="14"/>
              </w:rPr>
            </w:pPr>
            <w:r w:rsidRPr="00791ECB">
              <w:rPr>
                <w:i/>
                <w:sz w:val="14"/>
              </w:rPr>
              <w:t xml:space="preserve">Государственная </w:t>
            </w:r>
            <w:r w:rsidR="00C0152E">
              <w:rPr>
                <w:i/>
                <w:sz w:val="14"/>
              </w:rPr>
              <w:br/>
            </w:r>
            <w:r w:rsidRPr="00791ECB">
              <w:rPr>
                <w:i/>
                <w:sz w:val="14"/>
              </w:rPr>
              <w:t>организация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C0152E" w:rsidRDefault="00791ECB" w:rsidP="00C0152E">
            <w:pPr>
              <w:spacing w:after="80" w:line="200" w:lineRule="exact"/>
              <w:ind w:right="43"/>
              <w:rPr>
                <w:i/>
                <w:sz w:val="14"/>
              </w:rPr>
            </w:pPr>
            <w:r w:rsidRPr="00791ECB">
              <w:rPr>
                <w:i/>
                <w:sz w:val="14"/>
              </w:rPr>
              <w:t xml:space="preserve">Исследовательские </w:t>
            </w:r>
            <w:r w:rsidR="00C0152E">
              <w:rPr>
                <w:i/>
                <w:sz w:val="14"/>
              </w:rPr>
              <w:br/>
            </w:r>
            <w:r w:rsidRPr="00791ECB">
              <w:rPr>
                <w:i/>
                <w:sz w:val="14"/>
              </w:rPr>
              <w:t>органы/научные круги</w:t>
            </w:r>
          </w:p>
        </w:tc>
      </w:tr>
      <w:tr w:rsidR="00791ECB" w:rsidRPr="00C0152E" w:rsidTr="00C0152E">
        <w:trPr>
          <w:cantSplit/>
          <w:trHeight w:hRule="exact" w:val="115"/>
          <w:tblHeader/>
        </w:trPr>
        <w:tc>
          <w:tcPr>
            <w:tcW w:w="1675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C0152E" w:rsidRDefault="00791ECB" w:rsidP="00C0152E">
            <w:pPr>
              <w:spacing w:before="40" w:after="40" w:line="220" w:lineRule="exact"/>
              <w:rPr>
                <w:sz w:val="17"/>
              </w:rPr>
            </w:pPr>
          </w:p>
        </w:tc>
        <w:tc>
          <w:tcPr>
            <w:tcW w:w="1675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C0152E" w:rsidRDefault="00791ECB" w:rsidP="00C0152E">
            <w:pPr>
              <w:spacing w:before="40" w:after="40" w:line="2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675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C0152E" w:rsidRDefault="00791ECB" w:rsidP="00C0152E">
            <w:pPr>
              <w:spacing w:before="40" w:after="40" w:line="2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675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C0152E" w:rsidRDefault="00791ECB" w:rsidP="00C0152E">
            <w:pPr>
              <w:spacing w:before="40" w:after="40" w:line="2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675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C0152E" w:rsidRDefault="00791ECB" w:rsidP="00C0152E">
            <w:pPr>
              <w:spacing w:before="40" w:after="40" w:line="2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791ECB" w:rsidRPr="00C0152E" w:rsidRDefault="00791ECB" w:rsidP="00C0152E">
            <w:pPr>
              <w:spacing w:before="40" w:after="40" w:line="220" w:lineRule="exact"/>
              <w:ind w:right="43"/>
              <w:jc w:val="right"/>
              <w:rPr>
                <w:sz w:val="17"/>
              </w:rPr>
            </w:pPr>
          </w:p>
        </w:tc>
      </w:tr>
      <w:tr w:rsidR="00791ECB" w:rsidRPr="00791ECB" w:rsidTr="00C0152E">
        <w:trPr>
          <w:cantSplit/>
        </w:trPr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Оценка моих портовых опер</w:t>
            </w:r>
            <w:r w:rsidRPr="00791ECB">
              <w:rPr>
                <w:sz w:val="18"/>
                <w:szCs w:val="18"/>
              </w:rPr>
              <w:t>а</w:t>
            </w:r>
            <w:r w:rsidRPr="00791ECB">
              <w:rPr>
                <w:sz w:val="18"/>
                <w:szCs w:val="18"/>
              </w:rPr>
              <w:t>ций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Оценка моих таможенных пр</w:t>
            </w:r>
            <w:r w:rsidRPr="00791ECB">
              <w:rPr>
                <w:sz w:val="18"/>
                <w:szCs w:val="18"/>
              </w:rPr>
              <w:t>о</w:t>
            </w:r>
            <w:r w:rsidRPr="00791ECB">
              <w:rPr>
                <w:sz w:val="18"/>
                <w:szCs w:val="18"/>
              </w:rPr>
              <w:t>цедур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Изучение о</w:t>
            </w:r>
            <w:r w:rsidRPr="00791ECB">
              <w:rPr>
                <w:sz w:val="18"/>
                <w:szCs w:val="18"/>
              </w:rPr>
              <w:t>п</w:t>
            </w:r>
            <w:r w:rsidRPr="00791ECB">
              <w:rPr>
                <w:sz w:val="18"/>
                <w:szCs w:val="18"/>
              </w:rPr>
              <w:t>тимальной пра</w:t>
            </w:r>
            <w:r w:rsidRPr="00791ECB">
              <w:rPr>
                <w:sz w:val="18"/>
                <w:szCs w:val="18"/>
              </w:rPr>
              <w:t>к</w:t>
            </w:r>
            <w:r w:rsidRPr="00791ECB">
              <w:rPr>
                <w:sz w:val="18"/>
                <w:szCs w:val="18"/>
              </w:rPr>
              <w:t>тики в Европе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Изучение о</w:t>
            </w:r>
            <w:r w:rsidRPr="00791ECB">
              <w:rPr>
                <w:sz w:val="18"/>
                <w:szCs w:val="18"/>
              </w:rPr>
              <w:t>п</w:t>
            </w:r>
            <w:r w:rsidRPr="00791ECB">
              <w:rPr>
                <w:sz w:val="18"/>
                <w:szCs w:val="18"/>
              </w:rPr>
              <w:t>тимальной пра</w:t>
            </w:r>
            <w:r w:rsidRPr="00791ECB">
              <w:rPr>
                <w:sz w:val="18"/>
                <w:szCs w:val="18"/>
              </w:rPr>
              <w:t>к</w:t>
            </w:r>
            <w:r w:rsidRPr="00791ECB">
              <w:rPr>
                <w:sz w:val="18"/>
                <w:szCs w:val="18"/>
              </w:rPr>
              <w:t>тики в Европе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Изучение о</w:t>
            </w:r>
            <w:r w:rsidRPr="00791ECB">
              <w:rPr>
                <w:sz w:val="18"/>
                <w:szCs w:val="18"/>
              </w:rPr>
              <w:t>п</w:t>
            </w:r>
            <w:r w:rsidRPr="00791ECB">
              <w:rPr>
                <w:sz w:val="18"/>
                <w:szCs w:val="18"/>
              </w:rPr>
              <w:t>тимальной пра</w:t>
            </w:r>
            <w:r w:rsidRPr="00791ECB">
              <w:rPr>
                <w:sz w:val="18"/>
                <w:szCs w:val="18"/>
              </w:rPr>
              <w:t>к</w:t>
            </w:r>
            <w:r w:rsidRPr="00791ECB">
              <w:rPr>
                <w:sz w:val="18"/>
                <w:szCs w:val="18"/>
              </w:rPr>
              <w:t>тики в Европе</w:t>
            </w:r>
          </w:p>
        </w:tc>
        <w:tc>
          <w:tcPr>
            <w:tcW w:w="1676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Изучение о</w:t>
            </w:r>
            <w:r w:rsidRPr="00791ECB">
              <w:rPr>
                <w:sz w:val="18"/>
                <w:szCs w:val="18"/>
              </w:rPr>
              <w:t>п</w:t>
            </w:r>
            <w:r w:rsidRPr="00791ECB">
              <w:rPr>
                <w:sz w:val="18"/>
                <w:szCs w:val="18"/>
              </w:rPr>
              <w:t>тимальной пра</w:t>
            </w:r>
            <w:r w:rsidRPr="00791ECB">
              <w:rPr>
                <w:sz w:val="18"/>
                <w:szCs w:val="18"/>
              </w:rPr>
              <w:t>к</w:t>
            </w:r>
            <w:r w:rsidRPr="00791ECB">
              <w:rPr>
                <w:sz w:val="18"/>
                <w:szCs w:val="18"/>
              </w:rPr>
              <w:t>тики в Европе</w:t>
            </w:r>
          </w:p>
        </w:tc>
      </w:tr>
      <w:tr w:rsidR="00791ECB" w:rsidRPr="00791ECB" w:rsidTr="00C0152E">
        <w:trPr>
          <w:cantSplit/>
        </w:trPr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Изучение о</w:t>
            </w:r>
            <w:r w:rsidRPr="00791ECB">
              <w:rPr>
                <w:sz w:val="18"/>
                <w:szCs w:val="18"/>
              </w:rPr>
              <w:t>п</w:t>
            </w:r>
            <w:r w:rsidRPr="00791ECB">
              <w:rPr>
                <w:sz w:val="18"/>
                <w:szCs w:val="18"/>
              </w:rPr>
              <w:t>тимальной пра</w:t>
            </w:r>
            <w:r w:rsidRPr="00791ECB">
              <w:rPr>
                <w:sz w:val="18"/>
                <w:szCs w:val="18"/>
              </w:rPr>
              <w:t>к</w:t>
            </w:r>
            <w:r w:rsidRPr="00791ECB">
              <w:rPr>
                <w:sz w:val="18"/>
                <w:szCs w:val="18"/>
              </w:rPr>
              <w:t>тики в Европе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Ознакомление с моим портовым сообществом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Ознакомление с моим портовым сообществом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Ознакомление с моим портовым сообществом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Использование базы данных</w:t>
            </w:r>
          </w:p>
        </w:tc>
        <w:tc>
          <w:tcPr>
            <w:tcW w:w="1676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Использование базы данных</w:t>
            </w:r>
          </w:p>
        </w:tc>
      </w:tr>
      <w:tr w:rsidR="00791ECB" w:rsidRPr="00791ECB" w:rsidTr="00C0152E">
        <w:trPr>
          <w:cantSplit/>
        </w:trPr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Обмен знани</w:t>
            </w:r>
            <w:r w:rsidRPr="00791ECB">
              <w:rPr>
                <w:sz w:val="18"/>
                <w:szCs w:val="18"/>
              </w:rPr>
              <w:t>я</w:t>
            </w:r>
            <w:r w:rsidRPr="00791ECB">
              <w:rPr>
                <w:sz w:val="18"/>
                <w:szCs w:val="18"/>
              </w:rPr>
              <w:t>ми и мнениями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Обмен знани</w:t>
            </w:r>
            <w:r w:rsidRPr="00791ECB">
              <w:rPr>
                <w:sz w:val="18"/>
                <w:szCs w:val="18"/>
              </w:rPr>
              <w:t>я</w:t>
            </w:r>
            <w:r w:rsidRPr="00791ECB">
              <w:rPr>
                <w:sz w:val="18"/>
                <w:szCs w:val="18"/>
              </w:rPr>
              <w:t>ми и мнениями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Обмен знани</w:t>
            </w:r>
            <w:r w:rsidRPr="00791ECB">
              <w:rPr>
                <w:sz w:val="18"/>
                <w:szCs w:val="18"/>
              </w:rPr>
              <w:t>я</w:t>
            </w:r>
            <w:r w:rsidRPr="00791ECB">
              <w:rPr>
                <w:sz w:val="18"/>
                <w:szCs w:val="18"/>
              </w:rPr>
              <w:t>ми и мнениями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Обмен знани</w:t>
            </w:r>
            <w:r w:rsidRPr="00791ECB">
              <w:rPr>
                <w:sz w:val="18"/>
                <w:szCs w:val="18"/>
              </w:rPr>
              <w:t>я</w:t>
            </w:r>
            <w:r w:rsidRPr="00791ECB">
              <w:rPr>
                <w:sz w:val="18"/>
                <w:szCs w:val="18"/>
              </w:rPr>
              <w:t>ми и мнениями</w:t>
            </w:r>
          </w:p>
        </w:tc>
        <w:tc>
          <w:tcPr>
            <w:tcW w:w="1675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Обмен знани</w:t>
            </w:r>
            <w:r w:rsidRPr="00791ECB">
              <w:rPr>
                <w:sz w:val="18"/>
                <w:szCs w:val="18"/>
              </w:rPr>
              <w:t>я</w:t>
            </w:r>
            <w:r w:rsidRPr="00791ECB">
              <w:rPr>
                <w:sz w:val="18"/>
                <w:szCs w:val="18"/>
              </w:rPr>
              <w:t>ми и мнениями</w:t>
            </w:r>
          </w:p>
        </w:tc>
        <w:tc>
          <w:tcPr>
            <w:tcW w:w="1676" w:type="dxa"/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Обмен знани</w:t>
            </w:r>
            <w:r w:rsidRPr="00791ECB">
              <w:rPr>
                <w:sz w:val="18"/>
                <w:szCs w:val="18"/>
              </w:rPr>
              <w:t>я</w:t>
            </w:r>
            <w:r w:rsidRPr="00791ECB">
              <w:rPr>
                <w:sz w:val="18"/>
                <w:szCs w:val="18"/>
              </w:rPr>
              <w:t>ми и мнениями</w:t>
            </w:r>
          </w:p>
        </w:tc>
      </w:tr>
      <w:tr w:rsidR="00791ECB" w:rsidRPr="00791ECB" w:rsidTr="00C0152E">
        <w:trPr>
          <w:cantSplit/>
        </w:trPr>
        <w:tc>
          <w:tcPr>
            <w:tcW w:w="1675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tabs>
                <w:tab w:val="left" w:pos="290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791ECB">
              <w:rPr>
                <w:sz w:val="18"/>
                <w:szCs w:val="18"/>
              </w:rPr>
              <w:t>Выявление внутренних рай</w:t>
            </w:r>
            <w:r w:rsidRPr="00791ECB">
              <w:rPr>
                <w:sz w:val="18"/>
                <w:szCs w:val="18"/>
              </w:rPr>
              <w:t>о</w:t>
            </w:r>
            <w:r w:rsidRPr="00791ECB">
              <w:rPr>
                <w:sz w:val="18"/>
                <w:szCs w:val="18"/>
              </w:rPr>
              <w:t xml:space="preserve">нов/районов </w:t>
            </w:r>
            <w:proofErr w:type="spellStart"/>
            <w:r w:rsidRPr="00791ECB">
              <w:rPr>
                <w:sz w:val="18"/>
                <w:szCs w:val="18"/>
              </w:rPr>
              <w:t>и</w:t>
            </w:r>
            <w:r w:rsidRPr="00791ECB">
              <w:rPr>
                <w:sz w:val="18"/>
                <w:szCs w:val="18"/>
              </w:rPr>
              <w:t>н</w:t>
            </w:r>
            <w:r w:rsidRPr="00791ECB">
              <w:rPr>
                <w:sz w:val="18"/>
                <w:szCs w:val="18"/>
              </w:rPr>
              <w:t>термодальных</w:t>
            </w:r>
            <w:proofErr w:type="spellEnd"/>
            <w:r w:rsidRPr="00791ECB">
              <w:rPr>
                <w:sz w:val="18"/>
                <w:szCs w:val="18"/>
              </w:rPr>
              <w:t xml:space="preserve"> п</w:t>
            </w:r>
            <w:r w:rsidRPr="00791ECB">
              <w:rPr>
                <w:sz w:val="18"/>
                <w:szCs w:val="18"/>
              </w:rPr>
              <w:t>е</w:t>
            </w:r>
            <w:r w:rsidRPr="00791ECB">
              <w:rPr>
                <w:sz w:val="18"/>
                <w:szCs w:val="18"/>
              </w:rPr>
              <w:t>ревозок</w:t>
            </w:r>
          </w:p>
        </w:tc>
        <w:tc>
          <w:tcPr>
            <w:tcW w:w="1675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numPr>
                <w:ilvl w:val="0"/>
                <w:numId w:val="0"/>
              </w:numPr>
              <w:tabs>
                <w:tab w:val="left" w:pos="290"/>
              </w:tabs>
              <w:spacing w:line="220" w:lineRule="exact"/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pStyle w:val="Bullet1GR"/>
              <w:numPr>
                <w:ilvl w:val="0"/>
                <w:numId w:val="0"/>
              </w:numPr>
              <w:tabs>
                <w:tab w:val="left" w:pos="290"/>
              </w:tabs>
              <w:spacing w:line="220" w:lineRule="exact"/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91ECB" w:rsidRPr="00791ECB" w:rsidRDefault="00791ECB" w:rsidP="00C0152E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</w:tr>
    </w:tbl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C0152E" w:rsidRDefault="00C0152E" w:rsidP="00C0152E">
      <w:pPr>
        <w:pStyle w:val="SingleTxt"/>
      </w:pPr>
      <w:r>
        <w:t>5.</w:t>
      </w:r>
      <w:r>
        <w:tab/>
        <w:t>Платформа мониторинга портовых операций достигла следующих результ</w:t>
      </w:r>
      <w:r>
        <w:t>а</w:t>
      </w:r>
      <w:r>
        <w:t>тов:</w:t>
      </w:r>
    </w:p>
    <w:p w:rsidR="00C0152E" w:rsidRDefault="00C0152E" w:rsidP="00C0152E">
      <w:pPr>
        <w:pStyle w:val="SingleTxt"/>
      </w:pPr>
      <w:r>
        <w:tab/>
        <w:t>а)</w:t>
      </w:r>
      <w:r>
        <w:tab/>
        <w:t>отчетность и мониторинг на основе показателей эффективности по каждому порту; обновление информации на основе разработки услуг агента д</w:t>
      </w:r>
      <w:r>
        <w:t>о</w:t>
      </w:r>
      <w:r>
        <w:t>ступа к Интернету (программное обеспечение, позволяющее производить анализ и съем информации из источников в Интернете);</w:t>
      </w:r>
    </w:p>
    <w:p w:rsidR="00C0152E" w:rsidRDefault="00C0152E" w:rsidP="00C0152E">
      <w:pPr>
        <w:pStyle w:val="SingleTxt"/>
      </w:pPr>
      <w:r>
        <w:tab/>
        <w:t>b)</w:t>
      </w:r>
      <w:r>
        <w:tab/>
        <w:t>база данных о портовых операциях, грузовых потоках, судоходных л</w:t>
      </w:r>
      <w:r>
        <w:t>и</w:t>
      </w:r>
      <w:r>
        <w:t>ниях, квалификации, ходе выполнения планов расширения, сетевой структуре и сетевых потоках внутренних районов и т.д. для всех участвующих портов;</w:t>
      </w:r>
    </w:p>
    <w:p w:rsidR="00C0152E" w:rsidRDefault="00C0152E" w:rsidP="00C0152E">
      <w:pPr>
        <w:pStyle w:val="SingleTxt"/>
      </w:pPr>
      <w:r>
        <w:tab/>
        <w:t>с)</w:t>
      </w:r>
      <w:r>
        <w:tab/>
        <w:t>платформа связи, обеспечивающая новые виды взаимодействия и с</w:t>
      </w:r>
      <w:r>
        <w:t>о</w:t>
      </w:r>
      <w:r>
        <w:t>трудничества между портовыми властями и заинтересованными сторонами на региональном, национальном и европейском уровнях;</w:t>
      </w:r>
    </w:p>
    <w:p w:rsidR="00C0152E" w:rsidRDefault="00C0152E" w:rsidP="006123FD">
      <w:pPr>
        <w:pStyle w:val="SingleTxt"/>
        <w:keepLines/>
      </w:pPr>
      <w:r>
        <w:lastRenderedPageBreak/>
        <w:tab/>
      </w:r>
      <w:proofErr w:type="gramStart"/>
      <w:r>
        <w:t>d)</w:t>
      </w:r>
      <w:r>
        <w:tab/>
        <w:t>библиотека справочных данных о а) законодательстве, руководящих указаниях, проектах/исследованиях, связанных с портовыми операциями, там</w:t>
      </w:r>
      <w:r>
        <w:t>о</w:t>
      </w:r>
      <w:r>
        <w:t>женных процедурах, портовых формальностях, аспектах охраны/безопасности и т.д.; b) рекомендациях и оптимальной практике; с) статистике торговли и тран</w:t>
      </w:r>
      <w:r>
        <w:t>с</w:t>
      </w:r>
      <w:r>
        <w:t>порта, прямых соединениях (типа "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source</w:t>
      </w:r>
      <w:proofErr w:type="spellEnd"/>
      <w:r>
        <w:t>", "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" и т.д.) и поставщиках данных (например, </w:t>
      </w:r>
      <w:proofErr w:type="spellStart"/>
      <w:r>
        <w:t>Евростат</w:t>
      </w:r>
      <w:proofErr w:type="spellEnd"/>
      <w:r>
        <w:t xml:space="preserve"> по грузам и видам транспорта);</w:t>
      </w:r>
      <w:proofErr w:type="gramEnd"/>
    </w:p>
    <w:p w:rsidR="00C0152E" w:rsidRDefault="00C0152E" w:rsidP="00C0152E">
      <w:pPr>
        <w:pStyle w:val="SingleTxt"/>
      </w:pPr>
      <w:r>
        <w:tab/>
        <w:t>е)</w:t>
      </w:r>
      <w:r>
        <w:tab/>
        <w:t>с учетом результатов применения анализа статистического моделир</w:t>
      </w:r>
      <w:r>
        <w:t>о</w:t>
      </w:r>
      <w:r>
        <w:t>вания будет определена степень потребности в усовершенствовании конкретного порта для достижения уровня оптимальной практики. Будут приняты во вним</w:t>
      </w:r>
      <w:r>
        <w:t>а</w:t>
      </w:r>
      <w:r>
        <w:t>ние также последствия таких мероприятий. Порт, соответствующий критериям оптимальной практики по каждой из указанных позиций, будет включен в кат</w:t>
      </w:r>
      <w:r>
        <w:t>е</w:t>
      </w:r>
      <w:r>
        <w:t>горию "идеального порта", представляющего собой виртуальный порт.</w:t>
      </w:r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C0152E" w:rsidRDefault="006123FD" w:rsidP="006123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proofErr w:type="spellStart"/>
      <w:r w:rsidR="00C0152E">
        <w:t>III</w:t>
      </w:r>
      <w:proofErr w:type="spellEnd"/>
      <w:r w:rsidR="00C0152E">
        <w:t>.</w:t>
      </w:r>
      <w:r w:rsidR="00C0152E">
        <w:tab/>
        <w:t xml:space="preserve">Указания </w:t>
      </w:r>
      <w:proofErr w:type="spellStart"/>
      <w:r w:rsidR="00C0152E">
        <w:t>WP.5</w:t>
      </w:r>
      <w:proofErr w:type="spellEnd"/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6123FD" w:rsidRPr="006123FD" w:rsidRDefault="006123FD" w:rsidP="006123FD">
      <w:pPr>
        <w:pStyle w:val="SingleTxt"/>
        <w:spacing w:after="0" w:line="120" w:lineRule="exact"/>
        <w:rPr>
          <w:sz w:val="10"/>
        </w:rPr>
      </w:pPr>
    </w:p>
    <w:p w:rsidR="00791ECB" w:rsidRPr="00791ECB" w:rsidRDefault="00C0152E" w:rsidP="00C0152E">
      <w:pPr>
        <w:pStyle w:val="SingleTxt"/>
      </w:pPr>
      <w:r>
        <w:t>6.</w:t>
      </w:r>
      <w:r>
        <w:tab/>
        <w:t>Рабочая группа на своей прошлой сессии приняла к сведению информацию о мониторинге связей между портами и внутренними районами, подготовленную в рамках программы Средиземноморской сети. Она просила секретариат изучить пути дальнейшего сотрудничества Рабочей группы с программой Средиземн</w:t>
      </w:r>
      <w:r>
        <w:t>о</w:t>
      </w:r>
      <w:r>
        <w:t>морской сети и ее платформой мониторинга связей между портами и внутренн</w:t>
      </w:r>
      <w:r>
        <w:t>и</w:t>
      </w:r>
      <w:r>
        <w:t>ми районами и представить на своей следующей сессии соответствующие мат</w:t>
      </w:r>
      <w:r>
        <w:t>е</w:t>
      </w:r>
      <w:r>
        <w:t xml:space="preserve">риалы для рассмотрения. </w:t>
      </w:r>
      <w:proofErr w:type="spellStart"/>
      <w:r>
        <w:t>WP.5</w:t>
      </w:r>
      <w:proofErr w:type="spellEnd"/>
      <w:r>
        <w:t>, возможно, пожелает рассмотреть изложенную выше информацию о структуре платформы мониторинга и предоставляемых ею услугах и, возможно, пожелает дать секретариату указания относительно дал</w:t>
      </w:r>
      <w:r>
        <w:t>ь</w:t>
      </w:r>
      <w:r>
        <w:t>нейших действий в этой области.</w:t>
      </w:r>
    </w:p>
    <w:p w:rsidR="00C57E5E" w:rsidRPr="006123FD" w:rsidRDefault="006123FD" w:rsidP="006123F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57E5E" w:rsidRPr="006123FD" w:rsidSect="00164D6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7-09T09:15:00Z" w:initials="Start">
    <w:p w:rsidR="00164D63" w:rsidRPr="006A1B9F" w:rsidRDefault="00164D63">
      <w:pPr>
        <w:pStyle w:val="CommentText"/>
        <w:rPr>
          <w:lang w:val="en-US"/>
        </w:rPr>
      </w:pPr>
      <w:r>
        <w:fldChar w:fldCharType="begin"/>
      </w:r>
      <w:r w:rsidRPr="006A1B9F">
        <w:rPr>
          <w:rStyle w:val="CommentReference"/>
          <w:lang w:val="en-US"/>
        </w:rPr>
        <w:instrText xml:space="preserve"> </w:instrText>
      </w:r>
      <w:r w:rsidRPr="006A1B9F">
        <w:rPr>
          <w:lang w:val="en-US"/>
        </w:rPr>
        <w:instrText>PAGE \# "'Page: '#'</w:instrText>
      </w:r>
      <w:r w:rsidRPr="006A1B9F">
        <w:rPr>
          <w:lang w:val="en-US"/>
        </w:rPr>
        <w:br/>
        <w:instrText>'"</w:instrText>
      </w:r>
      <w:r w:rsidRPr="006A1B9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A1B9F">
        <w:rPr>
          <w:lang w:val="en-US"/>
        </w:rPr>
        <w:t>&lt;&lt;ODS JOB NO&gt;&gt;</w:t>
      </w:r>
      <w:proofErr w:type="spellStart"/>
      <w:r w:rsidRPr="006A1B9F">
        <w:rPr>
          <w:lang w:val="en-US"/>
        </w:rPr>
        <w:t>N1513763R</w:t>
      </w:r>
      <w:proofErr w:type="spellEnd"/>
      <w:r w:rsidRPr="006A1B9F">
        <w:rPr>
          <w:lang w:val="en-US"/>
        </w:rPr>
        <w:t>&lt;&lt;ODS JOB NO&gt;&gt;</w:t>
      </w:r>
    </w:p>
    <w:p w:rsidR="00164D63" w:rsidRDefault="00164D63">
      <w:pPr>
        <w:pStyle w:val="CommentText"/>
      </w:pPr>
      <w:r>
        <w:t>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SYMBOL1</w:t>
      </w:r>
      <w:proofErr w:type="spellEnd"/>
      <w:r>
        <w:t>&gt;&gt;ECE/</w:t>
      </w:r>
      <w:proofErr w:type="spellStart"/>
      <w:r>
        <w:t>TRANS</w:t>
      </w:r>
      <w:proofErr w:type="spellEnd"/>
      <w:r>
        <w:t>/</w:t>
      </w:r>
      <w:proofErr w:type="spellStart"/>
      <w:r>
        <w:t>WP.5</w:t>
      </w:r>
      <w:proofErr w:type="spellEnd"/>
      <w:r>
        <w:t>/2015/3&lt;&lt;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SYMBOL1</w:t>
      </w:r>
      <w:proofErr w:type="spellEnd"/>
      <w:r>
        <w:t>&gt;&gt;</w:t>
      </w:r>
    </w:p>
    <w:p w:rsidR="00164D63" w:rsidRDefault="00164D63">
      <w:pPr>
        <w:pStyle w:val="CommentText"/>
      </w:pPr>
      <w:r>
        <w:t>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SYMBOL2</w:t>
      </w:r>
      <w:proofErr w:type="spellEnd"/>
      <w:r>
        <w:t>&gt;&gt;&lt;&lt;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SYMBOL2</w:t>
      </w:r>
      <w:proofErr w:type="spellEnd"/>
      <w: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3F" w:rsidRDefault="001D293F" w:rsidP="008A1A7A">
      <w:pPr>
        <w:spacing w:line="240" w:lineRule="auto"/>
      </w:pPr>
      <w:r>
        <w:separator/>
      </w:r>
    </w:p>
  </w:endnote>
  <w:endnote w:type="continuationSeparator" w:id="0">
    <w:p w:rsidR="001D293F" w:rsidRDefault="001D293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4D63" w:rsidTr="00164D6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4D63" w:rsidRPr="00164D63" w:rsidRDefault="00164D63" w:rsidP="00164D6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45E9">
            <w:rPr>
              <w:noProof/>
            </w:rPr>
            <w:t>2</w:t>
          </w:r>
          <w:r>
            <w:fldChar w:fldCharType="end"/>
          </w:r>
          <w:r>
            <w:t>/</w:t>
          </w:r>
          <w:r w:rsidR="004D45E9">
            <w:fldChar w:fldCharType="begin"/>
          </w:r>
          <w:r w:rsidR="004D45E9">
            <w:instrText xml:space="preserve"> NUMPAGES  \* Arabic  \* MERGEFORMAT </w:instrText>
          </w:r>
          <w:r w:rsidR="004D45E9">
            <w:fldChar w:fldCharType="separate"/>
          </w:r>
          <w:r w:rsidR="004D45E9">
            <w:rPr>
              <w:noProof/>
            </w:rPr>
            <w:t>2</w:t>
          </w:r>
          <w:r w:rsidR="004D45E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4D63" w:rsidRPr="00164D63" w:rsidRDefault="00164D63" w:rsidP="00164D6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proofErr w:type="spellStart"/>
          <w:r w:rsidR="00E8398C">
            <w:rPr>
              <w:b w:val="0"/>
              <w:color w:val="000000"/>
              <w:sz w:val="14"/>
            </w:rPr>
            <w:t>GE</w:t>
          </w:r>
          <w:proofErr w:type="spellEnd"/>
          <w:r w:rsidR="00E8398C">
            <w:rPr>
              <w:b w:val="0"/>
              <w:color w:val="000000"/>
              <w:sz w:val="14"/>
            </w:rPr>
            <w:t>. 15-10767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64D63" w:rsidRPr="00164D63" w:rsidRDefault="00164D63" w:rsidP="00164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4D63" w:rsidTr="00164D6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4D63" w:rsidRPr="00164D63" w:rsidRDefault="00164D63" w:rsidP="00164D6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proofErr w:type="spellStart"/>
          <w:r w:rsidR="00E8398C">
            <w:rPr>
              <w:b w:val="0"/>
              <w:color w:val="000000"/>
              <w:sz w:val="14"/>
            </w:rPr>
            <w:t>GE</w:t>
          </w:r>
          <w:proofErr w:type="spellEnd"/>
          <w:r w:rsidR="00E8398C">
            <w:rPr>
              <w:b w:val="0"/>
              <w:color w:val="000000"/>
              <w:sz w:val="14"/>
            </w:rPr>
            <w:t>. 15-10767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4D63" w:rsidRPr="00164D63" w:rsidRDefault="00164D63" w:rsidP="00164D6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45E9">
            <w:rPr>
              <w:noProof/>
            </w:rPr>
            <w:t>3</w:t>
          </w:r>
          <w:r>
            <w:fldChar w:fldCharType="end"/>
          </w:r>
          <w:r>
            <w:t>/</w:t>
          </w:r>
          <w:r w:rsidR="004D45E9">
            <w:fldChar w:fldCharType="begin"/>
          </w:r>
          <w:r w:rsidR="004D45E9">
            <w:instrText xml:space="preserve"> NUMPAGES  \* Arabic  \* MERGEFORMAT </w:instrText>
          </w:r>
          <w:r w:rsidR="004D45E9">
            <w:fldChar w:fldCharType="separate"/>
          </w:r>
          <w:r w:rsidR="004D45E9">
            <w:rPr>
              <w:noProof/>
            </w:rPr>
            <w:t>3</w:t>
          </w:r>
          <w:r w:rsidR="004D45E9">
            <w:rPr>
              <w:noProof/>
            </w:rPr>
            <w:fldChar w:fldCharType="end"/>
          </w:r>
        </w:p>
      </w:tc>
    </w:tr>
  </w:tbl>
  <w:p w:rsidR="00164D63" w:rsidRPr="00164D63" w:rsidRDefault="00164D63" w:rsidP="00164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64D63" w:rsidTr="00164D63">
      <w:tc>
        <w:tcPr>
          <w:tcW w:w="3873" w:type="dxa"/>
        </w:tcPr>
        <w:p w:rsidR="00164D63" w:rsidRDefault="00164D63" w:rsidP="00C855A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2BB2A96" wp14:editId="215D962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2015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2015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t>GE.15</w:t>
          </w:r>
          <w:proofErr w:type="spellEnd"/>
          <w:r>
            <w:t>-10767 (R)</w:t>
          </w:r>
          <w:r>
            <w:rPr>
              <w:color w:val="010000"/>
            </w:rPr>
            <w:t xml:space="preserve">    0</w:t>
          </w:r>
          <w:r w:rsidR="00C855A0">
            <w:rPr>
              <w:color w:val="010000"/>
            </w:rPr>
            <w:t>8</w:t>
          </w:r>
          <w:r>
            <w:rPr>
              <w:color w:val="010000"/>
            </w:rPr>
            <w:t>0715    090715</w:t>
          </w:r>
        </w:p>
        <w:p w:rsidR="00164D63" w:rsidRPr="00164D63" w:rsidRDefault="00164D63" w:rsidP="00164D6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*1510767*</w:t>
          </w:r>
        </w:p>
      </w:tc>
      <w:tc>
        <w:tcPr>
          <w:tcW w:w="5127" w:type="dxa"/>
        </w:tcPr>
        <w:p w:rsidR="00164D63" w:rsidRDefault="00164D63" w:rsidP="00164D6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CCD33E4" wp14:editId="774C842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4D63" w:rsidRPr="00164D63" w:rsidRDefault="00164D63" w:rsidP="00164D6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3F" w:rsidRPr="00485FE2" w:rsidRDefault="00485FE2" w:rsidP="00485FE2">
      <w:pPr>
        <w:pStyle w:val="Footer"/>
        <w:spacing w:after="80"/>
        <w:ind w:left="792"/>
        <w:rPr>
          <w:sz w:val="16"/>
        </w:rPr>
      </w:pPr>
      <w:r w:rsidRPr="00485FE2">
        <w:rPr>
          <w:sz w:val="16"/>
        </w:rPr>
        <w:t>__________________</w:t>
      </w:r>
    </w:p>
  </w:footnote>
  <w:footnote w:type="continuationSeparator" w:id="0">
    <w:p w:rsidR="001D293F" w:rsidRPr="00485FE2" w:rsidRDefault="00485FE2" w:rsidP="00485FE2">
      <w:pPr>
        <w:pStyle w:val="Footer"/>
        <w:spacing w:after="80"/>
        <w:ind w:left="792"/>
        <w:rPr>
          <w:sz w:val="16"/>
        </w:rPr>
      </w:pPr>
      <w:r w:rsidRPr="00485FE2">
        <w:rPr>
          <w:sz w:val="16"/>
        </w:rPr>
        <w:t>__________________</w:t>
      </w:r>
    </w:p>
  </w:footnote>
  <w:footnote w:id="1">
    <w:p w:rsidR="00485FE2" w:rsidRPr="00485FE2" w:rsidRDefault="00485FE2" w:rsidP="00485FE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3B0FDF">
        <w:t xml:space="preserve">* </w:t>
      </w:r>
      <w:r w:rsidRPr="00FE3A88">
        <w:tab/>
      </w:r>
      <w:r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4D63" w:rsidTr="00164D6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4D63" w:rsidRPr="00164D63" w:rsidRDefault="00164D63" w:rsidP="00164D6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8398C">
            <w:rPr>
              <w:b/>
            </w:rPr>
            <w:t>ECE/</w:t>
          </w:r>
          <w:proofErr w:type="spellStart"/>
          <w:r w:rsidR="00E8398C">
            <w:rPr>
              <w:b/>
            </w:rPr>
            <w:t>TRANS</w:t>
          </w:r>
          <w:proofErr w:type="spellEnd"/>
          <w:r w:rsidR="00E8398C">
            <w:rPr>
              <w:b/>
            </w:rPr>
            <w:t>/</w:t>
          </w:r>
          <w:proofErr w:type="spellStart"/>
          <w:r w:rsidR="00E8398C">
            <w:rPr>
              <w:b/>
            </w:rPr>
            <w:t>WP.5</w:t>
          </w:r>
          <w:proofErr w:type="spellEnd"/>
          <w:r w:rsidR="00E8398C">
            <w:rPr>
              <w:b/>
            </w:rPr>
            <w:t>/2015/3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4D63" w:rsidRDefault="00164D63" w:rsidP="00164D63">
          <w:pPr>
            <w:pStyle w:val="Header"/>
          </w:pPr>
        </w:p>
      </w:tc>
    </w:tr>
  </w:tbl>
  <w:p w:rsidR="00164D63" w:rsidRPr="00164D63" w:rsidRDefault="00164D63" w:rsidP="00164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4D63" w:rsidTr="00164D6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4D63" w:rsidRDefault="00164D63" w:rsidP="00164D6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64D63" w:rsidRPr="00164D63" w:rsidRDefault="00164D63" w:rsidP="00164D6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8398C">
            <w:rPr>
              <w:b/>
            </w:rPr>
            <w:t>ECE/</w:t>
          </w:r>
          <w:proofErr w:type="spellStart"/>
          <w:r w:rsidR="00E8398C">
            <w:rPr>
              <w:b/>
            </w:rPr>
            <w:t>TRANS</w:t>
          </w:r>
          <w:proofErr w:type="spellEnd"/>
          <w:r w:rsidR="00E8398C">
            <w:rPr>
              <w:b/>
            </w:rPr>
            <w:t>/</w:t>
          </w:r>
          <w:proofErr w:type="spellStart"/>
          <w:r w:rsidR="00E8398C">
            <w:rPr>
              <w:b/>
            </w:rPr>
            <w:t>WP.5</w:t>
          </w:r>
          <w:proofErr w:type="spellEnd"/>
          <w:r w:rsidR="00E8398C">
            <w:rPr>
              <w:b/>
            </w:rPr>
            <w:t>/2015/3</w:t>
          </w:r>
          <w:r>
            <w:rPr>
              <w:b/>
            </w:rPr>
            <w:fldChar w:fldCharType="end"/>
          </w:r>
        </w:p>
      </w:tc>
    </w:tr>
  </w:tbl>
  <w:p w:rsidR="00164D63" w:rsidRPr="00164D63" w:rsidRDefault="00164D63" w:rsidP="00164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64D63" w:rsidTr="00164D6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64D63" w:rsidRPr="00164D63" w:rsidRDefault="00164D63" w:rsidP="00164D6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4D63" w:rsidRDefault="00164D63" w:rsidP="00164D6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64D63" w:rsidRPr="00164D63" w:rsidRDefault="00164D63" w:rsidP="00164D6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</w:t>
          </w:r>
          <w:proofErr w:type="spellStart"/>
          <w:r>
            <w:rPr>
              <w:sz w:val="20"/>
            </w:rPr>
            <w:t>TRANS</w:t>
          </w:r>
          <w:proofErr w:type="spellEnd"/>
          <w:r>
            <w:rPr>
              <w:sz w:val="20"/>
            </w:rPr>
            <w:t>/</w:t>
          </w:r>
          <w:proofErr w:type="spellStart"/>
          <w:r>
            <w:rPr>
              <w:sz w:val="20"/>
            </w:rPr>
            <w:t>WP.5</w:t>
          </w:r>
          <w:proofErr w:type="spellEnd"/>
          <w:r>
            <w:rPr>
              <w:sz w:val="20"/>
            </w:rPr>
            <w:t>/2015/3</w:t>
          </w:r>
        </w:p>
      </w:tc>
    </w:tr>
    <w:tr w:rsidR="00164D63" w:rsidRPr="006A1B9F" w:rsidTr="00164D6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4D63" w:rsidRPr="00164D63" w:rsidRDefault="00164D63" w:rsidP="00164D6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AE66C5C" wp14:editId="64D7C91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4D63" w:rsidRPr="00164D63" w:rsidRDefault="00164D63" w:rsidP="00164D6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4D63" w:rsidRPr="00164D63" w:rsidRDefault="00164D63" w:rsidP="00164D6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4D63" w:rsidRPr="006A1B9F" w:rsidRDefault="00164D63" w:rsidP="00164D63">
          <w:pPr>
            <w:pStyle w:val="Distribution"/>
            <w:rPr>
              <w:color w:val="000000"/>
              <w:lang w:val="en-US"/>
            </w:rPr>
          </w:pPr>
          <w:r w:rsidRPr="006A1B9F">
            <w:rPr>
              <w:color w:val="000000"/>
              <w:lang w:val="en-US"/>
            </w:rPr>
            <w:t>Distr.: General</w:t>
          </w:r>
        </w:p>
        <w:p w:rsidR="00164D63" w:rsidRPr="006A1B9F" w:rsidRDefault="00164D63" w:rsidP="00164D63">
          <w:pPr>
            <w:pStyle w:val="Publication"/>
            <w:rPr>
              <w:color w:val="000000"/>
              <w:lang w:val="en-US"/>
            </w:rPr>
          </w:pPr>
          <w:r w:rsidRPr="006A1B9F">
            <w:rPr>
              <w:color w:val="000000"/>
              <w:lang w:val="en-US"/>
            </w:rPr>
            <w:t>29 June 2015</w:t>
          </w:r>
        </w:p>
        <w:p w:rsidR="00164D63" w:rsidRPr="006A1B9F" w:rsidRDefault="00164D63" w:rsidP="00164D63">
          <w:pPr>
            <w:rPr>
              <w:color w:val="000000"/>
              <w:lang w:val="en-US"/>
            </w:rPr>
          </w:pPr>
          <w:r w:rsidRPr="006A1B9F">
            <w:rPr>
              <w:color w:val="000000"/>
              <w:lang w:val="en-US"/>
            </w:rPr>
            <w:t>Russian</w:t>
          </w:r>
        </w:p>
        <w:p w:rsidR="00164D63" w:rsidRPr="006A1B9F" w:rsidRDefault="00164D63" w:rsidP="00164D63">
          <w:pPr>
            <w:pStyle w:val="Original"/>
            <w:rPr>
              <w:color w:val="000000"/>
              <w:lang w:val="en-US"/>
            </w:rPr>
          </w:pPr>
          <w:r w:rsidRPr="006A1B9F">
            <w:rPr>
              <w:color w:val="000000"/>
              <w:lang w:val="en-US"/>
            </w:rPr>
            <w:t>Original: English</w:t>
          </w:r>
        </w:p>
        <w:p w:rsidR="00164D63" w:rsidRPr="006A1B9F" w:rsidRDefault="00164D63" w:rsidP="00164D63">
          <w:pPr>
            <w:rPr>
              <w:lang w:val="en-US"/>
            </w:rPr>
          </w:pPr>
        </w:p>
      </w:tc>
    </w:tr>
  </w:tbl>
  <w:p w:rsidR="00164D63" w:rsidRPr="006A1B9F" w:rsidRDefault="00164D63" w:rsidP="00164D6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67*"/>
    <w:docVar w:name="CreationDt" w:val="7/9/2015 9:15: AM"/>
    <w:docVar w:name="DocCategory" w:val="Doc"/>
    <w:docVar w:name="DocType" w:val="Final"/>
    <w:docVar w:name="DutyStation" w:val="Geneva"/>
    <w:docVar w:name="FooterJN" w:val="GE. 15-10767"/>
    <w:docVar w:name="jobn" w:val="GE. 15-10767 (R)"/>
    <w:docVar w:name="jobnDT" w:val="GE. 15-10767 (R)   090715"/>
    <w:docVar w:name="jobnDTDT" w:val="GE. 15-10767 (R)   090715   090715"/>
    <w:docVar w:name="JobNo" w:val="GE. 1510767R"/>
    <w:docVar w:name="JobNo2" w:val="1513763R"/>
    <w:docVar w:name="LocalDrive" w:val="0"/>
    <w:docVar w:name="OandT" w:val=" "/>
    <w:docVar w:name="PaperSize" w:val="A4"/>
    <w:docVar w:name="sss1" w:val="ECE/TRANS/WP.5/2015/3"/>
    <w:docVar w:name="sss2" w:val="-"/>
    <w:docVar w:name="Symbol1" w:val="ECE/TRANS/WP.5/2015/3"/>
    <w:docVar w:name="Symbol2" w:val="-"/>
  </w:docVars>
  <w:rsids>
    <w:rsidRoot w:val="001D293F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54FD9"/>
    <w:rsid w:val="00160648"/>
    <w:rsid w:val="00161F29"/>
    <w:rsid w:val="00162E88"/>
    <w:rsid w:val="00164D63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293F"/>
    <w:rsid w:val="001E077C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B0FDF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5FE2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5E9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23FD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3B06"/>
    <w:rsid w:val="0069689E"/>
    <w:rsid w:val="006A1698"/>
    <w:rsid w:val="006A1B9F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48C6"/>
    <w:rsid w:val="00785F8F"/>
    <w:rsid w:val="00787B44"/>
    <w:rsid w:val="00791ECB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5AA7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152E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57E5E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5A0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595A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398C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E7B7B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16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D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D6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D6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R">
    <w:name w:val="_Bullet 1_GR"/>
    <w:basedOn w:val="Normal"/>
    <w:qFormat/>
    <w:rsid w:val="00791ECB"/>
    <w:pPr>
      <w:numPr>
        <w:numId w:val="10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16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D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D6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D6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R">
    <w:name w:val="_Bullet 1_GR"/>
    <w:basedOn w:val="Normal"/>
    <w:qFormat/>
    <w:rsid w:val="00791ECB"/>
    <w:pPr>
      <w:numPr>
        <w:numId w:val="10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71E7-B982-4EAF-B45F-D436EF3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Maria Mostovets</cp:lastModifiedBy>
  <cp:revision>2</cp:revision>
  <cp:lastPrinted>2015-07-09T08:56:00Z</cp:lastPrinted>
  <dcterms:created xsi:type="dcterms:W3CDTF">2015-08-14T13:42:00Z</dcterms:created>
  <dcterms:modified xsi:type="dcterms:W3CDTF">2015-08-14T13:42:00Z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1510767R</vt:lpwstr>
  </property>
  <property fmtid="{D5CDD505-2E9C-101B-9397-08002B2CF9AE}" pid="3" name="ODSRefJobNo">
    <vt:lpwstr>1513763R</vt:lpwstr>
  </property>
  <property fmtid="{D5CDD505-2E9C-101B-9397-08002B2CF9AE}" pid="4" name="Symbol1">
    <vt:lpwstr>ECE/TRANS/WP.5/2015/3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June 2015</vt:lpwstr>
  </property>
  <property fmtid="{D5CDD505-2E9C-101B-9397-08002B2CF9AE}" pid="12" name="Original">
    <vt:lpwstr>English</vt:lpwstr>
  </property>
  <property fmtid="{D5CDD505-2E9C-101B-9397-08002B2CF9AE}" pid="13" name="Release Date">
    <vt:lpwstr>090715</vt:lpwstr>
  </property>
</Properties>
</file>