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5A2" w:rsidRPr="00EE45C1" w:rsidRDefault="000C15A2" w:rsidP="000C15A2">
      <w:pPr>
        <w:spacing w:line="240" w:lineRule="auto"/>
        <w:rPr>
          <w:sz w:val="2"/>
          <w:lang w:val="fr-CH"/>
        </w:rPr>
        <w:sectPr w:rsidR="000C15A2" w:rsidRPr="00EE45C1" w:rsidSect="000C15A2">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sidRPr="00EE45C1">
        <w:rPr>
          <w:rStyle w:val="CommentReference"/>
          <w:lang w:val="fr-CH"/>
        </w:rPr>
        <w:commentReference w:id="0"/>
      </w:r>
      <w:bookmarkStart w:id="1" w:name="_GoBack"/>
      <w:bookmarkEnd w:id="1"/>
    </w:p>
    <w:p w:rsidR="000C15A2" w:rsidRPr="00EE45C1" w:rsidRDefault="000C15A2" w:rsidP="00EE45C1">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EE45C1">
        <w:rPr>
          <w:lang w:val="fr-CH"/>
        </w:rPr>
        <w:lastRenderedPageBreak/>
        <w:t>Commission économique pour l</w:t>
      </w:r>
      <w:r w:rsidR="00EE45C1">
        <w:rPr>
          <w:lang w:val="fr-CH"/>
        </w:rPr>
        <w:t>’</w:t>
      </w:r>
      <w:r w:rsidRPr="00EE45C1">
        <w:rPr>
          <w:lang w:val="fr-CH"/>
        </w:rPr>
        <w:t>Europe</w:t>
      </w:r>
    </w:p>
    <w:p w:rsidR="00EE45C1" w:rsidRPr="00EE45C1" w:rsidRDefault="00EE45C1" w:rsidP="00EE45C1">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CH"/>
        </w:rPr>
      </w:pPr>
    </w:p>
    <w:p w:rsidR="000C15A2" w:rsidRPr="00EE45C1" w:rsidRDefault="000C15A2" w:rsidP="00EE45C1">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bCs/>
          <w:lang w:val="fr-CH"/>
        </w:rPr>
      </w:pPr>
      <w:r w:rsidRPr="00EE45C1">
        <w:rPr>
          <w:b w:val="0"/>
          <w:bCs/>
          <w:lang w:val="fr-CH"/>
        </w:rPr>
        <w:t>Comité des transports intérieurs</w:t>
      </w:r>
    </w:p>
    <w:p w:rsidR="000C15A2" w:rsidRPr="00EE45C1" w:rsidRDefault="000C15A2" w:rsidP="00EE45C1">
      <w:pPr>
        <w:pStyle w:val="H1"/>
        <w:spacing w:line="120" w:lineRule="exact"/>
        <w:rPr>
          <w:b w:val="0"/>
          <w:sz w:val="10"/>
          <w:lang w:val="fr-CH"/>
        </w:rPr>
      </w:pPr>
    </w:p>
    <w:p w:rsidR="00EE45C1" w:rsidRPr="00EE45C1" w:rsidRDefault="00EE45C1" w:rsidP="00EE45C1">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EE45C1">
        <w:rPr>
          <w:lang w:val="fr-CH"/>
        </w:rPr>
        <w:t>Forum mondial de l</w:t>
      </w:r>
      <w:r>
        <w:rPr>
          <w:lang w:val="fr-CH"/>
        </w:rPr>
        <w:t>’</w:t>
      </w:r>
      <w:r w:rsidRPr="00EE45C1">
        <w:rPr>
          <w:lang w:val="fr-CH"/>
        </w:rPr>
        <w:t xml:space="preserve">harmonisation </w:t>
      </w:r>
      <w:r w:rsidRPr="00EE45C1">
        <w:rPr>
          <w:lang w:val="fr-CH"/>
        </w:rPr>
        <w:br/>
        <w:t>des Règlements concernant les véhicules</w:t>
      </w:r>
    </w:p>
    <w:p w:rsidR="00EE45C1" w:rsidRPr="00EE45C1" w:rsidRDefault="00EE45C1" w:rsidP="00EE45C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CH"/>
        </w:rPr>
      </w:pPr>
    </w:p>
    <w:p w:rsidR="00EE45C1" w:rsidRPr="00EE45C1" w:rsidRDefault="00EE45C1" w:rsidP="00EE45C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EE45C1">
        <w:rPr>
          <w:lang w:val="fr-CH"/>
        </w:rPr>
        <w:t>Groupe de travail de la sécurité passive</w:t>
      </w:r>
    </w:p>
    <w:p w:rsidR="00EE45C1" w:rsidRPr="00EE45C1" w:rsidRDefault="00EE45C1" w:rsidP="00EE45C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CH"/>
        </w:rPr>
      </w:pPr>
    </w:p>
    <w:p w:rsidR="00EE45C1" w:rsidRPr="00EE45C1" w:rsidRDefault="00EE45C1" w:rsidP="00EE45C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EE45C1">
        <w:rPr>
          <w:lang w:val="fr-CH"/>
        </w:rPr>
        <w:t>Cinquante-huitième session</w:t>
      </w:r>
    </w:p>
    <w:p w:rsidR="00EE45C1" w:rsidRPr="00EE45C1" w:rsidRDefault="00EE45C1" w:rsidP="00EE45C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Cs/>
          <w:lang w:val="fr-CH"/>
        </w:rPr>
      </w:pPr>
      <w:r w:rsidRPr="00EE45C1">
        <w:rPr>
          <w:lang w:val="fr-CH"/>
        </w:rPr>
        <w:t>Genève, 8-11 décembre 2015</w:t>
      </w:r>
    </w:p>
    <w:p w:rsidR="00EE45C1" w:rsidRPr="00EE45C1" w:rsidRDefault="00EE45C1" w:rsidP="00EE45C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Cs/>
          <w:lang w:val="fr-CH"/>
        </w:rPr>
      </w:pPr>
      <w:r w:rsidRPr="00EE45C1">
        <w:rPr>
          <w:lang w:val="fr-CH"/>
        </w:rPr>
        <w:t>Point 12 de l</w:t>
      </w:r>
      <w:r>
        <w:rPr>
          <w:lang w:val="fr-CH"/>
        </w:rPr>
        <w:t>’</w:t>
      </w:r>
      <w:r w:rsidRPr="00EE45C1">
        <w:rPr>
          <w:lang w:val="fr-CH"/>
        </w:rPr>
        <w:t>ordre du jour provisoire</w:t>
      </w:r>
    </w:p>
    <w:p w:rsidR="00EE45C1" w:rsidRPr="00EE45C1" w:rsidRDefault="00EE45C1" w:rsidP="00EE45C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EE45C1">
        <w:rPr>
          <w:lang w:val="fr-CH"/>
        </w:rPr>
        <w:t>Règlement n</w:t>
      </w:r>
      <w:r w:rsidRPr="00EE45C1">
        <w:rPr>
          <w:vertAlign w:val="superscript"/>
          <w:lang w:val="fr-CH"/>
        </w:rPr>
        <w:t>o</w:t>
      </w:r>
      <w:r w:rsidRPr="00EE45C1">
        <w:rPr>
          <w:lang w:val="fr-CH"/>
        </w:rPr>
        <w:t> 21 (Aménagement intérieur)</w:t>
      </w:r>
    </w:p>
    <w:p w:rsidR="00EE45C1" w:rsidRPr="00EE45C1" w:rsidRDefault="00EE45C1" w:rsidP="00EE45C1">
      <w:pPr>
        <w:spacing w:line="120" w:lineRule="exact"/>
        <w:rPr>
          <w:sz w:val="10"/>
          <w:lang w:val="fr-CH"/>
        </w:rPr>
      </w:pPr>
    </w:p>
    <w:p w:rsidR="00EE45C1" w:rsidRPr="00EE45C1" w:rsidRDefault="00EE45C1" w:rsidP="00EE45C1">
      <w:pPr>
        <w:spacing w:line="120" w:lineRule="exact"/>
        <w:rPr>
          <w:sz w:val="10"/>
          <w:lang w:val="fr-CH"/>
        </w:rPr>
      </w:pPr>
    </w:p>
    <w:p w:rsidR="00EE45C1" w:rsidRPr="00EE45C1" w:rsidRDefault="00EE45C1" w:rsidP="00EE45C1">
      <w:pPr>
        <w:spacing w:line="120" w:lineRule="exact"/>
        <w:rPr>
          <w:sz w:val="10"/>
          <w:lang w:val="fr-CH"/>
        </w:rPr>
      </w:pPr>
    </w:p>
    <w:p w:rsidR="00EE45C1" w:rsidRPr="00EE45C1" w:rsidRDefault="00EE45C1" w:rsidP="00EE45C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E45C1">
        <w:rPr>
          <w:lang w:val="fr-CH"/>
        </w:rPr>
        <w:tab/>
      </w:r>
      <w:r w:rsidRPr="00EE45C1">
        <w:rPr>
          <w:lang w:val="fr-CH"/>
        </w:rPr>
        <w:tab/>
        <w:t>Proposition d</w:t>
      </w:r>
      <w:r>
        <w:rPr>
          <w:lang w:val="fr-CH"/>
        </w:rPr>
        <w:t>’</w:t>
      </w:r>
      <w:r w:rsidRPr="00EE45C1">
        <w:rPr>
          <w:lang w:val="fr-CH"/>
        </w:rPr>
        <w:t>amendements au Règlement n</w:t>
      </w:r>
      <w:r w:rsidRPr="00EE45C1">
        <w:rPr>
          <w:vertAlign w:val="superscript"/>
          <w:lang w:val="fr-CH"/>
        </w:rPr>
        <w:t>o</w:t>
      </w:r>
      <w:r w:rsidRPr="00EE45C1">
        <w:t> </w:t>
      </w:r>
      <w:r w:rsidRPr="00EE45C1">
        <w:rPr>
          <w:lang w:val="fr-CH"/>
        </w:rPr>
        <w:t xml:space="preserve">21 </w:t>
      </w:r>
      <w:r>
        <w:rPr>
          <w:lang w:val="fr-CH"/>
        </w:rPr>
        <w:br/>
      </w:r>
      <w:r w:rsidRPr="00EE45C1">
        <w:rPr>
          <w:lang w:val="fr-CH"/>
        </w:rPr>
        <w:t>(Aménagement intérieur)</w:t>
      </w:r>
    </w:p>
    <w:p w:rsidR="00EE45C1" w:rsidRPr="00EE45C1" w:rsidRDefault="00EE45C1" w:rsidP="00EE45C1">
      <w:pPr>
        <w:pStyle w:val="SingleTxt"/>
        <w:spacing w:after="0" w:line="120" w:lineRule="exact"/>
        <w:rPr>
          <w:b/>
          <w:sz w:val="10"/>
          <w:lang w:val="fr-CH"/>
        </w:rPr>
      </w:pPr>
    </w:p>
    <w:p w:rsidR="00EE45C1" w:rsidRPr="00EE45C1" w:rsidRDefault="00EE45C1" w:rsidP="00EE45C1">
      <w:pPr>
        <w:pStyle w:val="SingleTxt"/>
        <w:spacing w:after="0" w:line="120" w:lineRule="exact"/>
        <w:rPr>
          <w:b/>
          <w:sz w:val="10"/>
          <w:lang w:val="fr-CH"/>
        </w:rPr>
      </w:pPr>
    </w:p>
    <w:p w:rsidR="00EE45C1" w:rsidRPr="00EE45C1" w:rsidRDefault="00EE45C1" w:rsidP="00EE45C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Pr="00EE45C1">
        <w:rPr>
          <w:lang w:val="fr-CH"/>
        </w:rPr>
        <w:t>Communication de l</w:t>
      </w:r>
      <w:r>
        <w:rPr>
          <w:lang w:val="fr-CH"/>
        </w:rPr>
        <w:t>’</w:t>
      </w:r>
      <w:r w:rsidRPr="00EE45C1">
        <w:rPr>
          <w:lang w:val="fr-CH"/>
        </w:rPr>
        <w:t>expert des Pays-Bas</w:t>
      </w:r>
      <w:r w:rsidRPr="00EE45C1">
        <w:rPr>
          <w:rStyle w:val="FootnoteReference"/>
          <w:b w:val="0"/>
          <w:bCs/>
          <w:sz w:val="20"/>
          <w:szCs w:val="20"/>
          <w:vertAlign w:val="baseline"/>
        </w:rPr>
        <w:footnoteReference w:customMarkFollows="1" w:id="1"/>
        <w:t>*</w:t>
      </w:r>
    </w:p>
    <w:p w:rsidR="00EE45C1" w:rsidRPr="00EE45C1" w:rsidRDefault="00EE45C1" w:rsidP="00EE45C1">
      <w:pPr>
        <w:pStyle w:val="SingleTxt"/>
        <w:spacing w:after="0" w:line="120" w:lineRule="exact"/>
        <w:rPr>
          <w:sz w:val="10"/>
          <w:lang w:val="fr-CH"/>
        </w:rPr>
      </w:pPr>
    </w:p>
    <w:p w:rsidR="00EE45C1" w:rsidRPr="00EE45C1" w:rsidRDefault="00EE45C1" w:rsidP="00EE45C1">
      <w:pPr>
        <w:pStyle w:val="SingleTxt"/>
        <w:spacing w:after="0" w:line="120" w:lineRule="exact"/>
        <w:rPr>
          <w:sz w:val="10"/>
          <w:lang w:val="fr-CH"/>
        </w:rPr>
      </w:pPr>
    </w:p>
    <w:p w:rsidR="00EE45C1" w:rsidRPr="00EE45C1" w:rsidRDefault="00EE45C1" w:rsidP="00EE45C1">
      <w:pPr>
        <w:pStyle w:val="SingleTxt"/>
        <w:rPr>
          <w:lang w:val="fr-CH"/>
        </w:rPr>
      </w:pPr>
      <w:r>
        <w:rPr>
          <w:lang w:val="fr-CH"/>
        </w:rPr>
        <w:tab/>
      </w:r>
      <w:r w:rsidRPr="00EE45C1">
        <w:rPr>
          <w:lang w:val="fr-CH"/>
        </w:rPr>
        <w:t>Le texte ci-après, établi par l</w:t>
      </w:r>
      <w:r>
        <w:rPr>
          <w:lang w:val="fr-CH"/>
        </w:rPr>
        <w:t>’</w:t>
      </w:r>
      <w:r w:rsidRPr="00EE45C1">
        <w:rPr>
          <w:lang w:val="fr-CH"/>
        </w:rPr>
        <w:t>expert des Pays-Bas, propose de prescrire l</w:t>
      </w:r>
      <w:r>
        <w:rPr>
          <w:lang w:val="fr-CH"/>
        </w:rPr>
        <w:t>’</w:t>
      </w:r>
      <w:r w:rsidRPr="00EE45C1">
        <w:rPr>
          <w:lang w:val="fr-CH"/>
        </w:rPr>
        <w:t xml:space="preserve">essai des parties arrière des sièges (ancrés au véhicule) exclusivement par le biais du Règlement ONU </w:t>
      </w:r>
      <w:r>
        <w:rPr>
          <w:lang w:val="fr-CH"/>
        </w:rPr>
        <w:t>n</w:t>
      </w:r>
      <w:r w:rsidRPr="00EE45C1">
        <w:rPr>
          <w:vertAlign w:val="superscript"/>
          <w:lang w:val="fr-CH"/>
        </w:rPr>
        <w:t>o</w:t>
      </w:r>
      <w:r w:rsidRPr="00EE45C1">
        <w:t> </w:t>
      </w:r>
      <w:r w:rsidRPr="00EE45C1">
        <w:rPr>
          <w:lang w:val="fr-CH"/>
        </w:rPr>
        <w:t>17 (Résistance des sièges), et d</w:t>
      </w:r>
      <w:r>
        <w:rPr>
          <w:lang w:val="fr-CH"/>
        </w:rPr>
        <w:t>’</w:t>
      </w:r>
      <w:r w:rsidRPr="00EE45C1">
        <w:rPr>
          <w:lang w:val="fr-CH"/>
        </w:rPr>
        <w:t>exclure la voie alternative de l</w:t>
      </w:r>
      <w:r>
        <w:rPr>
          <w:lang w:val="fr-CH"/>
        </w:rPr>
        <w:t>’</w:t>
      </w:r>
      <w:r w:rsidRPr="00EE45C1">
        <w:rPr>
          <w:lang w:val="fr-CH"/>
        </w:rPr>
        <w:t xml:space="preserve">homologation de type pour les dossiers de sièges par le biais du Règlement ONU </w:t>
      </w:r>
      <w:r>
        <w:rPr>
          <w:lang w:val="fr-CH"/>
        </w:rPr>
        <w:t>n</w:t>
      </w:r>
      <w:r w:rsidRPr="00EE45C1">
        <w:rPr>
          <w:vertAlign w:val="superscript"/>
          <w:lang w:val="fr-CH"/>
        </w:rPr>
        <w:t>o</w:t>
      </w:r>
      <w:r w:rsidRPr="00EE45C1">
        <w:t> </w:t>
      </w:r>
      <w:r w:rsidRPr="00EE45C1">
        <w:rPr>
          <w:lang w:val="fr-CH"/>
        </w:rPr>
        <w:t>21. Cette proposition est liée au projet d</w:t>
      </w:r>
      <w:r>
        <w:rPr>
          <w:lang w:val="fr-CH"/>
        </w:rPr>
        <w:t>’</w:t>
      </w:r>
      <w:r w:rsidRPr="00EE45C1">
        <w:rPr>
          <w:lang w:val="fr-CH"/>
        </w:rPr>
        <w:t xml:space="preserve">amendements au Règlement ONU </w:t>
      </w:r>
      <w:r>
        <w:rPr>
          <w:lang w:val="fr-CH"/>
        </w:rPr>
        <w:t>n</w:t>
      </w:r>
      <w:r w:rsidRPr="00EE45C1">
        <w:rPr>
          <w:vertAlign w:val="superscript"/>
          <w:lang w:val="fr-CH"/>
        </w:rPr>
        <w:t>o</w:t>
      </w:r>
      <w:r w:rsidRPr="00EE45C1">
        <w:t> </w:t>
      </w:r>
      <w:r w:rsidRPr="00EE45C1">
        <w:rPr>
          <w:lang w:val="fr-CH"/>
        </w:rPr>
        <w:t>16 sur la dissipation d</w:t>
      </w:r>
      <w:r>
        <w:rPr>
          <w:lang w:val="fr-CH"/>
        </w:rPr>
        <w:t>’</w:t>
      </w:r>
      <w:r w:rsidRPr="00EE45C1">
        <w:rPr>
          <w:lang w:val="fr-CH"/>
        </w:rPr>
        <w:t>énergie des sièges et aux amendements autorisant un déplacement accru vers l</w:t>
      </w:r>
      <w:r>
        <w:rPr>
          <w:lang w:val="fr-CH"/>
        </w:rPr>
        <w:t>’</w:t>
      </w:r>
      <w:r w:rsidRPr="00EE45C1">
        <w:rPr>
          <w:lang w:val="fr-CH"/>
        </w:rPr>
        <w:t>avant des occupants attachés afin de tenir compte de l</w:t>
      </w:r>
      <w:r>
        <w:rPr>
          <w:lang w:val="fr-CH"/>
        </w:rPr>
        <w:t>’</w:t>
      </w:r>
      <w:r w:rsidRPr="00EE45C1">
        <w:rPr>
          <w:lang w:val="fr-CH"/>
        </w:rPr>
        <w:t>utilisation de nouvelles ceintures de sécurité équipées de limiteurs réglés sur une limite plus basse. Les modifications du texte actuel du Règlement sont indiquées en caractères gras pour le texte nouveau ou en caractères biffés pour le texte supprimé.</w:t>
      </w:r>
    </w:p>
    <w:p w:rsidR="00EE45C1" w:rsidRPr="00EE45C1" w:rsidRDefault="00EE45C1" w:rsidP="00EE45C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E45C1">
        <w:rPr>
          <w:lang w:val="fr-CH"/>
        </w:rPr>
        <w:br w:type="page"/>
      </w:r>
      <w:r>
        <w:rPr>
          <w:lang w:val="fr-CH"/>
        </w:rPr>
        <w:lastRenderedPageBreak/>
        <w:tab/>
        <w:t>I.</w:t>
      </w:r>
      <w:r>
        <w:rPr>
          <w:lang w:val="fr-CH"/>
        </w:rPr>
        <w:tab/>
      </w:r>
      <w:r w:rsidRPr="00EE45C1">
        <w:rPr>
          <w:lang w:val="fr-CH"/>
        </w:rPr>
        <w:t>Proposition</w:t>
      </w:r>
    </w:p>
    <w:p w:rsidR="00EE45C1" w:rsidRPr="00EE45C1" w:rsidRDefault="00EE45C1" w:rsidP="00EE45C1">
      <w:pPr>
        <w:pStyle w:val="SingleTxt"/>
        <w:spacing w:after="0" w:line="120" w:lineRule="exact"/>
        <w:rPr>
          <w:i/>
          <w:iCs/>
          <w:sz w:val="10"/>
          <w:lang w:val="fr-CH"/>
        </w:rPr>
      </w:pPr>
    </w:p>
    <w:p w:rsidR="00EE45C1" w:rsidRPr="00EE45C1" w:rsidRDefault="00EE45C1" w:rsidP="00EE45C1">
      <w:pPr>
        <w:pStyle w:val="SingleTxt"/>
        <w:spacing w:after="0" w:line="120" w:lineRule="exact"/>
        <w:rPr>
          <w:i/>
          <w:iCs/>
          <w:sz w:val="10"/>
          <w:lang w:val="fr-CH"/>
        </w:rPr>
      </w:pPr>
    </w:p>
    <w:p w:rsidR="00EE45C1" w:rsidRPr="00EE45C1" w:rsidRDefault="00EE45C1" w:rsidP="00EE45C1">
      <w:pPr>
        <w:pStyle w:val="SingleTxt"/>
        <w:rPr>
          <w:i/>
          <w:iCs/>
          <w:lang w:val="fr-CH"/>
        </w:rPr>
      </w:pPr>
      <w:r w:rsidRPr="00EE45C1">
        <w:rPr>
          <w:i/>
          <w:iCs/>
          <w:lang w:val="fr-CH"/>
        </w:rPr>
        <w:t>Paragraphe 1.1</w:t>
      </w:r>
      <w:r w:rsidRPr="00EE45C1">
        <w:rPr>
          <w:lang w:val="fr-CH"/>
        </w:rPr>
        <w:t>,</w:t>
      </w:r>
      <w:r w:rsidRPr="00EE45C1">
        <w:rPr>
          <w:i/>
          <w:iCs/>
          <w:lang w:val="fr-CH"/>
        </w:rPr>
        <w:t xml:space="preserve"> </w:t>
      </w:r>
      <w:r w:rsidRPr="00EE45C1">
        <w:rPr>
          <w:iCs/>
          <w:lang w:val="fr-CH"/>
        </w:rPr>
        <w:t>lire</w:t>
      </w:r>
      <w:r>
        <w:rPr>
          <w:lang w:val="fr-CH"/>
        </w:rPr>
        <w:t> :</w:t>
      </w:r>
    </w:p>
    <w:p w:rsidR="00EE45C1" w:rsidRPr="00EE45C1" w:rsidRDefault="00EE45C1" w:rsidP="00EE45C1">
      <w:pPr>
        <w:pStyle w:val="SingleTxt"/>
        <w:rPr>
          <w:b/>
          <w:bCs/>
          <w:lang w:val="fr-CH"/>
        </w:rPr>
      </w:pPr>
      <w:r w:rsidRPr="00EE45C1">
        <w:rPr>
          <w:bCs/>
          <w:lang w:val="fr-CH"/>
        </w:rPr>
        <w:t>« 1.1</w:t>
      </w:r>
      <w:r w:rsidRPr="00EE45C1">
        <w:rPr>
          <w:bCs/>
          <w:lang w:val="fr-CH"/>
        </w:rPr>
        <w:tab/>
      </w:r>
      <w:r>
        <w:rPr>
          <w:bCs/>
          <w:lang w:val="fr-CH"/>
        </w:rPr>
        <w:tab/>
      </w:r>
      <w:r w:rsidRPr="00EE45C1">
        <w:rPr>
          <w:lang w:val="fr-CH"/>
        </w:rPr>
        <w:t>Les parties intérieures de l</w:t>
      </w:r>
      <w:r>
        <w:rPr>
          <w:lang w:val="fr-CH"/>
        </w:rPr>
        <w:t>’</w:t>
      </w:r>
      <w:r w:rsidRPr="00EE45C1">
        <w:rPr>
          <w:lang w:val="fr-CH"/>
        </w:rPr>
        <w:t>habitacle autres que</w:t>
      </w:r>
      <w:r>
        <w:rPr>
          <w:lang w:val="fr-CH"/>
        </w:rPr>
        <w:t> </w:t>
      </w:r>
      <w:r w:rsidRPr="00EE45C1">
        <w:rPr>
          <w:b/>
          <w:bCs/>
          <w:lang w:val="fr-CH"/>
        </w:rPr>
        <w:t>:</w:t>
      </w:r>
    </w:p>
    <w:p w:rsidR="00EE45C1" w:rsidRPr="00EE45C1" w:rsidRDefault="00EE45C1" w:rsidP="00EE45C1">
      <w:pPr>
        <w:pStyle w:val="SingleTxt"/>
        <w:rPr>
          <w:bCs/>
          <w:lang w:val="fr-CH"/>
        </w:rPr>
      </w:pPr>
      <w:r>
        <w:rPr>
          <w:b/>
          <w:bCs/>
          <w:lang w:val="fr-CH"/>
        </w:rPr>
        <w:tab/>
      </w:r>
      <w:r>
        <w:rPr>
          <w:b/>
          <w:bCs/>
          <w:lang w:val="fr-CH"/>
        </w:rPr>
        <w:tab/>
      </w:r>
      <w:r w:rsidRPr="00EE45C1">
        <w:rPr>
          <w:b/>
          <w:bCs/>
          <w:lang w:val="fr-CH"/>
        </w:rPr>
        <w:t>a)</w:t>
      </w:r>
      <w:r w:rsidRPr="00EE45C1">
        <w:rPr>
          <w:bCs/>
          <w:lang w:val="fr-CH"/>
        </w:rPr>
        <w:tab/>
      </w:r>
      <w:r>
        <w:rPr>
          <w:bCs/>
          <w:lang w:val="fr-CH"/>
        </w:rPr>
        <w:t>L</w:t>
      </w:r>
      <w:r w:rsidRPr="00EE45C1">
        <w:rPr>
          <w:lang w:val="fr-CH"/>
        </w:rPr>
        <w:t>e ou les rétroviseurs intérieurs</w:t>
      </w:r>
      <w:r>
        <w:rPr>
          <w:bCs/>
          <w:lang w:val="fr-CH"/>
        </w:rPr>
        <w:t>;</w:t>
      </w:r>
    </w:p>
    <w:p w:rsidR="00EE45C1" w:rsidRPr="00EE45C1" w:rsidRDefault="00EE45C1" w:rsidP="00EE45C1">
      <w:pPr>
        <w:pStyle w:val="SingleTxt"/>
        <w:ind w:left="2693" w:hanging="1426"/>
        <w:rPr>
          <w:b/>
          <w:bCs/>
          <w:lang w:val="fr-CH"/>
        </w:rPr>
      </w:pPr>
      <w:r>
        <w:rPr>
          <w:b/>
          <w:bCs/>
          <w:lang w:val="fr-CH"/>
        </w:rPr>
        <w:tab/>
      </w:r>
      <w:r>
        <w:rPr>
          <w:b/>
          <w:bCs/>
          <w:lang w:val="fr-CH"/>
        </w:rPr>
        <w:tab/>
      </w:r>
      <w:proofErr w:type="gramStart"/>
      <w:r w:rsidRPr="00EE45C1">
        <w:rPr>
          <w:b/>
          <w:bCs/>
          <w:lang w:val="fr-CH"/>
        </w:rPr>
        <w:t>b</w:t>
      </w:r>
      <w:proofErr w:type="gramEnd"/>
      <w:r w:rsidRPr="00EE45C1">
        <w:rPr>
          <w:b/>
          <w:bCs/>
          <w:lang w:val="fr-CH"/>
        </w:rPr>
        <w:t>)</w:t>
      </w:r>
      <w:r w:rsidRPr="00EE45C1">
        <w:rPr>
          <w:b/>
          <w:bCs/>
          <w:lang w:val="fr-CH"/>
        </w:rPr>
        <w:tab/>
        <w:t>Le dossier de siège et son appuie tête y compris les pièces montées sur ceux-ci;</w:t>
      </w:r>
      <w:r w:rsidRPr="00EE45C1">
        <w:rPr>
          <w:lang w:val="fr-CH"/>
        </w:rPr>
        <w:t> »</w:t>
      </w:r>
      <w:r>
        <w:rPr>
          <w:lang w:val="fr-CH"/>
        </w:rPr>
        <w:t>.</w:t>
      </w:r>
    </w:p>
    <w:p w:rsidR="00EE45C1" w:rsidRPr="00EE45C1" w:rsidRDefault="00EE45C1" w:rsidP="00EE45C1">
      <w:pPr>
        <w:pStyle w:val="SingleTxt"/>
        <w:rPr>
          <w:iCs/>
          <w:lang w:val="fr-CH"/>
        </w:rPr>
      </w:pPr>
      <w:r w:rsidRPr="00EE45C1">
        <w:rPr>
          <w:i/>
          <w:iCs/>
          <w:lang w:val="fr-CH"/>
        </w:rPr>
        <w:t>Paragraphe 1.4</w:t>
      </w:r>
      <w:r w:rsidRPr="00EE45C1">
        <w:rPr>
          <w:iCs/>
          <w:lang w:val="fr-CH"/>
        </w:rPr>
        <w:t>,</w:t>
      </w:r>
      <w:r w:rsidRPr="00EE45C1">
        <w:rPr>
          <w:i/>
          <w:iCs/>
          <w:lang w:val="fr-CH"/>
        </w:rPr>
        <w:t xml:space="preserve"> </w:t>
      </w:r>
      <w:proofErr w:type="gramStart"/>
      <w:r w:rsidRPr="00EE45C1">
        <w:rPr>
          <w:iCs/>
          <w:lang w:val="fr-CH"/>
        </w:rPr>
        <w:t>supprimer</w:t>
      </w:r>
      <w:proofErr w:type="gramEnd"/>
      <w:r>
        <w:rPr>
          <w:iCs/>
          <w:lang w:val="fr-CH"/>
        </w:rPr>
        <w:t>.</w:t>
      </w:r>
    </w:p>
    <w:p w:rsidR="00EE45C1" w:rsidRPr="00EE45C1" w:rsidRDefault="00EE45C1" w:rsidP="00EE45C1">
      <w:pPr>
        <w:pStyle w:val="SingleTxt"/>
        <w:rPr>
          <w:iCs/>
          <w:lang w:val="fr-CH"/>
        </w:rPr>
      </w:pPr>
      <w:r w:rsidRPr="00EE45C1">
        <w:rPr>
          <w:i/>
          <w:iCs/>
          <w:lang w:val="fr-CH"/>
        </w:rPr>
        <w:t>Paragraphe 1.5</w:t>
      </w:r>
      <w:r w:rsidRPr="00EE45C1">
        <w:rPr>
          <w:lang w:val="fr-CH"/>
        </w:rPr>
        <w:t>,</w:t>
      </w:r>
      <w:r w:rsidRPr="00EE45C1">
        <w:rPr>
          <w:iCs/>
          <w:lang w:val="fr-CH"/>
        </w:rPr>
        <w:t xml:space="preserve"> renuméroter 1.4.</w:t>
      </w:r>
    </w:p>
    <w:p w:rsidR="00EE45C1" w:rsidRPr="00EE45C1" w:rsidRDefault="00EE45C1" w:rsidP="00EE45C1">
      <w:pPr>
        <w:pStyle w:val="SingleTxt"/>
        <w:rPr>
          <w:iCs/>
          <w:lang w:val="fr-CH"/>
        </w:rPr>
      </w:pPr>
      <w:bookmarkStart w:id="2" w:name="+ÿ!R21CONSV2ßßßßßßßr524"/>
      <w:bookmarkStart w:id="3" w:name="r524"/>
      <w:bookmarkEnd w:id="2"/>
      <w:r w:rsidRPr="00EE45C1">
        <w:rPr>
          <w:i/>
          <w:iCs/>
          <w:lang w:val="fr-CH"/>
        </w:rPr>
        <w:t>Paragraphe 5.2.4</w:t>
      </w:r>
      <w:r w:rsidRPr="00EE45C1">
        <w:rPr>
          <w:lang w:val="fr-CH"/>
        </w:rPr>
        <w:t>,</w:t>
      </w:r>
      <w:r w:rsidRPr="00EE45C1">
        <w:rPr>
          <w:i/>
          <w:iCs/>
          <w:lang w:val="fr-CH"/>
        </w:rPr>
        <w:t xml:space="preserve"> </w:t>
      </w:r>
      <w:r w:rsidRPr="00EE45C1">
        <w:rPr>
          <w:iCs/>
          <w:lang w:val="fr-CH"/>
        </w:rPr>
        <w:t>lire</w:t>
      </w:r>
      <w:r>
        <w:rPr>
          <w:iCs/>
          <w:lang w:val="fr-CH"/>
        </w:rPr>
        <w:t> :</w:t>
      </w:r>
    </w:p>
    <w:p w:rsidR="00EE45C1" w:rsidRPr="00EE45C1" w:rsidRDefault="00EE45C1" w:rsidP="00EE45C1">
      <w:pPr>
        <w:pStyle w:val="SingleTxt"/>
        <w:ind w:left="2218" w:hanging="951"/>
        <w:rPr>
          <w:bCs/>
          <w:lang w:val="fr-CH"/>
        </w:rPr>
      </w:pPr>
      <w:r w:rsidRPr="00EE45C1">
        <w:rPr>
          <w:bCs/>
          <w:lang w:val="fr-CH"/>
        </w:rPr>
        <w:t>« 5.2.4</w:t>
      </w:r>
      <w:r w:rsidRPr="00EE45C1">
        <w:rPr>
          <w:bCs/>
          <w:lang w:val="fr-CH"/>
        </w:rPr>
        <w:tab/>
        <w:t xml:space="preserve">Lorsque les éléments considérés ci-dessus comprennent une partie en </w:t>
      </w:r>
      <w:r w:rsidRPr="00EE45C1">
        <w:rPr>
          <w:lang w:val="fr-CH"/>
        </w:rPr>
        <w:t>mat</w:t>
      </w:r>
      <w:r>
        <w:rPr>
          <w:lang w:val="fr-CH"/>
        </w:rPr>
        <w:t>ériau de dureté inférieure à 50 Shore </w:t>
      </w:r>
      <w:r w:rsidRPr="00EE45C1">
        <w:rPr>
          <w:lang w:val="fr-CH"/>
        </w:rPr>
        <w:t xml:space="preserve">A sur un support rigide, les prescriptions </w:t>
      </w:r>
      <w:r w:rsidRPr="00EE45C1">
        <w:rPr>
          <w:bCs/>
          <w:lang w:val="fr-CH"/>
        </w:rPr>
        <w:t xml:space="preserve">ci-dessus, sauf celles relatives à </w:t>
      </w:r>
      <w:r w:rsidRPr="00EE45C1">
        <w:rPr>
          <w:bCs/>
          <w:strike/>
          <w:lang w:val="fr-CH"/>
        </w:rPr>
        <w:t>l’absorption d’énergie</w:t>
      </w:r>
      <w:r>
        <w:rPr>
          <w:bCs/>
          <w:lang w:val="fr-CH"/>
        </w:rPr>
        <w:t xml:space="preserve"> </w:t>
      </w:r>
      <w:r w:rsidRPr="00EE45C1">
        <w:rPr>
          <w:b/>
          <w:bCs/>
          <w:lang w:val="fr-CH"/>
        </w:rPr>
        <w:t>la dissipation d</w:t>
      </w:r>
      <w:r>
        <w:rPr>
          <w:b/>
          <w:bCs/>
          <w:lang w:val="fr-CH"/>
        </w:rPr>
        <w:t>’</w:t>
      </w:r>
      <w:r w:rsidRPr="00EE45C1">
        <w:rPr>
          <w:b/>
          <w:bCs/>
          <w:lang w:val="fr-CH"/>
        </w:rPr>
        <w:t>énergie</w:t>
      </w:r>
      <w:r w:rsidRPr="00EE45C1">
        <w:rPr>
          <w:bCs/>
          <w:lang w:val="fr-CH"/>
        </w:rPr>
        <w:t xml:space="preserve"> au sens de l</w:t>
      </w:r>
      <w:r>
        <w:rPr>
          <w:bCs/>
          <w:lang w:val="fr-CH"/>
        </w:rPr>
        <w:t>’</w:t>
      </w:r>
      <w:r w:rsidRPr="00EE45C1">
        <w:rPr>
          <w:bCs/>
          <w:lang w:val="fr-CH"/>
        </w:rPr>
        <w:t>annexe</w:t>
      </w:r>
      <w:r>
        <w:rPr>
          <w:bCs/>
          <w:lang w:val="fr-CH"/>
        </w:rPr>
        <w:t> </w:t>
      </w:r>
      <w:r w:rsidRPr="00EE45C1">
        <w:rPr>
          <w:bCs/>
          <w:lang w:val="fr-CH"/>
        </w:rPr>
        <w:t xml:space="preserve">4, </w:t>
      </w:r>
      <w:r w:rsidRPr="00EE45C1">
        <w:rPr>
          <w:lang w:val="fr-CH"/>
        </w:rPr>
        <w:t>ne s</w:t>
      </w:r>
      <w:r>
        <w:rPr>
          <w:lang w:val="fr-CH"/>
        </w:rPr>
        <w:t>’</w:t>
      </w:r>
      <w:r w:rsidRPr="00EE45C1">
        <w:rPr>
          <w:lang w:val="fr-CH"/>
        </w:rPr>
        <w:t>appliquent qu</w:t>
      </w:r>
      <w:r>
        <w:rPr>
          <w:lang w:val="fr-CH"/>
        </w:rPr>
        <w:t>’</w:t>
      </w:r>
      <w:r w:rsidRPr="00EE45C1">
        <w:rPr>
          <w:lang w:val="fr-CH"/>
        </w:rPr>
        <w:t>au support rigide ou s</w:t>
      </w:r>
      <w:r>
        <w:rPr>
          <w:lang w:val="fr-CH"/>
        </w:rPr>
        <w:t>’</w:t>
      </w:r>
      <w:r w:rsidRPr="00EE45C1">
        <w:rPr>
          <w:lang w:val="fr-CH"/>
        </w:rPr>
        <w:t>il peut être démontré, par des essais</w:t>
      </w:r>
      <w:r w:rsidRPr="00EE45C1">
        <w:rPr>
          <w:bCs/>
          <w:lang w:val="fr-CH"/>
        </w:rPr>
        <w:t xml:space="preserve"> </w:t>
      </w:r>
      <w:r w:rsidRPr="00EE45C1">
        <w:rPr>
          <w:lang w:val="fr-CH"/>
        </w:rPr>
        <w:t>suffisants réalisés selon la procédure décrite à l</w:t>
      </w:r>
      <w:r>
        <w:rPr>
          <w:lang w:val="fr-CH"/>
        </w:rPr>
        <w:t>’annexe </w:t>
      </w:r>
      <w:r w:rsidRPr="00EE45C1">
        <w:rPr>
          <w:lang w:val="fr-CH"/>
        </w:rPr>
        <w:t>4, que le matériau souple d</w:t>
      </w:r>
      <w:r>
        <w:rPr>
          <w:lang w:val="fr-CH"/>
        </w:rPr>
        <w:t>’</w:t>
      </w:r>
      <w:r w:rsidRPr="00EE45C1">
        <w:rPr>
          <w:lang w:val="fr-CH"/>
        </w:rPr>
        <w:t>u</w:t>
      </w:r>
      <w:r>
        <w:rPr>
          <w:lang w:val="fr-CH"/>
        </w:rPr>
        <w:t>ne dureté inférieure à 50 Shore </w:t>
      </w:r>
      <w:r w:rsidRPr="00EE45C1">
        <w:rPr>
          <w:lang w:val="fr-CH"/>
        </w:rPr>
        <w:t>A ne sera pas cisaillé de manière telle qu</w:t>
      </w:r>
      <w:r>
        <w:rPr>
          <w:lang w:val="fr-CH"/>
        </w:rPr>
        <w:t>’</w:t>
      </w:r>
      <w:r w:rsidRPr="00EE45C1">
        <w:rPr>
          <w:lang w:val="fr-CH"/>
        </w:rPr>
        <w:t>il y ait contact avec le support lors de l</w:t>
      </w:r>
      <w:r>
        <w:rPr>
          <w:lang w:val="fr-CH"/>
        </w:rPr>
        <w:t>’</w:t>
      </w:r>
      <w:r w:rsidRPr="00EE45C1">
        <w:rPr>
          <w:lang w:val="fr-CH"/>
        </w:rPr>
        <w:t>essai de choc spécifié. En pareil cas, les prescriptions relatives au rayon de courbure ne s</w:t>
      </w:r>
      <w:r>
        <w:rPr>
          <w:lang w:val="fr-CH"/>
        </w:rPr>
        <w:t>’</w:t>
      </w:r>
      <w:r w:rsidRPr="00EE45C1">
        <w:rPr>
          <w:lang w:val="fr-CH"/>
        </w:rPr>
        <w:t>appliquent pas.</w:t>
      </w:r>
      <w:bookmarkEnd w:id="3"/>
      <w:r w:rsidRPr="00EE45C1">
        <w:rPr>
          <w:bCs/>
          <w:lang w:val="fr-CH"/>
        </w:rPr>
        <w:t> »</w:t>
      </w:r>
      <w:r>
        <w:rPr>
          <w:bCs/>
          <w:lang w:val="fr-CH"/>
        </w:rPr>
        <w:t>.</w:t>
      </w:r>
    </w:p>
    <w:p w:rsidR="00EE45C1" w:rsidRPr="00EE45C1" w:rsidRDefault="00EE45C1" w:rsidP="00EE45C1">
      <w:pPr>
        <w:pStyle w:val="SingleTxt"/>
        <w:rPr>
          <w:lang w:val="fr-CH"/>
        </w:rPr>
      </w:pPr>
      <w:r w:rsidRPr="00EE45C1">
        <w:rPr>
          <w:i/>
          <w:iCs/>
          <w:lang w:val="fr-CH"/>
        </w:rPr>
        <w:t>Paragraphes 5.7 à 5.7.3</w:t>
      </w:r>
      <w:r w:rsidRPr="00EE45C1">
        <w:rPr>
          <w:lang w:val="fr-CH"/>
        </w:rPr>
        <w:t xml:space="preserve">, </w:t>
      </w:r>
      <w:proofErr w:type="gramStart"/>
      <w:r w:rsidRPr="00EE45C1">
        <w:rPr>
          <w:iCs/>
          <w:lang w:val="fr-CH"/>
        </w:rPr>
        <w:t>supprimer</w:t>
      </w:r>
      <w:proofErr w:type="gramEnd"/>
      <w:r>
        <w:rPr>
          <w:iCs/>
          <w:lang w:val="fr-CH"/>
        </w:rPr>
        <w:t>.</w:t>
      </w:r>
    </w:p>
    <w:p w:rsidR="00EE45C1" w:rsidRPr="00EE45C1" w:rsidRDefault="00EE45C1" w:rsidP="00EE45C1">
      <w:pPr>
        <w:pStyle w:val="SingleTxt"/>
        <w:rPr>
          <w:iCs/>
          <w:lang w:val="fr-CH"/>
        </w:rPr>
      </w:pPr>
      <w:r w:rsidRPr="00EE45C1">
        <w:rPr>
          <w:i/>
          <w:iCs/>
          <w:lang w:val="fr-CH"/>
        </w:rPr>
        <w:t>Paragraphes 5.</w:t>
      </w:r>
      <w:r w:rsidRPr="00EE45C1">
        <w:rPr>
          <w:i/>
          <w:lang w:val="fr-CH"/>
        </w:rPr>
        <w:t>8</w:t>
      </w:r>
      <w:r w:rsidRPr="00EE45C1">
        <w:rPr>
          <w:lang w:val="fr-CH"/>
        </w:rPr>
        <w:t xml:space="preserve"> </w:t>
      </w:r>
      <w:r w:rsidRPr="00EE45C1">
        <w:rPr>
          <w:i/>
          <w:iCs/>
          <w:lang w:val="fr-CH"/>
        </w:rPr>
        <w:t>et 5.9</w:t>
      </w:r>
      <w:r w:rsidRPr="00EE45C1">
        <w:rPr>
          <w:lang w:val="fr-CH"/>
        </w:rPr>
        <w:t>,</w:t>
      </w:r>
      <w:r w:rsidRPr="00EE45C1">
        <w:rPr>
          <w:i/>
          <w:iCs/>
          <w:lang w:val="fr-CH"/>
        </w:rPr>
        <w:t xml:space="preserve"> </w:t>
      </w:r>
      <w:r w:rsidRPr="00EE45C1">
        <w:rPr>
          <w:iCs/>
          <w:lang w:val="fr-CH"/>
        </w:rPr>
        <w:t xml:space="preserve">renuméroter </w:t>
      </w:r>
      <w:r>
        <w:rPr>
          <w:iCs/>
          <w:lang w:val="fr-CH"/>
        </w:rPr>
        <w:t>5.7</w:t>
      </w:r>
      <w:r w:rsidRPr="00EE45C1">
        <w:rPr>
          <w:iCs/>
          <w:lang w:val="fr-CH"/>
        </w:rPr>
        <w:t xml:space="preserve"> et</w:t>
      </w:r>
      <w:r>
        <w:rPr>
          <w:iCs/>
          <w:lang w:val="fr-CH"/>
        </w:rPr>
        <w:t xml:space="preserve"> 5.8.</w:t>
      </w:r>
    </w:p>
    <w:p w:rsidR="00EE45C1" w:rsidRPr="00EE45C1" w:rsidRDefault="00EE45C1" w:rsidP="00EE45C1">
      <w:pPr>
        <w:pStyle w:val="SingleTxt"/>
        <w:spacing w:after="0" w:line="120" w:lineRule="exact"/>
        <w:rPr>
          <w:b/>
          <w:bCs/>
          <w:sz w:val="10"/>
          <w:lang w:val="fr-CH"/>
        </w:rPr>
      </w:pPr>
    </w:p>
    <w:p w:rsidR="00EE45C1" w:rsidRPr="00EE45C1" w:rsidRDefault="00EE45C1" w:rsidP="00EE45C1">
      <w:pPr>
        <w:pStyle w:val="SingleTxt"/>
        <w:spacing w:after="0" w:line="120" w:lineRule="exact"/>
        <w:rPr>
          <w:b/>
          <w:bCs/>
          <w:sz w:val="10"/>
          <w:lang w:val="fr-CH"/>
        </w:rPr>
      </w:pPr>
    </w:p>
    <w:p w:rsidR="00EE45C1" w:rsidRPr="00EE45C1" w:rsidRDefault="00EE45C1" w:rsidP="00EE45C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CH"/>
        </w:rPr>
      </w:pPr>
      <w:r w:rsidRPr="00EE45C1">
        <w:rPr>
          <w:bCs/>
          <w:lang w:val="fr-CH"/>
        </w:rPr>
        <w:tab/>
        <w:t>II.</w:t>
      </w:r>
      <w:r w:rsidRPr="00EE45C1">
        <w:rPr>
          <w:bCs/>
          <w:lang w:val="fr-CH"/>
        </w:rPr>
        <w:tab/>
      </w:r>
      <w:r w:rsidRPr="00EE45C1">
        <w:rPr>
          <w:lang w:val="fr-CH"/>
        </w:rPr>
        <w:t>Justification</w:t>
      </w:r>
      <w:r w:rsidRPr="00EE45C1">
        <w:rPr>
          <w:bCs/>
          <w:lang w:val="fr-CH"/>
        </w:rPr>
        <w:t xml:space="preserve"> </w:t>
      </w:r>
    </w:p>
    <w:p w:rsidR="00EE45C1" w:rsidRPr="00EE45C1" w:rsidRDefault="00EE45C1" w:rsidP="00EE45C1">
      <w:pPr>
        <w:pStyle w:val="SingleTxt"/>
        <w:spacing w:after="0" w:line="120" w:lineRule="exact"/>
        <w:rPr>
          <w:sz w:val="10"/>
          <w:lang w:val="fr-CH"/>
        </w:rPr>
      </w:pPr>
    </w:p>
    <w:p w:rsidR="00EE45C1" w:rsidRPr="00EE45C1" w:rsidRDefault="00EE45C1" w:rsidP="00EE45C1">
      <w:pPr>
        <w:pStyle w:val="SingleTxt"/>
        <w:spacing w:after="0" w:line="120" w:lineRule="exact"/>
        <w:rPr>
          <w:sz w:val="10"/>
          <w:lang w:val="fr-CH"/>
        </w:rPr>
      </w:pPr>
    </w:p>
    <w:p w:rsidR="00EE45C1" w:rsidRPr="00EE45C1" w:rsidRDefault="00EE45C1" w:rsidP="00EE45C1">
      <w:pPr>
        <w:pStyle w:val="SingleTxt"/>
        <w:numPr>
          <w:ilvl w:val="0"/>
          <w:numId w:val="6"/>
        </w:numPr>
        <w:tabs>
          <w:tab w:val="clear" w:pos="475"/>
          <w:tab w:val="num" w:pos="1742"/>
        </w:tabs>
        <w:ind w:left="1267"/>
        <w:rPr>
          <w:lang w:val="fr-CH"/>
        </w:rPr>
      </w:pPr>
      <w:r w:rsidRPr="00EE45C1">
        <w:rPr>
          <w:lang w:val="fr-CH"/>
        </w:rPr>
        <w:t>Des recherches récentes en matière de sécurité des véhicules (dans le cadre du programme Euro NCAP) visent à améliorer l</w:t>
      </w:r>
      <w:r>
        <w:rPr>
          <w:lang w:val="fr-CH"/>
        </w:rPr>
        <w:t>’</w:t>
      </w:r>
      <w:r w:rsidRPr="00EE45C1">
        <w:rPr>
          <w:lang w:val="fr-CH"/>
        </w:rPr>
        <w:t>efficacité des systèmes de retenue en équipant les ceintures de sécurité de limiteurs de charge réglés à des valeurs seuils inférieures qui réduisent les effets de compression du thorax, mais au prix d</w:t>
      </w:r>
      <w:r>
        <w:rPr>
          <w:lang w:val="fr-CH"/>
        </w:rPr>
        <w:t>’</w:t>
      </w:r>
      <w:r w:rsidRPr="00EE45C1">
        <w:rPr>
          <w:lang w:val="fr-CH"/>
        </w:rPr>
        <w:t>un déplacement vers l</w:t>
      </w:r>
      <w:r>
        <w:rPr>
          <w:lang w:val="fr-CH"/>
        </w:rPr>
        <w:t>’</w:t>
      </w:r>
      <w:r w:rsidRPr="00EE45C1">
        <w:rPr>
          <w:lang w:val="fr-CH"/>
        </w:rPr>
        <w:t>avant accru des occupants.</w:t>
      </w:r>
    </w:p>
    <w:p w:rsidR="00EE45C1" w:rsidRPr="00EE45C1" w:rsidRDefault="00EE45C1" w:rsidP="00EE45C1">
      <w:pPr>
        <w:pStyle w:val="SingleTxt"/>
        <w:numPr>
          <w:ilvl w:val="0"/>
          <w:numId w:val="6"/>
        </w:numPr>
        <w:tabs>
          <w:tab w:val="clear" w:pos="475"/>
          <w:tab w:val="num" w:pos="1742"/>
        </w:tabs>
        <w:ind w:left="1267"/>
        <w:rPr>
          <w:lang w:val="fr-CH"/>
        </w:rPr>
      </w:pPr>
      <w:r w:rsidRPr="00EE45C1">
        <w:rPr>
          <w:lang w:val="fr-CH"/>
        </w:rPr>
        <w:t>Actuellement, les dispositions du R</w:t>
      </w:r>
      <w:r>
        <w:rPr>
          <w:lang w:val="fr-CH"/>
        </w:rPr>
        <w:t>èglement n</w:t>
      </w:r>
      <w:r w:rsidRPr="00EE45C1">
        <w:rPr>
          <w:vertAlign w:val="superscript"/>
          <w:lang w:val="fr-CH"/>
        </w:rPr>
        <w:t>o</w:t>
      </w:r>
      <w:r>
        <w:rPr>
          <w:lang w:val="fr-CH"/>
        </w:rPr>
        <w:t> </w:t>
      </w:r>
      <w:r w:rsidRPr="00EE45C1">
        <w:rPr>
          <w:lang w:val="fr-CH"/>
        </w:rPr>
        <w:t>1</w:t>
      </w:r>
      <w:r>
        <w:rPr>
          <w:lang w:val="fr-CH"/>
        </w:rPr>
        <w:t>6 des Nations Unies (par. </w:t>
      </w:r>
      <w:r w:rsidRPr="00EE45C1">
        <w:rPr>
          <w:lang w:val="fr-CH"/>
        </w:rPr>
        <w:t>6.4.1.4.1) autorisent seulement un contact du thorax du mannequin en position de conducteur contre l</w:t>
      </w:r>
      <w:r>
        <w:rPr>
          <w:lang w:val="fr-CH"/>
        </w:rPr>
        <w:t>’</w:t>
      </w:r>
      <w:r w:rsidRPr="00EE45C1">
        <w:rPr>
          <w:lang w:val="fr-CH"/>
        </w:rPr>
        <w:t>appareil de direction si ce contact satisfait aux prescriptions d</w:t>
      </w:r>
      <w:r>
        <w:rPr>
          <w:lang w:val="fr-CH"/>
        </w:rPr>
        <w:t>’</w:t>
      </w:r>
      <w:r w:rsidRPr="00EE45C1">
        <w:rPr>
          <w:lang w:val="fr-CH"/>
        </w:rPr>
        <w:t>essai en matière de dissipation de l</w:t>
      </w:r>
      <w:r>
        <w:rPr>
          <w:lang w:val="fr-CH"/>
        </w:rPr>
        <w:t>’</w:t>
      </w:r>
      <w:r w:rsidRPr="00EE45C1">
        <w:rPr>
          <w:lang w:val="fr-CH"/>
        </w:rPr>
        <w:t>énergie et si la vitesse d</w:t>
      </w:r>
      <w:r>
        <w:rPr>
          <w:lang w:val="fr-CH"/>
        </w:rPr>
        <w:t>’</w:t>
      </w:r>
      <w:r w:rsidRPr="00EE45C1">
        <w:rPr>
          <w:lang w:val="fr-CH"/>
        </w:rPr>
        <w:t>impact n</w:t>
      </w:r>
      <w:r>
        <w:rPr>
          <w:lang w:val="fr-CH"/>
        </w:rPr>
        <w:t>’</w:t>
      </w:r>
      <w:r w:rsidRPr="00EE45C1">
        <w:rPr>
          <w:lang w:val="fr-CH"/>
        </w:rPr>
        <w:t xml:space="preserve">est pas </w:t>
      </w:r>
      <w:r>
        <w:rPr>
          <w:lang w:val="fr-CH"/>
        </w:rPr>
        <w:t>supérieure à 24 </w:t>
      </w:r>
      <w:r w:rsidRPr="00EE45C1">
        <w:rPr>
          <w:lang w:val="fr-CH"/>
        </w:rPr>
        <w:t>km/h.</w:t>
      </w:r>
    </w:p>
    <w:p w:rsidR="00EE45C1" w:rsidRPr="00EE45C1" w:rsidRDefault="00EE45C1" w:rsidP="00EE45C1">
      <w:pPr>
        <w:pStyle w:val="SingleTxt"/>
        <w:numPr>
          <w:ilvl w:val="0"/>
          <w:numId w:val="6"/>
        </w:numPr>
        <w:tabs>
          <w:tab w:val="clear" w:pos="475"/>
          <w:tab w:val="num" w:pos="1742"/>
        </w:tabs>
        <w:ind w:left="1267"/>
        <w:rPr>
          <w:lang w:val="fr-CH"/>
        </w:rPr>
      </w:pPr>
      <w:r w:rsidRPr="00EE45C1">
        <w:rPr>
          <w:lang w:val="fr-CH"/>
        </w:rPr>
        <w:t>Toutefois, des projets de prescriptions similaires sont en préparation pour les ceintures de sécurité montées à d</w:t>
      </w:r>
      <w:r>
        <w:rPr>
          <w:lang w:val="fr-CH"/>
        </w:rPr>
        <w:t>’</w:t>
      </w:r>
      <w:r w:rsidRPr="00EE45C1">
        <w:rPr>
          <w:lang w:val="fr-CH"/>
        </w:rPr>
        <w:t>autres places assises du véhicule.</w:t>
      </w:r>
    </w:p>
    <w:p w:rsidR="00EE45C1" w:rsidRPr="00EE45C1" w:rsidRDefault="00EE45C1" w:rsidP="00EE45C1">
      <w:pPr>
        <w:pStyle w:val="SingleTxt"/>
        <w:numPr>
          <w:ilvl w:val="0"/>
          <w:numId w:val="6"/>
        </w:numPr>
        <w:tabs>
          <w:tab w:val="clear" w:pos="475"/>
          <w:tab w:val="num" w:pos="1742"/>
        </w:tabs>
        <w:ind w:left="1267"/>
        <w:rPr>
          <w:lang w:val="fr-CH"/>
        </w:rPr>
      </w:pPr>
      <w:r w:rsidRPr="00EE45C1">
        <w:rPr>
          <w:lang w:val="fr-CH"/>
        </w:rPr>
        <w:t>Pour prendre en compte du déplacement vers l</w:t>
      </w:r>
      <w:r>
        <w:rPr>
          <w:lang w:val="fr-CH"/>
        </w:rPr>
        <w:t>’</w:t>
      </w:r>
      <w:r w:rsidRPr="00EE45C1">
        <w:rPr>
          <w:lang w:val="fr-CH"/>
        </w:rPr>
        <w:t>avant accru de</w:t>
      </w:r>
      <w:r>
        <w:rPr>
          <w:lang w:val="fr-CH"/>
        </w:rPr>
        <w:t>s occupants, le Règlement ONU n</w:t>
      </w:r>
      <w:r w:rsidRPr="00EE45C1">
        <w:rPr>
          <w:vertAlign w:val="superscript"/>
          <w:lang w:val="fr-CH"/>
        </w:rPr>
        <w:t>o</w:t>
      </w:r>
      <w:r>
        <w:rPr>
          <w:lang w:val="fr-CH"/>
        </w:rPr>
        <w:t> </w:t>
      </w:r>
      <w:r w:rsidRPr="00EE45C1">
        <w:rPr>
          <w:lang w:val="fr-CH"/>
        </w:rPr>
        <w:t>17 sera actualisé pour formuler des dispositions relatives à des critères de dissipation de l</w:t>
      </w:r>
      <w:r>
        <w:rPr>
          <w:lang w:val="fr-CH"/>
        </w:rPr>
        <w:t>’</w:t>
      </w:r>
      <w:r w:rsidRPr="00EE45C1">
        <w:rPr>
          <w:lang w:val="fr-CH"/>
        </w:rPr>
        <w:t>énergie renforcés pour les zones de la partie arrière des sièges (y compris les appuie-tête en tant que pièces montées sur ceux-ci), où doit se produire le choc de la tête de l</w:t>
      </w:r>
      <w:r>
        <w:rPr>
          <w:lang w:val="fr-CH"/>
        </w:rPr>
        <w:t>’</w:t>
      </w:r>
      <w:r w:rsidRPr="00EE45C1">
        <w:rPr>
          <w:lang w:val="fr-CH"/>
        </w:rPr>
        <w:t>occupant arrière..</w:t>
      </w:r>
    </w:p>
    <w:p w:rsidR="00EE45C1" w:rsidRPr="00EE45C1" w:rsidRDefault="00EE45C1" w:rsidP="00AE743C">
      <w:pPr>
        <w:pStyle w:val="SingleTxt"/>
        <w:keepNext/>
        <w:keepLines/>
        <w:numPr>
          <w:ilvl w:val="0"/>
          <w:numId w:val="6"/>
        </w:numPr>
        <w:tabs>
          <w:tab w:val="clear" w:pos="475"/>
          <w:tab w:val="num" w:pos="1742"/>
        </w:tabs>
        <w:ind w:left="1267"/>
        <w:rPr>
          <w:lang w:val="fr-CH"/>
        </w:rPr>
      </w:pPr>
      <w:r w:rsidRPr="00EE45C1">
        <w:rPr>
          <w:lang w:val="fr-CH"/>
        </w:rPr>
        <w:lastRenderedPageBreak/>
        <w:t>Traditionnellemen</w:t>
      </w:r>
      <w:r>
        <w:rPr>
          <w:lang w:val="fr-CH"/>
        </w:rPr>
        <w:t>t cependant, le Règlement ONU n</w:t>
      </w:r>
      <w:r w:rsidRPr="00EE45C1">
        <w:rPr>
          <w:vertAlign w:val="superscript"/>
          <w:lang w:val="fr-CH"/>
        </w:rPr>
        <w:t>o</w:t>
      </w:r>
      <w:r>
        <w:rPr>
          <w:lang w:val="fr-CH"/>
        </w:rPr>
        <w:t> </w:t>
      </w:r>
      <w:r w:rsidRPr="00EE45C1">
        <w:rPr>
          <w:lang w:val="fr-CH"/>
        </w:rPr>
        <w:t xml:space="preserve">21 offrait une voie alternative pour les essais contre les parties arrière des sièges. En conséquence de la mise à jour </w:t>
      </w:r>
      <w:r>
        <w:rPr>
          <w:lang w:val="fr-CH"/>
        </w:rPr>
        <w:t>nécessaire du Règlement ONU n</w:t>
      </w:r>
      <w:r w:rsidRPr="00EE45C1">
        <w:rPr>
          <w:vertAlign w:val="superscript"/>
          <w:lang w:val="fr-CH"/>
        </w:rPr>
        <w:t>o</w:t>
      </w:r>
      <w:r>
        <w:rPr>
          <w:lang w:val="fr-CH"/>
        </w:rPr>
        <w:t> </w:t>
      </w:r>
      <w:r w:rsidRPr="00EE45C1">
        <w:rPr>
          <w:lang w:val="fr-CH"/>
        </w:rPr>
        <w:t>17 sur les prescriptions de dissipation d</w:t>
      </w:r>
      <w:r>
        <w:rPr>
          <w:lang w:val="fr-CH"/>
        </w:rPr>
        <w:t>’</w:t>
      </w:r>
      <w:r w:rsidRPr="00EE45C1">
        <w:rPr>
          <w:lang w:val="fr-CH"/>
        </w:rPr>
        <w:t>énergie, il est proposé désormais d</w:t>
      </w:r>
      <w:r>
        <w:rPr>
          <w:lang w:val="fr-CH"/>
        </w:rPr>
        <w:t>’</w:t>
      </w:r>
      <w:r w:rsidRPr="00EE45C1">
        <w:rPr>
          <w:lang w:val="fr-CH"/>
        </w:rPr>
        <w:t>exclure cette voie de remplacement par le</w:t>
      </w:r>
      <w:r>
        <w:rPr>
          <w:lang w:val="fr-CH"/>
        </w:rPr>
        <w:t xml:space="preserve"> biais du Règlement ONU n</w:t>
      </w:r>
      <w:r w:rsidRPr="00EE45C1">
        <w:rPr>
          <w:vertAlign w:val="superscript"/>
          <w:lang w:val="fr-CH"/>
        </w:rPr>
        <w:t>o</w:t>
      </w:r>
      <w:r>
        <w:rPr>
          <w:lang w:val="fr-CH"/>
        </w:rPr>
        <w:t> </w:t>
      </w:r>
      <w:r w:rsidRPr="00EE45C1">
        <w:rPr>
          <w:lang w:val="fr-CH"/>
        </w:rPr>
        <w:t>21.</w:t>
      </w:r>
    </w:p>
    <w:p w:rsidR="00EE45C1" w:rsidRPr="00EE45C1" w:rsidRDefault="00EE45C1" w:rsidP="00EE45C1">
      <w:pPr>
        <w:pStyle w:val="SingleTxt"/>
        <w:numPr>
          <w:ilvl w:val="0"/>
          <w:numId w:val="6"/>
        </w:numPr>
        <w:tabs>
          <w:tab w:val="clear" w:pos="475"/>
          <w:tab w:val="num" w:pos="1742"/>
        </w:tabs>
        <w:ind w:left="1267"/>
        <w:rPr>
          <w:lang w:val="fr-CH"/>
        </w:rPr>
      </w:pPr>
      <w:r w:rsidRPr="00EE45C1">
        <w:rPr>
          <w:lang w:val="fr-CH"/>
        </w:rPr>
        <w:t>En outre, la proposition ci-dessus offre comme plus value l</w:t>
      </w:r>
      <w:r>
        <w:rPr>
          <w:lang w:val="fr-CH"/>
        </w:rPr>
        <w:t>’</w:t>
      </w:r>
      <w:r w:rsidRPr="00EE45C1">
        <w:rPr>
          <w:lang w:val="fr-CH"/>
        </w:rPr>
        <w:t xml:space="preserve">essai des </w:t>
      </w:r>
      <w:r w:rsidRPr="003D7EB7">
        <w:rPr>
          <w:bCs/>
          <w:lang w:val="fr-CH"/>
        </w:rPr>
        <w:t>« </w:t>
      </w:r>
      <w:r w:rsidRPr="00EE45C1">
        <w:rPr>
          <w:b/>
          <w:lang w:val="fr-CH"/>
        </w:rPr>
        <w:t>pièces montées sur le siège</w:t>
      </w:r>
      <w:r w:rsidRPr="003D7EB7">
        <w:rPr>
          <w:bCs/>
          <w:lang w:val="fr-CH"/>
        </w:rPr>
        <w:t> »,</w:t>
      </w:r>
      <w:r w:rsidRPr="00EE45C1">
        <w:rPr>
          <w:lang w:val="fr-CH"/>
        </w:rPr>
        <w:t xml:space="preserve"> jusqu</w:t>
      </w:r>
      <w:r>
        <w:rPr>
          <w:lang w:val="fr-CH"/>
        </w:rPr>
        <w:t>’</w:t>
      </w:r>
      <w:r w:rsidRPr="00EE45C1">
        <w:rPr>
          <w:lang w:val="fr-CH"/>
        </w:rPr>
        <w:t>à présent négligé.</w:t>
      </w:r>
    </w:p>
    <w:p w:rsidR="000C15A2" w:rsidRPr="00EE45C1" w:rsidRDefault="00EE45C1" w:rsidP="00EE45C1">
      <w:pPr>
        <w:pStyle w:val="SingleTxt"/>
        <w:spacing w:after="0" w:line="240" w:lineRule="auto"/>
        <w:rPr>
          <w:lang w:val="fr-CH"/>
        </w:rPr>
      </w:pPr>
      <w:r w:rsidRPr="00EE45C1">
        <w:rPr>
          <w:noProof/>
          <w:w w:val="100"/>
          <w:lang w:val="en-GB" w:eastAsia="en-GB"/>
        </w:rPr>
        <mc:AlternateContent>
          <mc:Choice Requires="wps">
            <w:drawing>
              <wp:anchor distT="0" distB="0" distL="114300" distR="114300" simplePos="0" relativeHeight="251659264" behindDoc="0" locked="0" layoutInCell="1" allowOverlap="1" wp14:anchorId="6132FE17" wp14:editId="7C4AACB7">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0C15A2" w:rsidRPr="00EE45C1" w:rsidSect="000C15A2">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1-17T16:30:00Z" w:initials="Start">
    <w:p w:rsidR="000C15A2" w:rsidRPr="00EE45C1" w:rsidRDefault="000C15A2">
      <w:pPr>
        <w:pStyle w:val="CommentText"/>
        <w:rPr>
          <w:lang w:val="en-US"/>
        </w:rPr>
      </w:pPr>
      <w:r>
        <w:fldChar w:fldCharType="begin"/>
      </w:r>
      <w:r w:rsidRPr="00EE45C1">
        <w:rPr>
          <w:rStyle w:val="CommentReference"/>
          <w:lang w:val="en-US"/>
        </w:rPr>
        <w:instrText xml:space="preserve"> </w:instrText>
      </w:r>
      <w:r w:rsidRPr="00EE45C1">
        <w:rPr>
          <w:lang w:val="en-US"/>
        </w:rPr>
        <w:instrText>PAGE \# "'Page: '#'</w:instrText>
      </w:r>
      <w:r w:rsidRPr="00EE45C1">
        <w:rPr>
          <w:lang w:val="en-US"/>
        </w:rPr>
        <w:br/>
        <w:instrText>'"</w:instrText>
      </w:r>
      <w:r w:rsidRPr="00EE45C1">
        <w:rPr>
          <w:rStyle w:val="CommentReference"/>
          <w:lang w:val="en-US"/>
        </w:rPr>
        <w:instrText xml:space="preserve"> </w:instrText>
      </w:r>
      <w:r>
        <w:fldChar w:fldCharType="end"/>
      </w:r>
      <w:r>
        <w:rPr>
          <w:rStyle w:val="CommentReference"/>
        </w:rPr>
        <w:annotationRef/>
      </w:r>
      <w:r w:rsidRPr="00EE45C1">
        <w:rPr>
          <w:lang w:val="en-US"/>
        </w:rPr>
        <w:t>&lt;&lt;ODS JOB NO&gt;&gt;N1521493F&lt;&lt;ODS JOB NO&gt;&gt;</w:t>
      </w:r>
    </w:p>
    <w:p w:rsidR="000C15A2" w:rsidRDefault="000C15A2">
      <w:pPr>
        <w:pStyle w:val="CommentText"/>
      </w:pPr>
      <w:r>
        <w:t>&lt;&lt;ODS DOC SYMBOL1&gt;&gt;ECE/TRANS/WP.29/GRSP/2015/28&lt;&lt;ODS DOC SYMBOL1&gt;&gt;</w:t>
      </w:r>
    </w:p>
    <w:p w:rsidR="000C15A2" w:rsidRDefault="000C15A2">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8A9" w:rsidRDefault="00FD38A9" w:rsidP="00F3330B">
      <w:pPr>
        <w:spacing w:line="240" w:lineRule="auto"/>
      </w:pPr>
      <w:r>
        <w:separator/>
      </w:r>
    </w:p>
  </w:endnote>
  <w:endnote w:type="continuationSeparator" w:id="0">
    <w:p w:rsidR="00FD38A9" w:rsidRDefault="00FD38A9"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0C15A2" w:rsidTr="000C15A2">
      <w:trPr>
        <w:jc w:val="center"/>
      </w:trPr>
      <w:tc>
        <w:tcPr>
          <w:tcW w:w="5088" w:type="dxa"/>
          <w:shd w:val="clear" w:color="auto" w:fill="auto"/>
        </w:tcPr>
        <w:p w:rsidR="000C15A2" w:rsidRPr="000C15A2" w:rsidRDefault="000C15A2" w:rsidP="000C15A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C480F">
            <w:rPr>
              <w:b w:val="0"/>
              <w:w w:val="103"/>
              <w:sz w:val="14"/>
            </w:rPr>
            <w:t>GE.15-16073</w:t>
          </w:r>
          <w:r>
            <w:rPr>
              <w:b w:val="0"/>
              <w:w w:val="103"/>
              <w:sz w:val="14"/>
            </w:rPr>
            <w:fldChar w:fldCharType="end"/>
          </w:r>
        </w:p>
      </w:tc>
      <w:tc>
        <w:tcPr>
          <w:tcW w:w="5089" w:type="dxa"/>
          <w:shd w:val="clear" w:color="auto" w:fill="auto"/>
        </w:tcPr>
        <w:p w:rsidR="000C15A2" w:rsidRPr="000C15A2" w:rsidRDefault="000C15A2" w:rsidP="000C15A2">
          <w:pPr>
            <w:pStyle w:val="Footer"/>
            <w:rPr>
              <w:w w:val="103"/>
            </w:rPr>
          </w:pPr>
          <w:r>
            <w:rPr>
              <w:w w:val="103"/>
            </w:rPr>
            <w:fldChar w:fldCharType="begin"/>
          </w:r>
          <w:r>
            <w:rPr>
              <w:w w:val="103"/>
            </w:rPr>
            <w:instrText xml:space="preserve"> PAGE  \* Arabic  \* MERGEFORMAT </w:instrText>
          </w:r>
          <w:r>
            <w:rPr>
              <w:w w:val="103"/>
            </w:rPr>
            <w:fldChar w:fldCharType="separate"/>
          </w:r>
          <w:r w:rsidR="004C467A">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C467A">
            <w:rPr>
              <w:noProof/>
              <w:w w:val="103"/>
            </w:rPr>
            <w:t>2</w:t>
          </w:r>
          <w:r>
            <w:rPr>
              <w:w w:val="103"/>
            </w:rPr>
            <w:fldChar w:fldCharType="end"/>
          </w:r>
        </w:p>
      </w:tc>
    </w:tr>
  </w:tbl>
  <w:p w:rsidR="000C15A2" w:rsidRPr="000C15A2" w:rsidRDefault="000C15A2" w:rsidP="000C15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0C15A2" w:rsidTr="000C15A2">
      <w:trPr>
        <w:jc w:val="center"/>
      </w:trPr>
      <w:tc>
        <w:tcPr>
          <w:tcW w:w="5088" w:type="dxa"/>
          <w:shd w:val="clear" w:color="auto" w:fill="auto"/>
        </w:tcPr>
        <w:p w:rsidR="000C15A2" w:rsidRPr="000C15A2" w:rsidRDefault="000C15A2" w:rsidP="000C15A2">
          <w:pPr>
            <w:pStyle w:val="Footer"/>
            <w:jc w:val="right"/>
            <w:rPr>
              <w:w w:val="103"/>
            </w:rPr>
          </w:pPr>
          <w:r>
            <w:rPr>
              <w:w w:val="103"/>
            </w:rPr>
            <w:fldChar w:fldCharType="begin"/>
          </w:r>
          <w:r>
            <w:rPr>
              <w:w w:val="103"/>
            </w:rPr>
            <w:instrText xml:space="preserve"> PAGE  \* Arabic  \* MERGEFORMAT </w:instrText>
          </w:r>
          <w:r>
            <w:rPr>
              <w:w w:val="103"/>
            </w:rPr>
            <w:fldChar w:fldCharType="separate"/>
          </w:r>
          <w:r w:rsidR="004C467A">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C467A">
            <w:rPr>
              <w:noProof/>
              <w:w w:val="103"/>
            </w:rPr>
            <w:t>3</w:t>
          </w:r>
          <w:r>
            <w:rPr>
              <w:w w:val="103"/>
            </w:rPr>
            <w:fldChar w:fldCharType="end"/>
          </w:r>
        </w:p>
      </w:tc>
      <w:tc>
        <w:tcPr>
          <w:tcW w:w="5089" w:type="dxa"/>
          <w:shd w:val="clear" w:color="auto" w:fill="auto"/>
        </w:tcPr>
        <w:p w:rsidR="000C15A2" w:rsidRPr="000C15A2" w:rsidRDefault="000C15A2" w:rsidP="000C15A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C480F">
            <w:rPr>
              <w:b w:val="0"/>
              <w:w w:val="103"/>
              <w:sz w:val="14"/>
            </w:rPr>
            <w:t>GE.15-16073</w:t>
          </w:r>
          <w:r>
            <w:rPr>
              <w:b w:val="0"/>
              <w:w w:val="103"/>
              <w:sz w:val="14"/>
            </w:rPr>
            <w:fldChar w:fldCharType="end"/>
          </w:r>
        </w:p>
      </w:tc>
    </w:tr>
  </w:tbl>
  <w:p w:rsidR="000C15A2" w:rsidRPr="000C15A2" w:rsidRDefault="000C15A2" w:rsidP="000C15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5A2" w:rsidRDefault="000C15A2">
    <w:pPr>
      <w:pStyle w:val="Footer"/>
    </w:pPr>
    <w:r>
      <w:rPr>
        <w:noProof/>
        <w:lang w:val="en-GB" w:eastAsia="en-GB"/>
      </w:rPr>
      <w:drawing>
        <wp:anchor distT="0" distB="0" distL="114300" distR="114300" simplePos="0" relativeHeight="251658240" behindDoc="0" locked="0" layoutInCell="1" allowOverlap="1" wp14:anchorId="51EED125" wp14:editId="51DA5367">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GRSP/2015/28&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SP/2015/28&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859"/>
      <w:gridCol w:w="5089"/>
    </w:tblGrid>
    <w:tr w:rsidR="000C15A2" w:rsidTr="000C15A2">
      <w:tc>
        <w:tcPr>
          <w:tcW w:w="3859" w:type="dxa"/>
        </w:tcPr>
        <w:p w:rsidR="000C15A2" w:rsidRDefault="000C15A2" w:rsidP="000C15A2">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AC480F">
            <w:rPr>
              <w:b w:val="0"/>
              <w:sz w:val="20"/>
            </w:rPr>
            <w:t>GE.15-16073 (F)</w:t>
          </w:r>
          <w:r>
            <w:rPr>
              <w:b w:val="0"/>
              <w:sz w:val="20"/>
            </w:rPr>
            <w:fldChar w:fldCharType="end"/>
          </w:r>
          <w:r>
            <w:rPr>
              <w:b w:val="0"/>
              <w:sz w:val="20"/>
            </w:rPr>
            <w:t xml:space="preserve">    171115    171115</w:t>
          </w:r>
        </w:p>
        <w:p w:rsidR="000C15A2" w:rsidRPr="000C15A2" w:rsidRDefault="000C15A2" w:rsidP="000C15A2">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AC480F">
            <w:rPr>
              <w:rFonts w:ascii="Barcode 3 of 9 by request" w:hAnsi="Barcode 3 of 9 by request"/>
              <w:b w:val="0"/>
              <w:spacing w:val="0"/>
              <w:w w:val="100"/>
              <w:sz w:val="24"/>
            </w:rPr>
            <w:t>*1516073*</w:t>
          </w:r>
          <w:r>
            <w:rPr>
              <w:rFonts w:ascii="Barcode 3 of 9 by request" w:hAnsi="Barcode 3 of 9 by request"/>
              <w:b w:val="0"/>
              <w:spacing w:val="0"/>
              <w:w w:val="100"/>
              <w:sz w:val="24"/>
            </w:rPr>
            <w:fldChar w:fldCharType="end"/>
          </w:r>
        </w:p>
      </w:tc>
      <w:tc>
        <w:tcPr>
          <w:tcW w:w="5089" w:type="dxa"/>
        </w:tcPr>
        <w:p w:rsidR="000C15A2" w:rsidRDefault="000C15A2" w:rsidP="000C15A2">
          <w:pPr>
            <w:pStyle w:val="Footer"/>
            <w:spacing w:line="240" w:lineRule="atLeast"/>
            <w:jc w:val="right"/>
            <w:rPr>
              <w:b w:val="0"/>
              <w:sz w:val="20"/>
            </w:rPr>
          </w:pPr>
          <w:r>
            <w:rPr>
              <w:b w:val="0"/>
              <w:noProof/>
              <w:sz w:val="20"/>
              <w:lang w:val="en-GB" w:eastAsia="en-GB"/>
            </w:rPr>
            <w:drawing>
              <wp:inline distT="0" distB="0" distL="0" distR="0" wp14:anchorId="3FBE83E3" wp14:editId="0AD683C5">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0C15A2" w:rsidRPr="000C15A2" w:rsidRDefault="000C15A2" w:rsidP="000C15A2">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8A9" w:rsidRPr="00EE45C1" w:rsidRDefault="00EE45C1" w:rsidP="00EE45C1">
      <w:pPr>
        <w:pStyle w:val="Footer"/>
        <w:spacing w:after="80"/>
        <w:ind w:left="792"/>
        <w:rPr>
          <w:sz w:val="16"/>
        </w:rPr>
      </w:pPr>
      <w:r w:rsidRPr="00EE45C1">
        <w:rPr>
          <w:sz w:val="16"/>
        </w:rPr>
        <w:t>__________________</w:t>
      </w:r>
    </w:p>
  </w:footnote>
  <w:footnote w:type="continuationSeparator" w:id="0">
    <w:p w:rsidR="00FD38A9" w:rsidRPr="00EE45C1" w:rsidRDefault="00EE45C1" w:rsidP="00EE45C1">
      <w:pPr>
        <w:pStyle w:val="Footer"/>
        <w:spacing w:after="80"/>
        <w:ind w:left="792"/>
        <w:rPr>
          <w:sz w:val="16"/>
        </w:rPr>
      </w:pPr>
      <w:r w:rsidRPr="00EE45C1">
        <w:rPr>
          <w:sz w:val="16"/>
        </w:rPr>
        <w:t>__________________</w:t>
      </w:r>
    </w:p>
  </w:footnote>
  <w:footnote w:id="1">
    <w:p w:rsidR="00EE45C1" w:rsidRPr="00EE45C1" w:rsidRDefault="00EE45C1" w:rsidP="00EE45C1">
      <w:pPr>
        <w:pStyle w:val="FootnoteText"/>
        <w:tabs>
          <w:tab w:val="right" w:pos="1195"/>
          <w:tab w:val="left" w:pos="1267"/>
          <w:tab w:val="left" w:pos="1742"/>
          <w:tab w:val="left" w:pos="2218"/>
          <w:tab w:val="left" w:pos="2693"/>
        </w:tabs>
        <w:ind w:left="1267" w:right="1260" w:hanging="432"/>
        <w:rPr>
          <w:spacing w:val="2"/>
          <w:w w:val="104"/>
          <w:lang w:val="fr-CH"/>
        </w:rPr>
      </w:pPr>
      <w:r w:rsidRPr="00BD7069">
        <w:rPr>
          <w:spacing w:val="5"/>
          <w:w w:val="104"/>
        </w:rPr>
        <w:tab/>
      </w:r>
      <w:r w:rsidRPr="00BD7069">
        <w:rPr>
          <w:rStyle w:val="FootnoteReference"/>
          <w:w w:val="104"/>
          <w:vertAlign w:val="baseline"/>
        </w:rPr>
        <w:t>*</w:t>
      </w:r>
      <w:r w:rsidRPr="00BD7069">
        <w:rPr>
          <w:spacing w:val="5"/>
          <w:w w:val="104"/>
        </w:rPr>
        <w:tab/>
      </w:r>
      <w:r w:rsidRPr="00EE45C1">
        <w:rPr>
          <w:spacing w:val="2"/>
          <w:w w:val="104"/>
        </w:rPr>
        <w:t>Conformément au programme de travail du Comité des transports intérieurs pour la période 2012-2016 (ECE/TRANS/224, par. 94,</w:t>
      </w:r>
      <w:r>
        <w:rPr>
          <w:spacing w:val="2"/>
          <w:w w:val="104"/>
        </w:rPr>
        <w:t xml:space="preserve"> et ECE/TRANS/2012/12, activité </w:t>
      </w:r>
      <w:r w:rsidRPr="00EE45C1">
        <w:rPr>
          <w:spacing w:val="2"/>
          <w:w w:val="104"/>
        </w:rPr>
        <w:t>02.4), le Forum mondial a pour mission d</w:t>
      </w:r>
      <w:r>
        <w:rPr>
          <w:spacing w:val="2"/>
          <w:w w:val="104"/>
        </w:rPr>
        <w:t>’</w:t>
      </w:r>
      <w:r w:rsidRPr="00EE45C1">
        <w:rPr>
          <w:spacing w:val="2"/>
          <w:w w:val="104"/>
        </w:rPr>
        <w:t>élaborer, d</w:t>
      </w:r>
      <w:r>
        <w:rPr>
          <w:spacing w:val="2"/>
          <w:w w:val="104"/>
        </w:rPr>
        <w:t>’</w:t>
      </w:r>
      <w:r w:rsidRPr="00EE45C1">
        <w:rPr>
          <w:spacing w:val="2"/>
          <w:w w:val="104"/>
        </w:rPr>
        <w:t>harmoniser et de mettre à jour les Règlements en vue d</w:t>
      </w:r>
      <w:r>
        <w:rPr>
          <w:spacing w:val="2"/>
          <w:w w:val="104"/>
        </w:rPr>
        <w:t>’</w:t>
      </w:r>
      <w:r w:rsidRPr="00EE45C1">
        <w:rPr>
          <w:spacing w:val="2"/>
          <w:w w:val="104"/>
        </w:rPr>
        <w:t>améliorer les caractéristiques fonctionnelles des véhicules. Le présent document est soumis dans le cadre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0C15A2" w:rsidTr="000C15A2">
      <w:trPr>
        <w:trHeight w:hRule="exact" w:val="864"/>
        <w:jc w:val="center"/>
      </w:trPr>
      <w:tc>
        <w:tcPr>
          <w:tcW w:w="4882" w:type="dxa"/>
          <w:shd w:val="clear" w:color="auto" w:fill="auto"/>
          <w:vAlign w:val="bottom"/>
        </w:tcPr>
        <w:p w:rsidR="000C15A2" w:rsidRPr="000C15A2" w:rsidRDefault="000C15A2" w:rsidP="000C15A2">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C480F">
            <w:rPr>
              <w:b/>
              <w:color w:val="000000"/>
            </w:rPr>
            <w:t>ECE/TRANS/WP.29/GRSP/2015/28</w:t>
          </w:r>
          <w:r>
            <w:rPr>
              <w:b/>
              <w:color w:val="000000"/>
            </w:rPr>
            <w:fldChar w:fldCharType="end"/>
          </w:r>
        </w:p>
      </w:tc>
      <w:tc>
        <w:tcPr>
          <w:tcW w:w="5089" w:type="dxa"/>
          <w:shd w:val="clear" w:color="auto" w:fill="auto"/>
          <w:vAlign w:val="bottom"/>
        </w:tcPr>
        <w:p w:rsidR="000C15A2" w:rsidRDefault="000C15A2" w:rsidP="000C15A2">
          <w:pPr>
            <w:pStyle w:val="Header"/>
          </w:pPr>
        </w:p>
      </w:tc>
    </w:tr>
  </w:tbl>
  <w:p w:rsidR="000C15A2" w:rsidRPr="000C15A2" w:rsidRDefault="000C15A2" w:rsidP="000C15A2">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0C15A2" w:rsidTr="000C15A2">
      <w:trPr>
        <w:trHeight w:hRule="exact" w:val="864"/>
        <w:jc w:val="center"/>
      </w:trPr>
      <w:tc>
        <w:tcPr>
          <w:tcW w:w="4882" w:type="dxa"/>
          <w:shd w:val="clear" w:color="auto" w:fill="auto"/>
          <w:vAlign w:val="bottom"/>
        </w:tcPr>
        <w:p w:rsidR="000C15A2" w:rsidRDefault="000C15A2" w:rsidP="000C15A2">
          <w:pPr>
            <w:pStyle w:val="Header"/>
          </w:pPr>
        </w:p>
      </w:tc>
      <w:tc>
        <w:tcPr>
          <w:tcW w:w="5089" w:type="dxa"/>
          <w:shd w:val="clear" w:color="auto" w:fill="auto"/>
          <w:vAlign w:val="bottom"/>
        </w:tcPr>
        <w:p w:rsidR="000C15A2" w:rsidRPr="000C15A2" w:rsidRDefault="000C15A2" w:rsidP="000C15A2">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C480F">
            <w:rPr>
              <w:b/>
              <w:color w:val="000000"/>
            </w:rPr>
            <w:t>ECE/TRANS/WP.29/GRSP/2015/28</w:t>
          </w:r>
          <w:r>
            <w:rPr>
              <w:b/>
              <w:color w:val="000000"/>
            </w:rPr>
            <w:fldChar w:fldCharType="end"/>
          </w:r>
        </w:p>
      </w:tc>
    </w:tr>
  </w:tbl>
  <w:p w:rsidR="000C15A2" w:rsidRPr="000C15A2" w:rsidRDefault="000C15A2" w:rsidP="000C15A2">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0C15A2" w:rsidRPr="00EE45C1" w:rsidTr="000C15A2">
      <w:trPr>
        <w:trHeight w:hRule="exact" w:val="864"/>
      </w:trPr>
      <w:tc>
        <w:tcPr>
          <w:tcW w:w="1267" w:type="dxa"/>
          <w:tcBorders>
            <w:bottom w:val="single" w:sz="4" w:space="0" w:color="auto"/>
          </w:tcBorders>
          <w:shd w:val="clear" w:color="auto" w:fill="auto"/>
          <w:vAlign w:val="bottom"/>
        </w:tcPr>
        <w:p w:rsidR="000C15A2" w:rsidRPr="00EE45C1" w:rsidRDefault="000C15A2" w:rsidP="000C15A2">
          <w:pPr>
            <w:pStyle w:val="Header"/>
            <w:spacing w:after="120"/>
            <w:rPr>
              <w:lang w:val="fr-CH"/>
            </w:rPr>
          </w:pPr>
        </w:p>
      </w:tc>
      <w:tc>
        <w:tcPr>
          <w:tcW w:w="2059" w:type="dxa"/>
          <w:tcBorders>
            <w:bottom w:val="single" w:sz="4" w:space="0" w:color="auto"/>
          </w:tcBorders>
          <w:shd w:val="clear" w:color="auto" w:fill="auto"/>
          <w:vAlign w:val="bottom"/>
        </w:tcPr>
        <w:p w:rsidR="000C15A2" w:rsidRPr="00EE45C1" w:rsidRDefault="000C15A2" w:rsidP="000C15A2">
          <w:pPr>
            <w:pStyle w:val="HCH"/>
            <w:spacing w:after="80"/>
            <w:rPr>
              <w:b w:val="0"/>
              <w:color w:val="010000"/>
              <w:spacing w:val="2"/>
              <w:w w:val="96"/>
              <w:lang w:val="fr-CH"/>
            </w:rPr>
          </w:pPr>
          <w:r w:rsidRPr="00EE45C1">
            <w:rPr>
              <w:b w:val="0"/>
              <w:color w:val="010000"/>
              <w:spacing w:val="2"/>
              <w:w w:val="96"/>
              <w:lang w:val="fr-CH"/>
            </w:rPr>
            <w:t>Nations Unies</w:t>
          </w:r>
        </w:p>
      </w:tc>
      <w:tc>
        <w:tcPr>
          <w:tcW w:w="58" w:type="dxa"/>
          <w:tcBorders>
            <w:bottom w:val="single" w:sz="4" w:space="0" w:color="auto"/>
          </w:tcBorders>
          <w:shd w:val="clear" w:color="auto" w:fill="auto"/>
          <w:vAlign w:val="bottom"/>
        </w:tcPr>
        <w:p w:rsidR="000C15A2" w:rsidRPr="00EE45C1" w:rsidRDefault="000C15A2" w:rsidP="000C15A2">
          <w:pPr>
            <w:pStyle w:val="Header"/>
            <w:spacing w:after="120"/>
            <w:rPr>
              <w:lang w:val="fr-CH"/>
            </w:rPr>
          </w:pPr>
        </w:p>
      </w:tc>
      <w:tc>
        <w:tcPr>
          <w:tcW w:w="6653" w:type="dxa"/>
          <w:gridSpan w:val="4"/>
          <w:tcBorders>
            <w:bottom w:val="single" w:sz="4" w:space="0" w:color="auto"/>
          </w:tcBorders>
          <w:shd w:val="clear" w:color="auto" w:fill="auto"/>
          <w:vAlign w:val="bottom"/>
        </w:tcPr>
        <w:p w:rsidR="000C15A2" w:rsidRPr="00EE45C1" w:rsidRDefault="000C15A2" w:rsidP="000C15A2">
          <w:pPr>
            <w:spacing w:after="80" w:line="240" w:lineRule="auto"/>
            <w:jc w:val="right"/>
            <w:rPr>
              <w:position w:val="-4"/>
              <w:lang w:val="fr-CH"/>
            </w:rPr>
          </w:pPr>
          <w:r w:rsidRPr="00EE45C1">
            <w:rPr>
              <w:position w:val="-4"/>
              <w:sz w:val="40"/>
              <w:lang w:val="fr-CH"/>
            </w:rPr>
            <w:t>ECE</w:t>
          </w:r>
          <w:r w:rsidRPr="00EE45C1">
            <w:rPr>
              <w:position w:val="-4"/>
              <w:lang w:val="fr-CH"/>
            </w:rPr>
            <w:t>/TRANS/WP.29/GRSP/2015/28</w:t>
          </w:r>
        </w:p>
      </w:tc>
    </w:tr>
    <w:tr w:rsidR="000C15A2" w:rsidRPr="00EE45C1" w:rsidTr="000C15A2">
      <w:trPr>
        <w:gridAfter w:val="1"/>
        <w:wAfter w:w="18" w:type="dxa"/>
        <w:trHeight w:hRule="exact" w:val="2880"/>
      </w:trPr>
      <w:tc>
        <w:tcPr>
          <w:tcW w:w="1267" w:type="dxa"/>
          <w:tcBorders>
            <w:top w:val="single" w:sz="4" w:space="0" w:color="auto"/>
            <w:bottom w:val="single" w:sz="12" w:space="0" w:color="auto"/>
          </w:tcBorders>
          <w:shd w:val="clear" w:color="auto" w:fill="auto"/>
        </w:tcPr>
        <w:p w:rsidR="000C15A2" w:rsidRPr="00EE45C1" w:rsidRDefault="000C15A2" w:rsidP="000C15A2">
          <w:pPr>
            <w:pStyle w:val="Header"/>
            <w:spacing w:before="120" w:line="240" w:lineRule="auto"/>
            <w:ind w:left="-72"/>
            <w:jc w:val="center"/>
            <w:rPr>
              <w:lang w:val="fr-CH"/>
            </w:rPr>
          </w:pPr>
          <w:r w:rsidRPr="00EE45C1">
            <w:rPr>
              <w:lang w:val="fr-CH"/>
            </w:rPr>
            <w:t xml:space="preserve">  </w:t>
          </w:r>
          <w:r w:rsidRPr="00EE45C1">
            <w:rPr>
              <w:noProof/>
              <w:lang w:val="en-GB" w:eastAsia="en-GB"/>
            </w:rPr>
            <w:drawing>
              <wp:inline distT="0" distB="0" distL="0" distR="0" wp14:anchorId="2ADB494F" wp14:editId="39982EA5">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0C15A2" w:rsidRPr="00EE45C1" w:rsidRDefault="000C15A2" w:rsidP="000C15A2">
          <w:pPr>
            <w:pStyle w:val="XLarge"/>
            <w:spacing w:before="109"/>
            <w:rPr>
              <w:lang w:val="fr-CH"/>
            </w:rPr>
          </w:pPr>
          <w:r w:rsidRPr="00EE45C1">
            <w:rPr>
              <w:lang w:val="fr-CH"/>
            </w:rPr>
            <w:t>Conseil économique et social</w:t>
          </w:r>
        </w:p>
      </w:tc>
      <w:tc>
        <w:tcPr>
          <w:tcW w:w="245" w:type="dxa"/>
          <w:tcBorders>
            <w:top w:val="single" w:sz="4" w:space="0" w:color="auto"/>
            <w:bottom w:val="single" w:sz="12" w:space="0" w:color="auto"/>
          </w:tcBorders>
          <w:shd w:val="clear" w:color="auto" w:fill="auto"/>
        </w:tcPr>
        <w:p w:rsidR="000C15A2" w:rsidRPr="00EE45C1" w:rsidRDefault="000C15A2" w:rsidP="000C15A2">
          <w:pPr>
            <w:pStyle w:val="Header"/>
            <w:spacing w:before="109"/>
            <w:rPr>
              <w:lang w:val="fr-CH"/>
            </w:rPr>
          </w:pPr>
        </w:p>
      </w:tc>
      <w:tc>
        <w:tcPr>
          <w:tcW w:w="3280" w:type="dxa"/>
          <w:tcBorders>
            <w:top w:val="single" w:sz="4" w:space="0" w:color="auto"/>
            <w:bottom w:val="single" w:sz="12" w:space="0" w:color="auto"/>
          </w:tcBorders>
          <w:shd w:val="clear" w:color="auto" w:fill="auto"/>
        </w:tcPr>
        <w:p w:rsidR="000C15A2" w:rsidRPr="00EE45C1" w:rsidRDefault="000C15A2" w:rsidP="000C15A2">
          <w:pPr>
            <w:pStyle w:val="Distribution"/>
            <w:rPr>
              <w:color w:val="000000"/>
              <w:lang w:val="fr-CH"/>
            </w:rPr>
          </w:pPr>
          <w:r w:rsidRPr="00EE45C1">
            <w:rPr>
              <w:color w:val="000000"/>
              <w:lang w:val="fr-CH"/>
            </w:rPr>
            <w:t>Distr. générale</w:t>
          </w:r>
        </w:p>
        <w:p w:rsidR="000C15A2" w:rsidRPr="00EE45C1" w:rsidRDefault="00EE45C1" w:rsidP="000C15A2">
          <w:pPr>
            <w:pStyle w:val="Publication"/>
            <w:rPr>
              <w:color w:val="000000"/>
              <w:lang w:val="fr-CH"/>
            </w:rPr>
          </w:pPr>
          <w:r>
            <w:rPr>
              <w:color w:val="000000"/>
              <w:lang w:val="fr-CH"/>
            </w:rPr>
            <w:t>22 </w:t>
          </w:r>
          <w:r w:rsidR="000C15A2" w:rsidRPr="00EE45C1">
            <w:rPr>
              <w:color w:val="000000"/>
              <w:lang w:val="fr-CH"/>
            </w:rPr>
            <w:t>septembre 2015</w:t>
          </w:r>
        </w:p>
        <w:p w:rsidR="000C15A2" w:rsidRPr="00EE45C1" w:rsidRDefault="000C15A2" w:rsidP="000C15A2">
          <w:pPr>
            <w:rPr>
              <w:lang w:val="fr-CH"/>
            </w:rPr>
          </w:pPr>
          <w:r w:rsidRPr="00EE45C1">
            <w:rPr>
              <w:lang w:val="fr-CH"/>
            </w:rPr>
            <w:t>Français</w:t>
          </w:r>
        </w:p>
        <w:p w:rsidR="000C15A2" w:rsidRPr="00EE45C1" w:rsidRDefault="00EE45C1" w:rsidP="000C15A2">
          <w:pPr>
            <w:pStyle w:val="Original"/>
            <w:rPr>
              <w:color w:val="000000"/>
              <w:lang w:val="fr-CH"/>
            </w:rPr>
          </w:pPr>
          <w:r>
            <w:rPr>
              <w:color w:val="000000"/>
              <w:lang w:val="fr-CH"/>
            </w:rPr>
            <w:t>Original </w:t>
          </w:r>
          <w:r w:rsidR="000C15A2" w:rsidRPr="00EE45C1">
            <w:rPr>
              <w:color w:val="000000"/>
              <w:lang w:val="fr-CH"/>
            </w:rPr>
            <w:t>: anglais</w:t>
          </w:r>
        </w:p>
      </w:tc>
    </w:tr>
  </w:tbl>
  <w:p w:rsidR="000C15A2" w:rsidRPr="00EE45C1" w:rsidRDefault="000C15A2" w:rsidP="000C15A2">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4A0CFF"/>
    <w:multiLevelType w:val="singleLevel"/>
    <w:tmpl w:val="057CB05A"/>
    <w:lvl w:ilvl="0">
      <w:start w:val="1"/>
      <w:numFmt w:val="decimal"/>
      <w:lvlRestart w:val="0"/>
      <w:lvlText w:val="%1."/>
      <w:lvlJc w:val="left"/>
      <w:pPr>
        <w:tabs>
          <w:tab w:val="num" w:pos="475"/>
        </w:tabs>
        <w:ind w:left="0" w:firstLine="0"/>
      </w:pPr>
      <w:rPr>
        <w:w w:val="100"/>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grammar="clean"/>
  <w:stylePaneSortMethod w:val="0003"/>
  <w:revisionView w:markup="0"/>
  <w:defaultTabStop w:val="475"/>
  <w:hyphenationZone w:val="425"/>
  <w:doNotHyphenateCaps/>
  <w:evenAndOddHeaders/>
  <w:characterSpacingControl w:val="doNotCompress"/>
  <w:hdrShapeDefaults>
    <o:shapedefaults v:ext="edit" spidmax="12289"/>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6073*"/>
    <w:docVar w:name="CreationDt" w:val="11/17/2015 4:30: PM"/>
    <w:docVar w:name="DocCategory" w:val="Doc"/>
    <w:docVar w:name="DocType" w:val="Final"/>
    <w:docVar w:name="DutyStation" w:val="Geneva"/>
    <w:docVar w:name="FooterJN" w:val="GE.15-16073"/>
    <w:docVar w:name="jobn" w:val="GE.15-16073 (F)"/>
    <w:docVar w:name="jobnDT" w:val="GE.15-16073 (F)   171115"/>
    <w:docVar w:name="jobnDTDT" w:val="GE.15-16073 (F)   171115   171115"/>
    <w:docVar w:name="JobNo" w:val="GE.1516073F"/>
    <w:docVar w:name="JobNo2" w:val="GE.1521493F"/>
    <w:docVar w:name="LocalDrive" w:val="0"/>
    <w:docVar w:name="OandT" w:val="N.Morin"/>
    <w:docVar w:name="PaperSize" w:val="A4"/>
    <w:docVar w:name="sss1" w:val="ECE/TRANS/WP.29/GRSP/2015/28"/>
    <w:docVar w:name="sss2" w:val="-"/>
    <w:docVar w:name="Symbol1" w:val="ECE/TRANS/WP.29/GRSP/2015/28"/>
    <w:docVar w:name="Symbol2" w:val="-"/>
  </w:docVars>
  <w:rsids>
    <w:rsidRoot w:val="00FD38A9"/>
    <w:rsid w:val="000015B8"/>
    <w:rsid w:val="000046A5"/>
    <w:rsid w:val="000055FB"/>
    <w:rsid w:val="00010C97"/>
    <w:rsid w:val="00013EE5"/>
    <w:rsid w:val="00016483"/>
    <w:rsid w:val="00022173"/>
    <w:rsid w:val="0002226F"/>
    <w:rsid w:val="00022B4A"/>
    <w:rsid w:val="00023E37"/>
    <w:rsid w:val="000249FF"/>
    <w:rsid w:val="00025DE5"/>
    <w:rsid w:val="000274C2"/>
    <w:rsid w:val="00033DC9"/>
    <w:rsid w:val="000378DE"/>
    <w:rsid w:val="00040497"/>
    <w:rsid w:val="00041ABD"/>
    <w:rsid w:val="00046145"/>
    <w:rsid w:val="00046D3E"/>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15A2"/>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307D"/>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D7EB7"/>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467A"/>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3D3F"/>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206E"/>
    <w:rsid w:val="007C29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06A0"/>
    <w:rsid w:val="00A329BC"/>
    <w:rsid w:val="00A33E3C"/>
    <w:rsid w:val="00A3426E"/>
    <w:rsid w:val="00A353ED"/>
    <w:rsid w:val="00A375D9"/>
    <w:rsid w:val="00A37FBB"/>
    <w:rsid w:val="00A4236C"/>
    <w:rsid w:val="00A43CAC"/>
    <w:rsid w:val="00A45E20"/>
    <w:rsid w:val="00A46DB8"/>
    <w:rsid w:val="00A52DF2"/>
    <w:rsid w:val="00A54A5E"/>
    <w:rsid w:val="00A55810"/>
    <w:rsid w:val="00A56CDD"/>
    <w:rsid w:val="00A56E3B"/>
    <w:rsid w:val="00A57C5A"/>
    <w:rsid w:val="00A64AD2"/>
    <w:rsid w:val="00A72C1F"/>
    <w:rsid w:val="00A72F5E"/>
    <w:rsid w:val="00A75482"/>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480F"/>
    <w:rsid w:val="00AC625F"/>
    <w:rsid w:val="00AC67C3"/>
    <w:rsid w:val="00AC6CA3"/>
    <w:rsid w:val="00AC6DB5"/>
    <w:rsid w:val="00AD3D04"/>
    <w:rsid w:val="00AD500D"/>
    <w:rsid w:val="00AD7C27"/>
    <w:rsid w:val="00AE0DF0"/>
    <w:rsid w:val="00AE10E9"/>
    <w:rsid w:val="00AE11C7"/>
    <w:rsid w:val="00AE164F"/>
    <w:rsid w:val="00AE2D40"/>
    <w:rsid w:val="00AE73A1"/>
    <w:rsid w:val="00AE743C"/>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31081"/>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756"/>
    <w:rsid w:val="00B70DA9"/>
    <w:rsid w:val="00B712B0"/>
    <w:rsid w:val="00B71478"/>
    <w:rsid w:val="00B71802"/>
    <w:rsid w:val="00B7200B"/>
    <w:rsid w:val="00B76414"/>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4253"/>
    <w:rsid w:val="00C45692"/>
    <w:rsid w:val="00C46175"/>
    <w:rsid w:val="00C472E3"/>
    <w:rsid w:val="00C47E57"/>
    <w:rsid w:val="00C5283F"/>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282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45C1"/>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38A9"/>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D7C73"/>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0C15A2"/>
    <w:rPr>
      <w:sz w:val="16"/>
      <w:szCs w:val="16"/>
    </w:rPr>
  </w:style>
  <w:style w:type="paragraph" w:styleId="CommentText">
    <w:name w:val="annotation text"/>
    <w:basedOn w:val="Normal"/>
    <w:link w:val="CommentTextChar"/>
    <w:uiPriority w:val="99"/>
    <w:semiHidden/>
    <w:unhideWhenUsed/>
    <w:rsid w:val="000C15A2"/>
    <w:pPr>
      <w:spacing w:line="240" w:lineRule="auto"/>
    </w:pPr>
    <w:rPr>
      <w:szCs w:val="20"/>
    </w:rPr>
  </w:style>
  <w:style w:type="character" w:customStyle="1" w:styleId="CommentTextChar">
    <w:name w:val="Comment Text Char"/>
    <w:basedOn w:val="DefaultParagraphFont"/>
    <w:link w:val="CommentText"/>
    <w:uiPriority w:val="99"/>
    <w:semiHidden/>
    <w:rsid w:val="000C15A2"/>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0C15A2"/>
    <w:rPr>
      <w:b/>
      <w:bCs/>
    </w:rPr>
  </w:style>
  <w:style w:type="character" w:customStyle="1" w:styleId="CommentSubjectChar">
    <w:name w:val="Comment Subject Char"/>
    <w:basedOn w:val="CommentTextChar"/>
    <w:link w:val="CommentSubject"/>
    <w:uiPriority w:val="99"/>
    <w:semiHidden/>
    <w:rsid w:val="000C15A2"/>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D7C73"/>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0C15A2"/>
    <w:rPr>
      <w:sz w:val="16"/>
      <w:szCs w:val="16"/>
    </w:rPr>
  </w:style>
  <w:style w:type="paragraph" w:styleId="CommentText">
    <w:name w:val="annotation text"/>
    <w:basedOn w:val="Normal"/>
    <w:link w:val="CommentTextChar"/>
    <w:uiPriority w:val="99"/>
    <w:semiHidden/>
    <w:unhideWhenUsed/>
    <w:rsid w:val="000C15A2"/>
    <w:pPr>
      <w:spacing w:line="240" w:lineRule="auto"/>
    </w:pPr>
    <w:rPr>
      <w:szCs w:val="20"/>
    </w:rPr>
  </w:style>
  <w:style w:type="character" w:customStyle="1" w:styleId="CommentTextChar">
    <w:name w:val="Comment Text Char"/>
    <w:basedOn w:val="DefaultParagraphFont"/>
    <w:link w:val="CommentText"/>
    <w:uiPriority w:val="99"/>
    <w:semiHidden/>
    <w:rsid w:val="000C15A2"/>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0C15A2"/>
    <w:rPr>
      <w:b/>
      <w:bCs/>
    </w:rPr>
  </w:style>
  <w:style w:type="character" w:customStyle="1" w:styleId="CommentSubjectChar">
    <w:name w:val="Comment Subject Char"/>
    <w:basedOn w:val="CommentTextChar"/>
    <w:link w:val="CommentSubject"/>
    <w:uiPriority w:val="99"/>
    <w:semiHidden/>
    <w:rsid w:val="000C15A2"/>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75ABD-5E69-415F-ADD8-9C04ED297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607</Words>
  <Characters>3466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Morin</dc:creator>
  <cp:lastModifiedBy>Benedicte Boudol</cp:lastModifiedBy>
  <cp:revision>2</cp:revision>
  <cp:lastPrinted>2015-11-17T15:51:00Z</cp:lastPrinted>
  <dcterms:created xsi:type="dcterms:W3CDTF">2015-11-18T10:22:00Z</dcterms:created>
  <dcterms:modified xsi:type="dcterms:W3CDTF">2015-11-18T10:22:00Z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1516073F</vt:lpwstr>
  </property>
  <property fmtid="{D5CDD505-2E9C-101B-9397-08002B2CF9AE}" pid="3" name="ODSRefJobNo">
    <vt:lpwstr>1521493F</vt:lpwstr>
  </property>
  <property fmtid="{D5CDD505-2E9C-101B-9397-08002B2CF9AE}" pid="4" name="Symbol1">
    <vt:lpwstr>ECE/TRANS/WP.29/GRSP/2015/28</vt:lpwstr>
  </property>
  <property fmtid="{D5CDD505-2E9C-101B-9397-08002B2CF9AE}" pid="5" name="Symbol2">
    <vt:lpwstr/>
  </property>
  <property fmtid="{D5CDD505-2E9C-101B-9397-08002B2CF9AE}" pid="6" name="Translator">
    <vt:lpwstr/>
  </property>
  <property fmtid="{D5CDD505-2E9C-101B-9397-08002B2CF9AE}" pid="7" name="Operator">
    <vt:lpwstr>N.Morin</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22 septembre 2015</vt:lpwstr>
  </property>
  <property fmtid="{D5CDD505-2E9C-101B-9397-08002B2CF9AE}" pid="12" name="Original">
    <vt:lpwstr>anglais</vt:lpwstr>
  </property>
  <property fmtid="{D5CDD505-2E9C-101B-9397-08002B2CF9AE}" pid="13" name="Release Date">
    <vt:lpwstr>171115</vt:lpwstr>
  </property>
</Properties>
</file>