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262ADB" w:rsidTr="00145C55">
        <w:tc>
          <w:tcPr>
            <w:tcW w:w="4962" w:type="dxa"/>
          </w:tcPr>
          <w:p w:rsidR="006A522A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2E1BD4">
              <w:rPr>
                <w:sz w:val="20"/>
                <w:szCs w:val="20"/>
                <w:lang w:val="en-GB"/>
              </w:rPr>
              <w:t xml:space="preserve">the </w:t>
            </w:r>
            <w:r w:rsidR="00121027">
              <w:rPr>
                <w:sz w:val="20"/>
                <w:szCs w:val="20"/>
                <w:lang w:val="en-GB"/>
              </w:rPr>
              <w:t xml:space="preserve">expert from </w:t>
            </w:r>
            <w:r w:rsidR="00C06BD5">
              <w:rPr>
                <w:sz w:val="20"/>
                <w:szCs w:val="20"/>
                <w:lang w:val="en-GB"/>
              </w:rPr>
              <w:t>Germany</w:t>
            </w:r>
            <w:r w:rsidR="002126EC">
              <w:rPr>
                <w:sz w:val="20"/>
                <w:szCs w:val="20"/>
                <w:lang w:val="en-GB"/>
              </w:rPr>
              <w:t xml:space="preserve"> </w:t>
            </w:r>
          </w:p>
          <w:p w:rsidR="00880B8B" w:rsidRDefault="00880B8B" w:rsidP="00121027">
            <w:pPr>
              <w:pStyle w:val="Header"/>
              <w:rPr>
                <w:sz w:val="20"/>
                <w:szCs w:val="20"/>
                <w:lang w:val="en-GB"/>
              </w:rPr>
            </w:pP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BB1E90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BB1E90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7B2E2A" w:rsidRPr="00BB1E90"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BB1E90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BB1E90">
              <w:rPr>
                <w:b/>
                <w:bCs/>
                <w:sz w:val="20"/>
                <w:szCs w:val="20"/>
                <w:lang w:val="en-GB"/>
              </w:rPr>
              <w:t>11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7B2E2A">
              <w:rPr>
                <w:sz w:val="20"/>
                <w:szCs w:val="20"/>
                <w:lang w:val="en-GB"/>
              </w:rPr>
              <w:t>9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7B2E2A">
              <w:rPr>
                <w:sz w:val="20"/>
                <w:szCs w:val="20"/>
                <w:lang w:val="en-GB"/>
              </w:rPr>
              <w:t>29 September  – 2</w:t>
            </w:r>
            <w:r w:rsidR="00C06BD5">
              <w:rPr>
                <w:sz w:val="20"/>
                <w:szCs w:val="20"/>
                <w:lang w:val="en-GB"/>
              </w:rPr>
              <w:t xml:space="preserve"> </w:t>
            </w:r>
            <w:r w:rsidR="007B2E2A">
              <w:rPr>
                <w:sz w:val="20"/>
                <w:szCs w:val="20"/>
                <w:lang w:val="en-GB"/>
              </w:rPr>
              <w:t>October 2015</w:t>
            </w:r>
          </w:p>
          <w:p w:rsidR="006A522A" w:rsidRPr="00262ADB" w:rsidRDefault="003D4BFE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0B4763">
              <w:rPr>
                <w:sz w:val="20"/>
                <w:szCs w:val="20"/>
                <w:lang w:val="en-GB"/>
              </w:rPr>
              <w:t>2(b</w:t>
            </w:r>
            <w:r w:rsidR="003841DE">
              <w:rPr>
                <w:sz w:val="20"/>
                <w:szCs w:val="20"/>
                <w:lang w:val="en-GB"/>
              </w:rPr>
              <w:t>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145C55" w:rsidRDefault="00145C55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C07DE9" w:rsidRDefault="002E1BD4" w:rsidP="000B4763">
      <w:pPr>
        <w:spacing w:line="240" w:lineRule="atLeast"/>
        <w:ind w:left="1276" w:right="454" w:firstLine="142"/>
        <w:rPr>
          <w:b/>
          <w:lang w:val="en-GB" w:eastAsia="en-US"/>
        </w:rPr>
      </w:pPr>
      <w:r w:rsidRPr="00E3312E">
        <w:rPr>
          <w:b/>
          <w:lang w:val="en-GB" w:eastAsia="en-US"/>
        </w:rPr>
        <w:t>Proposal for amendments to Regulation No. 107</w:t>
      </w:r>
      <w:r w:rsidR="00C07DE9">
        <w:rPr>
          <w:b/>
          <w:lang w:val="en-GB" w:eastAsia="en-US"/>
        </w:rPr>
        <w:t xml:space="preserve"> - </w:t>
      </w:r>
      <w:r w:rsidR="00145C55" w:rsidRPr="00E3312E">
        <w:rPr>
          <w:b/>
          <w:lang w:val="en-GB" w:eastAsia="en-US"/>
        </w:rPr>
        <w:t>M</w:t>
      </w:r>
      <w:r w:rsidR="00145C55" w:rsidRPr="00E3312E">
        <w:rPr>
          <w:b/>
          <w:vertAlign w:val="subscript"/>
          <w:lang w:val="en-GB" w:eastAsia="en-US"/>
        </w:rPr>
        <w:t>2</w:t>
      </w:r>
      <w:r w:rsidR="00145C55" w:rsidRPr="00E3312E">
        <w:rPr>
          <w:b/>
          <w:lang w:val="en-GB" w:eastAsia="en-US"/>
        </w:rPr>
        <w:t xml:space="preserve"> and M</w:t>
      </w:r>
      <w:r w:rsidR="00145C55" w:rsidRPr="00E3312E">
        <w:rPr>
          <w:b/>
          <w:vertAlign w:val="subscript"/>
          <w:lang w:val="en-GB" w:eastAsia="en-US"/>
        </w:rPr>
        <w:t>3</w:t>
      </w:r>
      <w:r w:rsidR="00306BB4">
        <w:rPr>
          <w:b/>
          <w:lang w:val="en-GB" w:eastAsia="en-US"/>
        </w:rPr>
        <w:t xml:space="preserve"> vehicles</w:t>
      </w:r>
    </w:p>
    <w:p w:rsidR="0018173C" w:rsidRPr="0018173C" w:rsidRDefault="0018173C" w:rsidP="002E1BD4">
      <w:pPr>
        <w:spacing w:line="240" w:lineRule="atLeast"/>
        <w:ind w:left="567" w:right="454"/>
        <w:rPr>
          <w:lang w:val="en-US"/>
        </w:rPr>
      </w:pPr>
    </w:p>
    <w:p w:rsidR="000B4763" w:rsidRPr="00BF7837" w:rsidRDefault="000B4763" w:rsidP="000B4763">
      <w:pPr>
        <w:ind w:left="1134" w:right="1134"/>
        <w:jc w:val="both"/>
        <w:rPr>
          <w:lang w:val="en-GB"/>
        </w:rPr>
      </w:pPr>
      <w:r w:rsidRPr="00BB1E90">
        <w:rPr>
          <w:lang w:val="en-GB"/>
        </w:rPr>
        <w:t>The text reproduced below was prepared by the expert from Germany proposing amendments to the provisions on emergency controls at service doors</w:t>
      </w:r>
      <w:r w:rsidR="00245DD2" w:rsidRPr="00245DD2">
        <w:rPr>
          <w:lang w:val="en-GB"/>
        </w:rPr>
        <w:t>.</w:t>
      </w:r>
      <w:r w:rsidR="00245DD2">
        <w:rPr>
          <w:lang w:val="en-GB"/>
        </w:rPr>
        <w:t xml:space="preserve"> It </w:t>
      </w:r>
      <w:r w:rsidRPr="000B4763">
        <w:rPr>
          <w:lang w:val="en-GB"/>
        </w:rPr>
        <w:t>supersedes</w:t>
      </w:r>
      <w:r w:rsidR="00245DD2">
        <w:rPr>
          <w:lang w:val="en-GB"/>
        </w:rPr>
        <w:t xml:space="preserve"> document</w:t>
      </w:r>
      <w:r w:rsidRPr="000B4763">
        <w:rPr>
          <w:lang w:val="en-GB"/>
        </w:rPr>
        <w:t xml:space="preserve"> </w:t>
      </w:r>
      <w:r w:rsidRPr="00245DD2">
        <w:rPr>
          <w:lang w:val="en-GB"/>
        </w:rPr>
        <w:t>ECE/TRANS/WP.29/GRSG/2015/18</w:t>
      </w:r>
      <w:r w:rsidRPr="00BB1E90">
        <w:rPr>
          <w:lang w:val="en-GB"/>
        </w:rPr>
        <w:t xml:space="preserve">. </w:t>
      </w:r>
      <w:r w:rsidRPr="00BF7837">
        <w:rPr>
          <w:lang w:val="en-GB"/>
        </w:rPr>
        <w:t>The modifications to the current text of Regulation No. 107 are marked in bold for new characters and strikethrough for deleted characters</w:t>
      </w:r>
      <w:r w:rsidRPr="00972ECE">
        <w:rPr>
          <w:lang w:val="en-US"/>
        </w:rPr>
        <w:t>.</w:t>
      </w:r>
    </w:p>
    <w:p w:rsidR="00121027" w:rsidRDefault="00121027" w:rsidP="00121027">
      <w:pPr>
        <w:pStyle w:val="HChG"/>
        <w:tabs>
          <w:tab w:val="clear" w:pos="851"/>
        </w:tabs>
        <w:ind w:hanging="567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Proposal</w:t>
      </w:r>
    </w:p>
    <w:p w:rsidR="000B4763" w:rsidRPr="00BB1E90" w:rsidRDefault="000B4763" w:rsidP="00245DD2">
      <w:pPr>
        <w:spacing w:after="120"/>
        <w:ind w:left="1134" w:right="1134"/>
        <w:jc w:val="both"/>
        <w:rPr>
          <w:i/>
          <w:lang w:val="en-GB"/>
        </w:rPr>
      </w:pPr>
      <w:r w:rsidRPr="00BB1E90">
        <w:rPr>
          <w:i/>
          <w:lang w:val="en-GB"/>
        </w:rPr>
        <w:t>Annex 3</w:t>
      </w:r>
    </w:p>
    <w:p w:rsidR="000B4763" w:rsidRPr="00BB1E90" w:rsidRDefault="000B4763" w:rsidP="000B4763">
      <w:pPr>
        <w:spacing w:after="120"/>
        <w:ind w:left="1134" w:right="1134"/>
        <w:jc w:val="both"/>
        <w:rPr>
          <w:i/>
          <w:lang w:val="en-GB"/>
        </w:rPr>
      </w:pPr>
      <w:r w:rsidRPr="00BB1E90">
        <w:rPr>
          <w:i/>
          <w:lang w:val="en-GB"/>
        </w:rPr>
        <w:t>Paragraph 7.6.5.1</w:t>
      </w:r>
      <w:r w:rsidR="00BB1E90">
        <w:rPr>
          <w:i/>
          <w:lang w:val="en-GB"/>
        </w:rPr>
        <w:t>.</w:t>
      </w:r>
      <w:r w:rsidRPr="00BB1E90">
        <w:rPr>
          <w:i/>
          <w:lang w:val="en-GB"/>
        </w:rPr>
        <w:t xml:space="preserve">, </w:t>
      </w:r>
      <w:r w:rsidRPr="00BB1E90">
        <w:rPr>
          <w:lang w:val="en-GB"/>
        </w:rPr>
        <w:t>amend to read:</w:t>
      </w:r>
    </w:p>
    <w:p w:rsidR="000B4763" w:rsidRPr="00BF7837" w:rsidRDefault="000B4763" w:rsidP="000B4763">
      <w:pPr>
        <w:spacing w:after="120"/>
        <w:ind w:left="2268" w:right="1134" w:hanging="1134"/>
        <w:jc w:val="both"/>
        <w:rPr>
          <w:b/>
          <w:bCs/>
          <w:lang w:val="en-GB"/>
        </w:rPr>
      </w:pPr>
      <w:r>
        <w:rPr>
          <w:lang w:val="en-US"/>
        </w:rPr>
        <w:t>"</w:t>
      </w:r>
      <w:r w:rsidRPr="00E62810">
        <w:rPr>
          <w:lang w:val="en-US"/>
        </w:rPr>
        <w:t>7.6.5.1.</w:t>
      </w:r>
      <w:r>
        <w:rPr>
          <w:lang w:val="en-US"/>
        </w:rPr>
        <w:tab/>
      </w:r>
      <w:r w:rsidRPr="00BF7837">
        <w:rPr>
          <w:bCs/>
          <w:lang w:val="en-GB"/>
        </w:rPr>
        <w:t xml:space="preserve">In the event of an emergency, every power-operated service door shall be capable, when the vehicle is stationary or driving at a speed less than or equal to </w:t>
      </w:r>
      <w:r w:rsidRPr="00BF7837">
        <w:rPr>
          <w:bCs/>
          <w:strike/>
          <w:lang w:val="en-GB"/>
        </w:rPr>
        <w:t>5</w:t>
      </w:r>
      <w:r w:rsidRPr="00BF7837">
        <w:rPr>
          <w:bCs/>
          <w:lang w:val="en-GB"/>
        </w:rPr>
        <w:t xml:space="preserve"> </w:t>
      </w:r>
      <w:r w:rsidRPr="00BF7837">
        <w:rPr>
          <w:b/>
          <w:bCs/>
          <w:lang w:val="en-GB"/>
        </w:rPr>
        <w:t>3</w:t>
      </w:r>
      <w:r w:rsidRPr="00BF7837">
        <w:rPr>
          <w:bCs/>
          <w:lang w:val="en-GB"/>
        </w:rPr>
        <w:t xml:space="preserve"> km/h, of being opened from inside and, when not locked, from outside by controls which, whether or not the power supply is operating:</w:t>
      </w:r>
      <w:r w:rsidRPr="00BF7837">
        <w:rPr>
          <w:b/>
          <w:bCs/>
          <w:lang w:val="en-GB"/>
        </w:rPr>
        <w:t xml:space="preserve"> </w:t>
      </w:r>
    </w:p>
    <w:p w:rsidR="000B4763" w:rsidRDefault="000B4763" w:rsidP="000B4763">
      <w:pPr>
        <w:spacing w:after="120"/>
        <w:ind w:left="2268" w:right="1134"/>
        <w:jc w:val="both"/>
        <w:rPr>
          <w:lang w:val="en-US"/>
        </w:rPr>
      </w:pPr>
      <w:r w:rsidRPr="00BB1E90">
        <w:rPr>
          <w:bCs/>
        </w:rPr>
        <w:t xml:space="preserve">… </w:t>
      </w:r>
      <w:r w:rsidRPr="0034413F">
        <w:rPr>
          <w:lang w:val="en-US"/>
        </w:rPr>
        <w:t>"</w:t>
      </w:r>
    </w:p>
    <w:p w:rsidR="000B4763" w:rsidRDefault="000B4763" w:rsidP="000B4763">
      <w:pPr>
        <w:spacing w:after="120"/>
        <w:ind w:left="1134" w:right="1134"/>
        <w:jc w:val="both"/>
        <w:rPr>
          <w:i/>
        </w:rPr>
      </w:pPr>
    </w:p>
    <w:p w:rsidR="000B4763" w:rsidRPr="003556C5" w:rsidRDefault="000B4763" w:rsidP="000B4763">
      <w:pPr>
        <w:spacing w:after="120"/>
        <w:ind w:left="1134" w:right="1134"/>
        <w:jc w:val="both"/>
        <w:rPr>
          <w:i/>
        </w:rPr>
      </w:pPr>
      <w:r w:rsidRPr="003556C5">
        <w:rPr>
          <w:i/>
        </w:rPr>
        <w:t xml:space="preserve">Paragraph 7.6.5.1.9., </w:t>
      </w:r>
      <w:r w:rsidRPr="00BB1E90">
        <w:t>amend to read:</w:t>
      </w:r>
    </w:p>
    <w:p w:rsidR="000B4763" w:rsidRDefault="000B4763" w:rsidP="000B4763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372C59">
        <w:rPr>
          <w:lang w:val="en-US"/>
        </w:rPr>
        <w:t>7.6.5.1.9.</w:t>
      </w:r>
      <w:r>
        <w:rPr>
          <w:lang w:val="en-US"/>
        </w:rPr>
        <w:tab/>
      </w:r>
      <w:proofErr w:type="gramStart"/>
      <w:r w:rsidRPr="001234B4">
        <w:rPr>
          <w:strike/>
          <w:lang w:val="en-GB"/>
        </w:rPr>
        <w:t>The</w:t>
      </w:r>
      <w:proofErr w:type="gramEnd"/>
      <w:r w:rsidRPr="001234B4">
        <w:rPr>
          <w:strike/>
          <w:lang w:val="en-GB"/>
        </w:rPr>
        <w:t xml:space="preserve"> doors shall be prevented from opening</w:t>
      </w:r>
      <w:r w:rsidRPr="001234B4">
        <w:rPr>
          <w:lang w:val="en-GB"/>
        </w:rPr>
        <w:t xml:space="preserve"> </w:t>
      </w:r>
      <w:r>
        <w:rPr>
          <w:b/>
          <w:lang w:val="en-US"/>
        </w:rPr>
        <w:t>I</w:t>
      </w:r>
      <w:r w:rsidRPr="00372C59">
        <w:rPr>
          <w:b/>
          <w:lang w:val="en-US"/>
        </w:rPr>
        <w:t>n the case of interior control</w:t>
      </w:r>
      <w:r>
        <w:rPr>
          <w:b/>
          <w:lang w:val="en-US"/>
        </w:rPr>
        <w:t>s,</w:t>
      </w:r>
      <w:r w:rsidRPr="00EF4D90">
        <w:rPr>
          <w:b/>
          <w:bCs/>
          <w:lang w:val="en-US"/>
        </w:rPr>
        <w:t xml:space="preserve"> shall be deactivated</w:t>
      </w:r>
      <w:r w:rsidRPr="001234B4">
        <w:rPr>
          <w:lang w:val="en-GB"/>
        </w:rPr>
        <w:t xml:space="preserve"> if the vehicle moves at a speed higher than </w:t>
      </w:r>
      <w:r w:rsidRPr="001234B4">
        <w:rPr>
          <w:strike/>
          <w:lang w:val="en-GB"/>
        </w:rPr>
        <w:t>5</w:t>
      </w:r>
      <w:r w:rsidRPr="001234B4">
        <w:rPr>
          <w:lang w:val="en-GB"/>
        </w:rPr>
        <w:t xml:space="preserve"> </w:t>
      </w:r>
      <w:r w:rsidRPr="001234B4">
        <w:rPr>
          <w:lang w:val="en-GB"/>
        </w:rPr>
        <w:tab/>
      </w:r>
      <w:r w:rsidRPr="001234B4">
        <w:rPr>
          <w:b/>
          <w:lang w:val="en-GB"/>
        </w:rPr>
        <w:t xml:space="preserve">3 </w:t>
      </w:r>
      <w:r w:rsidRPr="001234B4">
        <w:rPr>
          <w:lang w:val="en-GB"/>
        </w:rPr>
        <w:t>km/h.</w:t>
      </w:r>
      <w:r w:rsidRPr="00EF4D90">
        <w:rPr>
          <w:b/>
          <w:lang w:val="en-US"/>
        </w:rPr>
        <w:t xml:space="preserve"> </w:t>
      </w:r>
      <w:r w:rsidRPr="00E5085F">
        <w:rPr>
          <w:b/>
          <w:lang w:val="en-US"/>
        </w:rPr>
        <w:t>This requirement may be applied to exterior controls</w:t>
      </w:r>
      <w:r w:rsidRPr="0028086F">
        <w:rPr>
          <w:b/>
          <w:lang w:val="en-US"/>
        </w:rPr>
        <w:t>.</w:t>
      </w:r>
      <w:bookmarkStart w:id="0" w:name="_GoBack"/>
      <w:bookmarkEnd w:id="0"/>
      <w:r w:rsidRPr="0034413F">
        <w:rPr>
          <w:lang w:val="en-US"/>
        </w:rPr>
        <w:t>"</w:t>
      </w:r>
    </w:p>
    <w:p w:rsidR="00FD172B" w:rsidRPr="000B4763" w:rsidRDefault="00FD172B" w:rsidP="00AA2750">
      <w:pPr>
        <w:spacing w:after="120"/>
        <w:ind w:left="2268" w:right="1134" w:hanging="1134"/>
        <w:jc w:val="both"/>
        <w:rPr>
          <w:b/>
          <w:lang w:val="en-GB"/>
        </w:rPr>
      </w:pPr>
    </w:p>
    <w:p w:rsidR="00121027" w:rsidRDefault="00121027" w:rsidP="00121027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0B4763" w:rsidRDefault="000B4763" w:rsidP="00BB1E90">
      <w:pPr>
        <w:ind w:left="1134" w:right="1134"/>
        <w:jc w:val="both"/>
        <w:rPr>
          <w:lang w:val="en-GB"/>
        </w:rPr>
      </w:pPr>
      <w:r w:rsidRPr="000B4763">
        <w:rPr>
          <w:lang w:val="en-GB"/>
        </w:rPr>
        <w:t xml:space="preserve">It is proposed to clarify those paragraphs of Regulation </w:t>
      </w:r>
      <w:r w:rsidR="00BB1E90">
        <w:rPr>
          <w:lang w:val="en-GB"/>
        </w:rPr>
        <w:t xml:space="preserve">No. </w:t>
      </w:r>
      <w:r w:rsidRPr="000B4763">
        <w:rPr>
          <w:lang w:val="en-GB"/>
        </w:rPr>
        <w:t xml:space="preserve">107 that deal with the deactivation of emergency door controls to prevent doors from being opened while the vehicle moves. </w:t>
      </w:r>
      <w:proofErr w:type="gramStart"/>
      <w:r w:rsidRPr="000B4763">
        <w:rPr>
          <w:lang w:val="en-GB"/>
        </w:rPr>
        <w:t>Paragraph 7.6.5.1.9</w:t>
      </w:r>
      <w:r w:rsidR="00BB1E90">
        <w:rPr>
          <w:lang w:val="en-GB"/>
        </w:rPr>
        <w:t>.</w:t>
      </w:r>
      <w:proofErr w:type="gramEnd"/>
      <w:r w:rsidRPr="000B4763">
        <w:rPr>
          <w:lang w:val="en-GB"/>
        </w:rPr>
        <w:t xml:space="preserve"> is amended and its wording is aligned to the wording of the previous sub paragraphs.</w:t>
      </w:r>
    </w:p>
    <w:p w:rsidR="000B4763" w:rsidRPr="000B4763" w:rsidRDefault="000B4763" w:rsidP="00BB1E90">
      <w:pPr>
        <w:ind w:left="1134" w:right="1134"/>
        <w:jc w:val="both"/>
        <w:rPr>
          <w:lang w:val="en-GB"/>
        </w:rPr>
      </w:pPr>
    </w:p>
    <w:p w:rsidR="006E06DE" w:rsidRDefault="00BB1E90" w:rsidP="00BB1E90">
      <w:pPr>
        <w:ind w:left="1134" w:right="1134"/>
        <w:jc w:val="both"/>
        <w:rPr>
          <w:lang w:val="en-GB"/>
        </w:rPr>
      </w:pPr>
      <w:r>
        <w:rPr>
          <w:lang w:val="en-GB"/>
        </w:rPr>
        <w:t>Furthermore,</w:t>
      </w:r>
      <w:r w:rsidR="000B4763" w:rsidRPr="000B4763">
        <w:rPr>
          <w:lang w:val="en-GB"/>
        </w:rPr>
        <w:t xml:space="preserve"> the limit which rules the deactivation is reduced to 3 km/h, as a result </w:t>
      </w:r>
      <w:r>
        <w:rPr>
          <w:lang w:val="en-GB"/>
        </w:rPr>
        <w:t>o</w:t>
      </w:r>
      <w:r w:rsidR="000B4763" w:rsidRPr="000B4763">
        <w:rPr>
          <w:lang w:val="en-GB"/>
        </w:rPr>
        <w:t>f reports from bus operators</w:t>
      </w:r>
      <w:r w:rsidR="00FD172B">
        <w:rPr>
          <w:lang w:val="en-GB"/>
        </w:rPr>
        <w:t>.</w:t>
      </w:r>
    </w:p>
    <w:p w:rsidR="00BB1E90" w:rsidRPr="00FD172B" w:rsidRDefault="00BB1E90" w:rsidP="00BB1E90">
      <w:pPr>
        <w:ind w:left="1134" w:right="1134"/>
        <w:jc w:val="both"/>
        <w:rPr>
          <w:lang w:val="en-GB"/>
        </w:rPr>
      </w:pPr>
    </w:p>
    <w:p w:rsidR="00471B60" w:rsidRPr="00FD1A35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FD1A35" w:rsidSect="008F420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1" w:rsidRDefault="00AC6791">
      <w:r>
        <w:separator/>
      </w:r>
    </w:p>
  </w:endnote>
  <w:endnote w:type="continuationSeparator" w:id="0">
    <w:p w:rsidR="00AC6791" w:rsidRDefault="00A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0B4763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1" w:rsidRDefault="00AC6791">
      <w:r>
        <w:separator/>
      </w:r>
    </w:p>
  </w:footnote>
  <w:footnote w:type="continuationSeparator" w:id="0">
    <w:p w:rsidR="00AC6791" w:rsidRDefault="00AC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78B6"/>
    <w:rsid w:val="0012023F"/>
    <w:rsid w:val="00121027"/>
    <w:rsid w:val="00123098"/>
    <w:rsid w:val="001234B4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6D06"/>
    <w:rsid w:val="001807EC"/>
    <w:rsid w:val="0018173C"/>
    <w:rsid w:val="00182670"/>
    <w:rsid w:val="001848B1"/>
    <w:rsid w:val="00184E95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2126EC"/>
    <w:rsid w:val="0022125F"/>
    <w:rsid w:val="002277BD"/>
    <w:rsid w:val="00230E7E"/>
    <w:rsid w:val="0023214B"/>
    <w:rsid w:val="00232C41"/>
    <w:rsid w:val="00232C46"/>
    <w:rsid w:val="00245DD2"/>
    <w:rsid w:val="00245FBE"/>
    <w:rsid w:val="00256BD5"/>
    <w:rsid w:val="0025763B"/>
    <w:rsid w:val="00260077"/>
    <w:rsid w:val="002613B5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484A"/>
    <w:rsid w:val="005F3064"/>
    <w:rsid w:val="005F35B5"/>
    <w:rsid w:val="005F7ECB"/>
    <w:rsid w:val="00602033"/>
    <w:rsid w:val="00605C17"/>
    <w:rsid w:val="0060740C"/>
    <w:rsid w:val="00610786"/>
    <w:rsid w:val="0061147B"/>
    <w:rsid w:val="00620D33"/>
    <w:rsid w:val="00621FA4"/>
    <w:rsid w:val="00636865"/>
    <w:rsid w:val="00647164"/>
    <w:rsid w:val="0066005C"/>
    <w:rsid w:val="00675210"/>
    <w:rsid w:val="0067697C"/>
    <w:rsid w:val="0068778F"/>
    <w:rsid w:val="006930A7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A7202"/>
    <w:rsid w:val="008B31B5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4A16"/>
    <w:rsid w:val="00AC6791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1E90"/>
    <w:rsid w:val="00BB23CB"/>
    <w:rsid w:val="00BC3632"/>
    <w:rsid w:val="00BC3C24"/>
    <w:rsid w:val="00BC600B"/>
    <w:rsid w:val="00BD1C4E"/>
    <w:rsid w:val="00BD461D"/>
    <w:rsid w:val="00BE1CD6"/>
    <w:rsid w:val="00BE315C"/>
    <w:rsid w:val="00BE6446"/>
    <w:rsid w:val="00BF1910"/>
    <w:rsid w:val="00BF3FA0"/>
    <w:rsid w:val="00BF4FDD"/>
    <w:rsid w:val="00BF54FA"/>
    <w:rsid w:val="00BF5816"/>
    <w:rsid w:val="00BF5BE4"/>
    <w:rsid w:val="00BF6D67"/>
    <w:rsid w:val="00BF783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D0CB4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13E6"/>
    <w:rsid w:val="00F53F88"/>
    <w:rsid w:val="00F61A46"/>
    <w:rsid w:val="00F62E4D"/>
    <w:rsid w:val="00F66AB8"/>
    <w:rsid w:val="00F72FCC"/>
    <w:rsid w:val="00F7526B"/>
    <w:rsid w:val="00F77AA2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Becker, Michael (EVOMA)</dc:creator>
  <cp:lastModifiedBy>Hubert Romain</cp:lastModifiedBy>
  <cp:revision>4</cp:revision>
  <cp:lastPrinted>2015-09-02T06:44:00Z</cp:lastPrinted>
  <dcterms:created xsi:type="dcterms:W3CDTF">2015-09-22T08:11:00Z</dcterms:created>
  <dcterms:modified xsi:type="dcterms:W3CDTF">2015-09-24T09:49:00Z</dcterms:modified>
</cp:coreProperties>
</file>