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4C" w:rsidRDefault="000C674C" w:rsidP="000C674C">
      <w:pPr>
        <w:spacing w:line="240" w:lineRule="auto"/>
        <w:rPr>
          <w:sz w:val="2"/>
        </w:rPr>
        <w:sectPr w:rsidR="000C674C" w:rsidSect="000C674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0C674C" w:rsidRDefault="000C674C" w:rsidP="000C674C">
      <w:pPr>
        <w:pStyle w:val="H1"/>
        <w:spacing w:after="120"/>
        <w:rPr>
          <w:sz w:val="28"/>
        </w:rPr>
      </w:pPr>
      <w:r>
        <w:rPr>
          <w:sz w:val="28"/>
        </w:rPr>
        <w:lastRenderedPageBreak/>
        <w:t>Commission économique pour l’Europe</w:t>
      </w:r>
    </w:p>
    <w:p w:rsidR="000C674C" w:rsidRDefault="000C674C" w:rsidP="000C674C">
      <w:pPr>
        <w:pStyle w:val="H1"/>
        <w:spacing w:after="120" w:line="300" w:lineRule="exact"/>
        <w:rPr>
          <w:b w:val="0"/>
          <w:sz w:val="28"/>
        </w:rPr>
      </w:pPr>
      <w:r>
        <w:rPr>
          <w:b w:val="0"/>
          <w:sz w:val="28"/>
        </w:rPr>
        <w:t>Comité des transports intérieurs</w:t>
      </w:r>
    </w:p>
    <w:p w:rsidR="000B2E3A" w:rsidRDefault="000B2E3A" w:rsidP="00F55B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B2E3A">
        <w:rPr>
          <w:lang w:val="fr-FR"/>
        </w:rPr>
        <w:t>Forum mon</w:t>
      </w:r>
      <w:bookmarkStart w:id="2" w:name="insstart"/>
      <w:bookmarkEnd w:id="2"/>
      <w:r w:rsidRPr="000B2E3A">
        <w:rPr>
          <w:lang w:val="fr-FR"/>
        </w:rPr>
        <w:t xml:space="preserve">dial de l’harmonisation </w:t>
      </w:r>
      <w:r w:rsidR="000F313F">
        <w:rPr>
          <w:lang w:val="fr-FR"/>
        </w:rPr>
        <w:br/>
      </w:r>
      <w:r w:rsidRPr="000B2E3A">
        <w:rPr>
          <w:lang w:val="fr-FR"/>
        </w:rPr>
        <w:t>des Règlements concernant les véhicules</w:t>
      </w:r>
    </w:p>
    <w:p w:rsidR="000B2E3A" w:rsidRPr="000B2E3A" w:rsidRDefault="000B2E3A" w:rsidP="000B2E3A">
      <w:pPr>
        <w:spacing w:line="120" w:lineRule="exact"/>
        <w:rPr>
          <w:sz w:val="10"/>
          <w:lang w:val="fr-FR"/>
        </w:rPr>
      </w:pPr>
    </w:p>
    <w:p w:rsidR="000B2E3A" w:rsidRPr="001A4214" w:rsidRDefault="000B2E3A" w:rsidP="0030025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A4214">
        <w:rPr>
          <w:lang w:val="fr-FR"/>
        </w:rPr>
        <w:t>Groupe de travail des dispositions générales de sécurité</w:t>
      </w:r>
    </w:p>
    <w:p w:rsidR="000B2E3A" w:rsidRPr="000B2E3A" w:rsidRDefault="000B2E3A" w:rsidP="000B2E3A">
      <w:pPr>
        <w:spacing w:line="120" w:lineRule="exact"/>
        <w:rPr>
          <w:sz w:val="10"/>
          <w:lang w:val="fr-FR"/>
        </w:rPr>
      </w:pPr>
    </w:p>
    <w:p w:rsidR="000B2E3A" w:rsidRPr="000B2E3A" w:rsidRDefault="000B2E3A" w:rsidP="000B2E3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B2E3A">
        <w:rPr>
          <w:lang w:val="fr-FR"/>
        </w:rPr>
        <w:t>109</w:t>
      </w:r>
      <w:r w:rsidRPr="000B2E3A">
        <w:rPr>
          <w:vertAlign w:val="superscript"/>
          <w:lang w:val="fr-FR"/>
        </w:rPr>
        <w:t>e</w:t>
      </w:r>
      <w:r w:rsidRPr="000B2E3A">
        <w:rPr>
          <w:lang w:val="fr-FR"/>
        </w:rPr>
        <w:t xml:space="preserve"> session</w:t>
      </w:r>
    </w:p>
    <w:p w:rsidR="000B2E3A" w:rsidRPr="000B2E3A" w:rsidRDefault="000B2E3A" w:rsidP="000B2E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29 </w:t>
      </w:r>
      <w:r w:rsidRPr="000B2E3A">
        <w:rPr>
          <w:lang w:val="fr-FR"/>
        </w:rPr>
        <w:t>septembre</w:t>
      </w:r>
      <w:r>
        <w:rPr>
          <w:lang w:val="fr-FR"/>
        </w:rPr>
        <w:t>-2 </w:t>
      </w:r>
      <w:r w:rsidRPr="000B2E3A">
        <w:rPr>
          <w:lang w:val="fr-FR"/>
        </w:rPr>
        <w:t>octobre 2015</w:t>
      </w:r>
    </w:p>
    <w:p w:rsidR="000B2E3A" w:rsidRPr="000B2E3A" w:rsidRDefault="000B2E3A" w:rsidP="000B2E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B2E3A">
        <w:rPr>
          <w:lang w:val="fr-FR"/>
        </w:rPr>
        <w:t>Point 11 de l’ordre du jour provisoire</w:t>
      </w:r>
    </w:p>
    <w:p w:rsidR="000B2E3A" w:rsidRPr="00F55B27" w:rsidRDefault="000B2E3A" w:rsidP="000F313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55B27">
        <w:rPr>
          <w:lang w:val="fr-FR"/>
        </w:rPr>
        <w:t>Règlement n</w:t>
      </w:r>
      <w:r w:rsidRPr="00F55B27">
        <w:rPr>
          <w:vertAlign w:val="superscript"/>
          <w:lang w:val="fr-FR"/>
        </w:rPr>
        <w:t>o</w:t>
      </w:r>
      <w:r w:rsidRPr="00F55B27">
        <w:rPr>
          <w:lang w:val="fr-FR"/>
        </w:rPr>
        <w:t xml:space="preserve"> 110 (Organes spéciaux des véhicules </w:t>
      </w:r>
      <w:r w:rsidR="000F313F">
        <w:rPr>
          <w:lang w:val="fr-FR"/>
        </w:rPr>
        <w:br/>
      </w:r>
      <w:r w:rsidRPr="00F55B27">
        <w:rPr>
          <w:lang w:val="fr-FR"/>
        </w:rPr>
        <w:t>alimentés au GNC)</w:t>
      </w:r>
    </w:p>
    <w:p w:rsidR="000B2E3A" w:rsidRPr="000B2E3A" w:rsidRDefault="000B2E3A" w:rsidP="000B2E3A">
      <w:pPr>
        <w:spacing w:line="120" w:lineRule="exact"/>
        <w:rPr>
          <w:sz w:val="10"/>
          <w:lang w:val="fr-FR"/>
        </w:rPr>
      </w:pPr>
    </w:p>
    <w:p w:rsidR="000B2E3A" w:rsidRPr="000B2E3A" w:rsidRDefault="000B2E3A" w:rsidP="000B2E3A">
      <w:pPr>
        <w:spacing w:line="120" w:lineRule="exact"/>
        <w:rPr>
          <w:sz w:val="10"/>
          <w:lang w:val="fr-FR"/>
        </w:rPr>
      </w:pPr>
    </w:p>
    <w:p w:rsidR="000B2E3A" w:rsidRPr="000B2E3A" w:rsidRDefault="000B2E3A" w:rsidP="000B2E3A">
      <w:pPr>
        <w:spacing w:line="120" w:lineRule="exact"/>
        <w:rPr>
          <w:sz w:val="10"/>
          <w:lang w:val="fr-FR"/>
        </w:rPr>
      </w:pPr>
    </w:p>
    <w:p w:rsidR="000B2E3A" w:rsidRDefault="000B2E3A" w:rsidP="000B2E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0B2E3A">
        <w:rPr>
          <w:lang w:val="fr-FR"/>
        </w:rPr>
        <w:t>Proposition de série 02 d’amendements au Règlement</w:t>
      </w:r>
      <w:r>
        <w:rPr>
          <w:lang w:val="fr-FR"/>
        </w:rPr>
        <w:t xml:space="preserve"> </w:t>
      </w:r>
      <w:r w:rsidR="00C57CC8">
        <w:rPr>
          <w:lang w:val="fr-FR"/>
        </w:rPr>
        <w:br/>
      </w:r>
      <w:r w:rsidRPr="00C57CC8">
        <w:rPr>
          <w:spacing w:val="-3"/>
          <w:lang w:val="fr-FR"/>
        </w:rPr>
        <w:t>n</w:t>
      </w:r>
      <w:r w:rsidRPr="00C57CC8">
        <w:rPr>
          <w:spacing w:val="-3"/>
          <w:vertAlign w:val="superscript"/>
          <w:lang w:val="fr-FR"/>
        </w:rPr>
        <w:t>o</w:t>
      </w:r>
      <w:r w:rsidRPr="00C57CC8">
        <w:rPr>
          <w:spacing w:val="-3"/>
          <w:lang w:val="fr-FR"/>
        </w:rPr>
        <w:t> 110 (Organes spéciaux des véhicules alimentés au GNC)</w:t>
      </w:r>
    </w:p>
    <w:p w:rsidR="000B2E3A" w:rsidRPr="000B2E3A" w:rsidRDefault="000B2E3A" w:rsidP="000B2E3A">
      <w:pPr>
        <w:pStyle w:val="SingleTxt"/>
        <w:spacing w:after="0" w:line="120" w:lineRule="exact"/>
        <w:rPr>
          <w:sz w:val="10"/>
          <w:lang w:val="fr-FR"/>
        </w:rPr>
      </w:pPr>
    </w:p>
    <w:p w:rsidR="000B2E3A" w:rsidRPr="000B2E3A" w:rsidRDefault="000B2E3A" w:rsidP="000B2E3A">
      <w:pPr>
        <w:pStyle w:val="SingleTxt"/>
        <w:spacing w:after="0" w:line="120" w:lineRule="exact"/>
        <w:rPr>
          <w:sz w:val="10"/>
          <w:lang w:val="fr-FR"/>
        </w:rPr>
      </w:pPr>
    </w:p>
    <w:p w:rsidR="000B2E3A" w:rsidRPr="00C57CC8" w:rsidRDefault="00C57CC8" w:rsidP="00C57C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B2E3A" w:rsidRPr="000B2E3A">
        <w:rPr>
          <w:lang w:val="fr-FR"/>
        </w:rPr>
        <w:t>Communication de l’expert du Japon</w:t>
      </w:r>
      <w:r w:rsidRPr="00CF18CE">
        <w:rPr>
          <w:rStyle w:val="FootnoteReference"/>
          <w:b w:val="0"/>
          <w:color w:val="auto"/>
          <w:sz w:val="20"/>
          <w:szCs w:val="20"/>
          <w:vertAlign w:val="baseline"/>
          <w:lang w:val="fr-FR"/>
        </w:rPr>
        <w:footnoteReference w:customMarkFollows="1" w:id="1"/>
        <w:t>*</w:t>
      </w:r>
    </w:p>
    <w:p w:rsidR="000B2E3A" w:rsidRPr="000B2E3A" w:rsidRDefault="000B2E3A" w:rsidP="000B2E3A">
      <w:pPr>
        <w:pStyle w:val="SingleTxt"/>
        <w:spacing w:after="0" w:line="120" w:lineRule="exact"/>
        <w:rPr>
          <w:b/>
          <w:sz w:val="10"/>
          <w:vertAlign w:val="superscript"/>
          <w:lang w:val="fr-FR"/>
        </w:rPr>
      </w:pPr>
    </w:p>
    <w:p w:rsidR="000B2E3A" w:rsidRPr="000B2E3A" w:rsidRDefault="000B2E3A" w:rsidP="000B2E3A">
      <w:pPr>
        <w:pStyle w:val="SingleTxt"/>
        <w:spacing w:after="0" w:line="120" w:lineRule="exact"/>
        <w:rPr>
          <w:b/>
          <w:sz w:val="10"/>
          <w:vertAlign w:val="superscript"/>
          <w:lang w:val="fr-FR"/>
        </w:rPr>
      </w:pPr>
    </w:p>
    <w:p w:rsidR="000C674C" w:rsidRDefault="000B2E3A" w:rsidP="000B2E3A">
      <w:pPr>
        <w:pStyle w:val="SingleTxt"/>
        <w:rPr>
          <w:lang w:val="fr-FR"/>
        </w:rPr>
      </w:pPr>
      <w:r>
        <w:rPr>
          <w:lang w:val="fr-FR"/>
        </w:rPr>
        <w:tab/>
      </w:r>
      <w:r w:rsidRPr="000B2E3A">
        <w:rPr>
          <w:lang w:val="fr-FR"/>
        </w:rPr>
        <w:t xml:space="preserve">Le texte ci-après, établi par l’expert du Japon, propose de supprimer les </w:t>
      </w:r>
      <w:proofErr w:type="gramStart"/>
      <w:r w:rsidRPr="000B2E3A">
        <w:rPr>
          <w:lang w:val="fr-FR"/>
        </w:rPr>
        <w:t>dispositions</w:t>
      </w:r>
      <w:proofErr w:type="gramEnd"/>
      <w:r w:rsidRPr="000B2E3A">
        <w:rPr>
          <w:lang w:val="fr-FR"/>
        </w:rPr>
        <w:t xml:space="preserve"> concernant les constructions soudées de bouteilles ou liners métalliques destinés à contenir du gaz naturel comprimé (GNC), y compris les bouteilles à GNC en acier à haute résistance. Il est fondé s</w:t>
      </w:r>
      <w:r w:rsidR="00B912B6">
        <w:rPr>
          <w:lang w:val="fr-FR"/>
        </w:rPr>
        <w:t>ur les documents informels GRSG-</w:t>
      </w:r>
      <w:r w:rsidRPr="000B2E3A">
        <w:rPr>
          <w:lang w:val="fr-FR"/>
        </w:rPr>
        <w:t>107-09, GRSG-107-37 et GRSG-108-11, qui ont été distribués lors des sessions précédentes du Groupe de travail des dispositions générales de sécurité (GRSG) (voir le rapport</w:t>
      </w:r>
      <w:r w:rsidR="00C57CC8">
        <w:rPr>
          <w:lang w:val="fr-FR"/>
        </w:rPr>
        <w:t xml:space="preserve"> ECE/TRANS/</w:t>
      </w:r>
      <w:r>
        <w:rPr>
          <w:lang w:val="fr-FR"/>
        </w:rPr>
        <w:t>WP.29/GRSG/87, par. </w:t>
      </w:r>
      <w:r w:rsidRPr="000B2E3A">
        <w:rPr>
          <w:lang w:val="fr-FR"/>
        </w:rPr>
        <w:t>43). Les modifications qu’il est proposé d’apporter au texte actuel du Règlement n</w:t>
      </w:r>
      <w:r w:rsidRPr="000B2E3A">
        <w:rPr>
          <w:vertAlign w:val="superscript"/>
          <w:lang w:val="fr-FR"/>
        </w:rPr>
        <w:t>o</w:t>
      </w:r>
      <w:r>
        <w:rPr>
          <w:lang w:val="fr-FR"/>
        </w:rPr>
        <w:t> 1</w:t>
      </w:r>
      <w:r w:rsidRPr="000B2E3A">
        <w:rPr>
          <w:lang w:val="fr-FR"/>
        </w:rPr>
        <w:t>10 sont signalées en caractères gras pour les ajouts ou biffés pour les suppressions.</w:t>
      </w:r>
    </w:p>
    <w:p w:rsidR="007F4696" w:rsidRDefault="007F4696">
      <w:pPr>
        <w:spacing w:line="240" w:lineRule="auto"/>
        <w:rPr>
          <w:lang w:val="fr-FR"/>
        </w:rPr>
      </w:pPr>
      <w:r>
        <w:rPr>
          <w:lang w:val="fr-FR"/>
        </w:rPr>
        <w:br w:type="page"/>
      </w:r>
    </w:p>
    <w:p w:rsidR="00383E9C" w:rsidRDefault="00383E9C" w:rsidP="00383E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383E9C">
        <w:rPr>
          <w:lang w:val="fr-FR"/>
        </w:rPr>
        <w:t>I.</w:t>
      </w:r>
      <w:r w:rsidRPr="00383E9C">
        <w:rPr>
          <w:lang w:val="fr-FR"/>
        </w:rPr>
        <w:tab/>
        <w:t>Proposition</w:t>
      </w:r>
    </w:p>
    <w:p w:rsidR="00383E9C" w:rsidRPr="00383E9C" w:rsidRDefault="00383E9C" w:rsidP="00383E9C">
      <w:pPr>
        <w:pStyle w:val="SingleTxt"/>
        <w:spacing w:after="0" w:line="120" w:lineRule="exact"/>
        <w:rPr>
          <w:sz w:val="10"/>
          <w:lang w:val="fr-FR"/>
        </w:rPr>
      </w:pPr>
    </w:p>
    <w:p w:rsidR="00383E9C" w:rsidRPr="00383E9C" w:rsidRDefault="00383E9C" w:rsidP="00383E9C">
      <w:pPr>
        <w:pStyle w:val="SingleTxt"/>
        <w:spacing w:after="0" w:line="120" w:lineRule="exact"/>
        <w:rPr>
          <w:sz w:val="10"/>
          <w:lang w:val="fr-FR"/>
        </w:rPr>
      </w:pPr>
    </w:p>
    <w:p w:rsidR="00383E9C" w:rsidRPr="00383E9C" w:rsidRDefault="00383E9C" w:rsidP="00383E9C">
      <w:pPr>
        <w:pStyle w:val="SingleTxt"/>
        <w:rPr>
          <w:lang w:val="fr-FR"/>
        </w:rPr>
      </w:pPr>
      <w:r w:rsidRPr="00383E9C">
        <w:rPr>
          <w:i/>
          <w:lang w:val="fr-FR"/>
        </w:rPr>
        <w:t>Paragraphe 2</w:t>
      </w:r>
      <w:r w:rsidRPr="00383E9C">
        <w:rPr>
          <w:lang w:val="fr-FR"/>
        </w:rPr>
        <w:t>, modifier comme suit (supprimer deux références)</w:t>
      </w:r>
      <w:r>
        <w:rPr>
          <w:lang w:val="fr-FR"/>
        </w:rPr>
        <w:t> </w:t>
      </w:r>
      <w:r w:rsidRPr="00383E9C">
        <w:rPr>
          <w:lang w:val="fr-FR"/>
        </w:rPr>
        <w:t>:</w:t>
      </w:r>
    </w:p>
    <w:p w:rsidR="00383E9C" w:rsidRPr="00383E9C" w:rsidRDefault="00383E9C" w:rsidP="00383E9C">
      <w:pPr>
        <w:pStyle w:val="SingleTxt"/>
        <w:rPr>
          <w:lang w:val="fr-FR"/>
        </w:rPr>
      </w:pPr>
      <w:r>
        <w:rPr>
          <w:lang w:val="fr-FR"/>
        </w:rPr>
        <w:t>« </w:t>
      </w:r>
      <w:r w:rsidRPr="00383E9C">
        <w:rPr>
          <w:lang w:val="fr-FR"/>
        </w:rPr>
        <w:t>2.</w:t>
      </w:r>
      <w:r w:rsidRPr="00383E9C">
        <w:rPr>
          <w:lang w:val="fr-FR"/>
        </w:rPr>
        <w:tab/>
      </w:r>
      <w:r>
        <w:rPr>
          <w:lang w:val="fr-FR"/>
        </w:rPr>
        <w:tab/>
      </w:r>
      <w:r w:rsidRPr="00383E9C">
        <w:rPr>
          <w:lang w:val="fr-FR"/>
        </w:rPr>
        <w:t>Références</w:t>
      </w:r>
    </w:p>
    <w:p w:rsidR="00383E9C" w:rsidRPr="00383E9C" w:rsidRDefault="00383E9C" w:rsidP="00383E9C">
      <w:pPr>
        <w:pStyle w:val="SingleTxt"/>
        <w:rPr>
          <w:lang w:val="fr-FR"/>
        </w:rPr>
      </w:pPr>
      <w:r>
        <w:rPr>
          <w:lang w:val="fr-FR"/>
        </w:rPr>
        <w:tab/>
      </w:r>
      <w:r>
        <w:rPr>
          <w:lang w:val="fr-FR"/>
        </w:rPr>
        <w:tab/>
        <w:t>…</w:t>
      </w:r>
    </w:p>
    <w:p w:rsidR="00383E9C" w:rsidRPr="00383E9C" w:rsidRDefault="00383E9C" w:rsidP="00383E9C">
      <w:pPr>
        <w:pStyle w:val="SingleTxt"/>
        <w:rPr>
          <w:lang w:val="fr-FR"/>
        </w:rPr>
      </w:pPr>
      <w:r w:rsidRPr="00383E9C">
        <w:rPr>
          <w:lang w:val="fr-FR"/>
        </w:rPr>
        <w:tab/>
      </w:r>
      <w:r>
        <w:rPr>
          <w:lang w:val="fr-FR"/>
        </w:rPr>
        <w:tab/>
      </w:r>
      <w:r w:rsidRPr="00383E9C">
        <w:rPr>
          <w:lang w:val="fr-FR"/>
        </w:rPr>
        <w:t>Normes EN</w:t>
      </w:r>
      <w:r w:rsidRPr="00383E9C">
        <w:rPr>
          <w:vertAlign w:val="superscript"/>
          <w:lang w:val="fr-FR"/>
        </w:rPr>
        <w:t>4</w:t>
      </w:r>
    </w:p>
    <w:p w:rsidR="00383E9C" w:rsidRPr="00383E9C" w:rsidRDefault="00383E9C" w:rsidP="00383E9C">
      <w:pPr>
        <w:pStyle w:val="SingleTxt"/>
        <w:ind w:left="2218" w:hanging="951"/>
        <w:rPr>
          <w:strike/>
          <w:lang w:val="fr-FR"/>
        </w:rPr>
      </w:pPr>
      <w:r w:rsidRPr="00383E9C">
        <w:rPr>
          <w:lang w:val="fr-FR"/>
        </w:rPr>
        <w:tab/>
      </w:r>
      <w:r>
        <w:rPr>
          <w:lang w:val="fr-FR"/>
        </w:rPr>
        <w:tab/>
      </w:r>
      <w:r w:rsidRPr="00383E9C">
        <w:rPr>
          <w:strike/>
          <w:lang w:val="fr-FR"/>
        </w:rPr>
        <w:t>EN 13322-2 2003</w:t>
      </w:r>
      <w:r>
        <w:rPr>
          <w:strike/>
          <w:lang w:val="fr-FR"/>
        </w:rPr>
        <w:tab/>
      </w:r>
      <w:r w:rsidRPr="00383E9C">
        <w:rPr>
          <w:strike/>
          <w:lang w:val="fr-FR"/>
        </w:rPr>
        <w:t>Bouteilles à gaz transportables − Bouteilles à gaz rechargeables soudées en acier − Conception et construction − Partie 2 : acier inoxydable</w:t>
      </w:r>
    </w:p>
    <w:p w:rsidR="00383E9C" w:rsidRPr="00383E9C" w:rsidRDefault="00383E9C" w:rsidP="00383E9C">
      <w:pPr>
        <w:pStyle w:val="SingleTxt"/>
        <w:ind w:left="2218" w:hanging="951"/>
        <w:rPr>
          <w:strike/>
          <w:lang w:val="fr-FR"/>
        </w:rPr>
      </w:pPr>
      <w:r w:rsidRPr="00383E9C">
        <w:rPr>
          <w:lang w:val="fr-FR"/>
        </w:rPr>
        <w:tab/>
      </w:r>
      <w:r>
        <w:rPr>
          <w:lang w:val="fr-FR"/>
        </w:rPr>
        <w:tab/>
      </w:r>
      <w:r w:rsidRPr="00383E9C">
        <w:rPr>
          <w:strike/>
          <w:lang w:val="fr-FR"/>
        </w:rPr>
        <w:t>EN ISO 5817 2003</w:t>
      </w:r>
      <w:r>
        <w:rPr>
          <w:strike/>
          <w:lang w:val="fr-CH"/>
        </w:rPr>
        <w:tab/>
      </w:r>
      <w:r w:rsidRPr="00383E9C">
        <w:rPr>
          <w:strike/>
          <w:lang w:val="fr-FR"/>
        </w:rPr>
        <w:t>Assemblages en acier soudés par fusion − Niveaux de qualité par rapport aux défauts</w:t>
      </w:r>
    </w:p>
    <w:p w:rsidR="00383E9C" w:rsidRPr="00383E9C" w:rsidRDefault="00383E9C" w:rsidP="00383E9C">
      <w:pPr>
        <w:pStyle w:val="SingleTxt"/>
        <w:ind w:left="2218" w:hanging="951"/>
        <w:rPr>
          <w:lang w:val="fr-FR"/>
        </w:rPr>
      </w:pPr>
      <w:r w:rsidRPr="00383E9C">
        <w:rPr>
          <w:lang w:val="fr-FR"/>
        </w:rPr>
        <w:tab/>
      </w:r>
      <w:r>
        <w:rPr>
          <w:lang w:val="fr-FR"/>
        </w:rPr>
        <w:tab/>
      </w:r>
      <w:r w:rsidRPr="00383E9C">
        <w:rPr>
          <w:lang w:val="fr-FR"/>
        </w:rPr>
        <w:t>EN 1251-2 2000</w:t>
      </w:r>
      <w:r w:rsidRPr="00383E9C">
        <w:rPr>
          <w:lang w:val="fr-FR"/>
        </w:rPr>
        <w:tab/>
      </w:r>
      <w:r>
        <w:rPr>
          <w:lang w:val="fr-FR"/>
        </w:rPr>
        <w:tab/>
      </w:r>
      <w:r w:rsidRPr="00383E9C">
        <w:rPr>
          <w:lang w:val="fr-FR"/>
        </w:rPr>
        <w:t>Récipients cryogéniques. Récipients isolés sous vide, d’un volume n’</w:t>
      </w:r>
      <w:r>
        <w:rPr>
          <w:lang w:val="fr-FR"/>
        </w:rPr>
        <w:t>excédant pas 1 </w:t>
      </w:r>
      <w:r w:rsidRPr="00383E9C">
        <w:rPr>
          <w:lang w:val="fr-FR"/>
        </w:rPr>
        <w:t>000 litres</w:t>
      </w:r>
    </w:p>
    <w:p w:rsidR="00383E9C" w:rsidRPr="00383E9C" w:rsidRDefault="00383E9C" w:rsidP="00383E9C">
      <w:pPr>
        <w:pStyle w:val="SingleTxt"/>
        <w:rPr>
          <w:lang w:val="fr-FR"/>
        </w:rPr>
      </w:pPr>
      <w:r w:rsidRPr="00383E9C">
        <w:rPr>
          <w:lang w:val="fr-FR"/>
        </w:rPr>
        <w:tab/>
      </w:r>
      <w:r>
        <w:rPr>
          <w:lang w:val="fr-FR"/>
        </w:rPr>
        <w:tab/>
        <w:t>… »</w:t>
      </w:r>
      <w:r w:rsidRPr="00383E9C">
        <w:rPr>
          <w:lang w:val="fr-FR"/>
        </w:rPr>
        <w:t>.</w:t>
      </w:r>
    </w:p>
    <w:p w:rsidR="00383E9C" w:rsidRPr="00383E9C" w:rsidRDefault="00383E9C" w:rsidP="00383E9C">
      <w:pPr>
        <w:pStyle w:val="SingleTxt"/>
        <w:rPr>
          <w:lang w:val="fr-FR"/>
        </w:rPr>
      </w:pPr>
      <w:r w:rsidRPr="00383E9C">
        <w:rPr>
          <w:i/>
          <w:lang w:val="fr-FR"/>
        </w:rPr>
        <w:t>Paragraphe 6.3</w:t>
      </w:r>
      <w:r w:rsidRPr="00383E9C">
        <w:rPr>
          <w:lang w:val="fr-FR"/>
        </w:rPr>
        <w:t xml:space="preserve">, </w:t>
      </w:r>
      <w:proofErr w:type="gramStart"/>
      <w:r w:rsidRPr="00383E9C">
        <w:rPr>
          <w:lang w:val="fr-FR"/>
        </w:rPr>
        <w:t>modifier</w:t>
      </w:r>
      <w:proofErr w:type="gramEnd"/>
      <w:r w:rsidRPr="00383E9C">
        <w:rPr>
          <w:lang w:val="fr-FR"/>
        </w:rPr>
        <w:t xml:space="preserve"> comme suit</w:t>
      </w:r>
      <w:r>
        <w:rPr>
          <w:lang w:val="fr-FR"/>
        </w:rPr>
        <w:t> </w:t>
      </w:r>
      <w:r w:rsidRPr="00383E9C">
        <w:rPr>
          <w:lang w:val="fr-FR"/>
        </w:rPr>
        <w:t>:</w:t>
      </w:r>
    </w:p>
    <w:p w:rsidR="00383E9C" w:rsidRPr="00383E9C" w:rsidRDefault="00CC292B" w:rsidP="00CC292B">
      <w:pPr>
        <w:pStyle w:val="SingleTxt"/>
        <w:ind w:left="2218" w:hanging="951"/>
        <w:rPr>
          <w:lang w:val="fr-FR"/>
        </w:rPr>
      </w:pPr>
      <w:r>
        <w:rPr>
          <w:lang w:val="fr-FR"/>
        </w:rPr>
        <w:t>« </w:t>
      </w:r>
      <w:r w:rsidR="00383E9C" w:rsidRPr="00383E9C">
        <w:rPr>
          <w:lang w:val="fr-FR"/>
        </w:rPr>
        <w:t>6.3</w:t>
      </w:r>
      <w:r w:rsidR="00383E9C" w:rsidRPr="00383E9C">
        <w:rPr>
          <w:lang w:val="fr-FR"/>
        </w:rPr>
        <w:tab/>
      </w:r>
      <w:r>
        <w:rPr>
          <w:lang w:val="fr-FR"/>
        </w:rPr>
        <w:tab/>
      </w:r>
      <w:r w:rsidR="00383E9C" w:rsidRPr="00383E9C">
        <w:rPr>
          <w:lang w:val="fr-FR"/>
        </w:rPr>
        <w:t>Chaque réservoir doit aussi porter une plaque signalétique sur laquelle sont apposées de manière bien lisible et indélébile les indications suivantes</w:t>
      </w:r>
      <w:r>
        <w:rPr>
          <w:lang w:val="fr-FR"/>
        </w:rPr>
        <w:t> </w:t>
      </w:r>
      <w:r w:rsidR="00383E9C" w:rsidRPr="00383E9C">
        <w:rPr>
          <w:lang w:val="fr-FR"/>
        </w:rPr>
        <w:t>:</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a)</w:t>
      </w:r>
      <w:r w:rsidRPr="00383E9C">
        <w:rPr>
          <w:lang w:val="fr-FR"/>
        </w:rPr>
        <w:tab/>
        <w:t>Le numéro de série;</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b)</w:t>
      </w:r>
      <w:r w:rsidRPr="00383E9C">
        <w:rPr>
          <w:lang w:val="fr-FR"/>
        </w:rPr>
        <w:tab/>
        <w:t>La contenance en litres;</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c)</w:t>
      </w:r>
      <w:r w:rsidRPr="00383E9C">
        <w:rPr>
          <w:lang w:val="fr-FR"/>
        </w:rPr>
        <w:tab/>
        <w:t xml:space="preserve">La marque </w:t>
      </w:r>
      <w:r w:rsidR="00CC292B">
        <w:rPr>
          <w:lang w:val="fr-FR"/>
        </w:rPr>
        <w:t>“</w:t>
      </w:r>
      <w:r w:rsidRPr="00383E9C">
        <w:rPr>
          <w:lang w:val="fr-FR"/>
        </w:rPr>
        <w:t>CNG</w:t>
      </w:r>
      <w:r w:rsidR="00CC292B">
        <w:rPr>
          <w:lang w:val="fr-FR"/>
        </w:rPr>
        <w:t>” (GNC);</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d)</w:t>
      </w:r>
      <w:r w:rsidRPr="00383E9C">
        <w:rPr>
          <w:lang w:val="fr-FR"/>
        </w:rPr>
        <w:tab/>
        <w:t>La pression de fonctionnement/d’essai/</w:t>
      </w:r>
      <w:r w:rsidRPr="00383E9C">
        <w:rPr>
          <w:b/>
          <w:lang w:val="fr-FR"/>
        </w:rPr>
        <w:t>de service</w:t>
      </w:r>
      <w:r w:rsidRPr="00383E9C">
        <w:rPr>
          <w:lang w:val="fr-FR"/>
        </w:rPr>
        <w:t xml:space="preserve"> </w:t>
      </w:r>
      <w:r w:rsidR="00177EFF">
        <w:rPr>
          <w:lang w:val="fr-FR"/>
        </w:rPr>
        <w:t>[</w:t>
      </w:r>
      <w:proofErr w:type="spellStart"/>
      <w:r w:rsidRPr="00383E9C">
        <w:rPr>
          <w:lang w:val="fr-FR"/>
        </w:rPr>
        <w:t>M</w:t>
      </w:r>
      <w:r w:rsidR="00177EFF" w:rsidRPr="00383E9C">
        <w:rPr>
          <w:lang w:val="fr-FR"/>
        </w:rPr>
        <w:t>p</w:t>
      </w:r>
      <w:r w:rsidRPr="00383E9C">
        <w:rPr>
          <w:lang w:val="fr-FR"/>
        </w:rPr>
        <w:t>a</w:t>
      </w:r>
      <w:proofErr w:type="spellEnd"/>
      <w:r w:rsidR="00177EFF">
        <w:rPr>
          <w:lang w:val="fr-FR"/>
        </w:rPr>
        <w:t>]</w:t>
      </w:r>
      <w:r w:rsidRPr="00383E9C">
        <w:rPr>
          <w:lang w:val="fr-FR"/>
        </w:rPr>
        <w:t>;</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e)</w:t>
      </w:r>
      <w:r w:rsidRPr="00383E9C">
        <w:rPr>
          <w:lang w:val="fr-FR"/>
        </w:rPr>
        <w:tab/>
        <w:t>La masse [kg];</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f)</w:t>
      </w:r>
      <w:r w:rsidRPr="00383E9C">
        <w:rPr>
          <w:lang w:val="fr-FR"/>
        </w:rPr>
        <w:tab/>
        <w:t>L’année et le mois d’homologation (par exemple 96/01);</w:t>
      </w:r>
    </w:p>
    <w:p w:rsidR="00383E9C" w:rsidRPr="00383E9C" w:rsidRDefault="00383E9C" w:rsidP="00383E9C">
      <w:pPr>
        <w:pStyle w:val="SingleTxt"/>
        <w:rPr>
          <w:lang w:val="fr-FR"/>
        </w:rPr>
      </w:pPr>
      <w:r w:rsidRPr="00383E9C">
        <w:rPr>
          <w:lang w:val="fr-FR"/>
        </w:rPr>
        <w:tab/>
      </w:r>
      <w:r w:rsidR="00CC292B">
        <w:rPr>
          <w:lang w:val="fr-FR"/>
        </w:rPr>
        <w:tab/>
      </w:r>
      <w:r w:rsidRPr="00383E9C">
        <w:rPr>
          <w:lang w:val="fr-FR"/>
        </w:rPr>
        <w:t>g)</w:t>
      </w:r>
      <w:r w:rsidRPr="00383E9C">
        <w:rPr>
          <w:lang w:val="fr-FR"/>
        </w:rPr>
        <w:tab/>
        <w:t xml:space="preserve">La marque d’homologation prescrite au paragraphe </w:t>
      </w:r>
      <w:r w:rsidR="00CC292B">
        <w:rPr>
          <w:lang w:val="fr-FR"/>
        </w:rPr>
        <w:t>7.4. ».</w:t>
      </w:r>
    </w:p>
    <w:p w:rsidR="00383E9C" w:rsidRPr="00383E9C" w:rsidRDefault="00383E9C" w:rsidP="00383E9C">
      <w:pPr>
        <w:pStyle w:val="SingleTxt"/>
        <w:rPr>
          <w:lang w:val="fr-FR"/>
        </w:rPr>
      </w:pPr>
      <w:r w:rsidRPr="00383E9C">
        <w:rPr>
          <w:i/>
          <w:lang w:val="fr-FR"/>
        </w:rPr>
        <w:t>Ajouter un nouveau paragraphe 6.4</w:t>
      </w:r>
      <w:r w:rsidRPr="00383E9C">
        <w:rPr>
          <w:lang w:val="fr-FR"/>
        </w:rPr>
        <w:t>, ainsi conçu</w:t>
      </w:r>
      <w:r w:rsidR="00251879">
        <w:rPr>
          <w:lang w:val="fr-FR"/>
        </w:rPr>
        <w:t> </w:t>
      </w:r>
      <w:r w:rsidRPr="00383E9C">
        <w:rPr>
          <w:lang w:val="fr-FR"/>
        </w:rPr>
        <w:t>:</w:t>
      </w:r>
    </w:p>
    <w:p w:rsidR="00383E9C" w:rsidRPr="00383E9C" w:rsidRDefault="00E42CF4" w:rsidP="00E42CF4">
      <w:pPr>
        <w:pStyle w:val="SingleTxt"/>
        <w:ind w:left="2218" w:hanging="951"/>
        <w:rPr>
          <w:b/>
          <w:lang w:val="fr-FR"/>
        </w:rPr>
      </w:pPr>
      <w:r>
        <w:rPr>
          <w:lang w:val="fr-FR"/>
        </w:rPr>
        <w:t>« </w:t>
      </w:r>
      <w:r w:rsidR="00383E9C" w:rsidRPr="00383E9C">
        <w:rPr>
          <w:b/>
          <w:lang w:val="fr-FR"/>
        </w:rPr>
        <w:t>6.4</w:t>
      </w:r>
      <w:r w:rsidR="00383E9C" w:rsidRPr="00383E9C">
        <w:rPr>
          <w:b/>
          <w:lang w:val="fr-FR"/>
        </w:rPr>
        <w:tab/>
      </w:r>
      <w:r>
        <w:rPr>
          <w:b/>
          <w:lang w:val="fr-FR"/>
        </w:rPr>
        <w:tab/>
      </w:r>
      <w:r w:rsidR="00383E9C" w:rsidRPr="00383E9C">
        <w:rPr>
          <w:b/>
          <w:lang w:val="fr-FR"/>
        </w:rPr>
        <w:t>Chaque vanne automatique et chaque dispositif de surpression doit aussi porter un marquage sur lequel les indications suivantes sont bien lisibles et indélébiles</w:t>
      </w:r>
      <w:r>
        <w:rPr>
          <w:b/>
          <w:lang w:val="fr-FR"/>
        </w:rPr>
        <w:t> </w:t>
      </w:r>
      <w:r w:rsidR="00383E9C" w:rsidRPr="00383E9C">
        <w:rPr>
          <w:b/>
          <w:lang w:val="fr-FR"/>
        </w:rPr>
        <w:t>:</w:t>
      </w:r>
    </w:p>
    <w:p w:rsidR="00383E9C" w:rsidRPr="00383E9C" w:rsidRDefault="00E42CF4" w:rsidP="00383E9C">
      <w:pPr>
        <w:pStyle w:val="SingleTxt"/>
        <w:rPr>
          <w:b/>
          <w:lang w:val="fr-FR"/>
        </w:rPr>
      </w:pPr>
      <w:r>
        <w:rPr>
          <w:b/>
          <w:lang w:val="fr-FR"/>
        </w:rPr>
        <w:tab/>
      </w:r>
      <w:r w:rsidR="00383E9C" w:rsidRPr="00383E9C">
        <w:rPr>
          <w:b/>
          <w:lang w:val="fr-FR"/>
        </w:rPr>
        <w:tab/>
        <w:t>a)</w:t>
      </w:r>
      <w:r w:rsidR="00383E9C" w:rsidRPr="00383E9C">
        <w:rPr>
          <w:b/>
          <w:lang w:val="fr-FR"/>
        </w:rPr>
        <w:tab/>
        <w:t xml:space="preserve">La marque </w:t>
      </w:r>
      <w:r>
        <w:rPr>
          <w:b/>
          <w:lang w:val="fr-FR"/>
        </w:rPr>
        <w:t>“</w:t>
      </w:r>
      <w:r w:rsidR="00383E9C" w:rsidRPr="00383E9C">
        <w:rPr>
          <w:b/>
          <w:lang w:val="fr-FR"/>
        </w:rPr>
        <w:t>CNG</w:t>
      </w:r>
      <w:r>
        <w:rPr>
          <w:b/>
          <w:lang w:val="fr-FR"/>
        </w:rPr>
        <w:t>” (GNC);</w:t>
      </w:r>
    </w:p>
    <w:p w:rsidR="00383E9C" w:rsidRPr="00383E9C" w:rsidRDefault="00E42CF4" w:rsidP="00383E9C">
      <w:pPr>
        <w:pStyle w:val="SingleTxt"/>
        <w:rPr>
          <w:lang w:val="fr-FR"/>
        </w:rPr>
      </w:pPr>
      <w:r>
        <w:rPr>
          <w:b/>
          <w:lang w:val="fr-FR"/>
        </w:rPr>
        <w:tab/>
      </w:r>
      <w:r w:rsidR="00383E9C" w:rsidRPr="00383E9C">
        <w:rPr>
          <w:b/>
          <w:lang w:val="fr-FR"/>
        </w:rPr>
        <w:tab/>
        <w:t>b)</w:t>
      </w:r>
      <w:r w:rsidR="00383E9C" w:rsidRPr="00383E9C">
        <w:rPr>
          <w:b/>
          <w:lang w:val="fr-FR"/>
        </w:rPr>
        <w:tab/>
        <w:t xml:space="preserve">La pression de service </w:t>
      </w:r>
      <w:r w:rsidR="00177EFF">
        <w:rPr>
          <w:b/>
          <w:lang w:val="fr-FR"/>
        </w:rPr>
        <w:t>[</w:t>
      </w:r>
      <w:proofErr w:type="spellStart"/>
      <w:r w:rsidR="00383E9C" w:rsidRPr="00383E9C">
        <w:rPr>
          <w:b/>
          <w:lang w:val="fr-FR"/>
        </w:rPr>
        <w:t>M</w:t>
      </w:r>
      <w:r w:rsidR="00177EFF" w:rsidRPr="00383E9C">
        <w:rPr>
          <w:b/>
          <w:lang w:val="fr-FR"/>
        </w:rPr>
        <w:t>p</w:t>
      </w:r>
      <w:r w:rsidR="00383E9C" w:rsidRPr="00383E9C">
        <w:rPr>
          <w:b/>
          <w:lang w:val="fr-FR"/>
        </w:rPr>
        <w:t>a</w:t>
      </w:r>
      <w:proofErr w:type="spellEnd"/>
      <w:r w:rsidR="00177EFF">
        <w:rPr>
          <w:b/>
          <w:lang w:val="fr-FR"/>
        </w:rPr>
        <w:t>]</w:t>
      </w:r>
      <w:r>
        <w:rPr>
          <w:b/>
          <w:lang w:val="fr-FR"/>
        </w:rPr>
        <w:t>.</w:t>
      </w:r>
      <w:r w:rsidRPr="00E42CF4">
        <w:rPr>
          <w:lang w:val="fr-FR"/>
        </w:rPr>
        <w:t> ».</w:t>
      </w:r>
    </w:p>
    <w:p w:rsidR="00383E9C" w:rsidRPr="00383E9C" w:rsidRDefault="00383E9C" w:rsidP="00383E9C">
      <w:pPr>
        <w:pStyle w:val="SingleTxt"/>
        <w:rPr>
          <w:lang w:val="fr-FR"/>
        </w:rPr>
      </w:pPr>
      <w:r w:rsidRPr="00383E9C">
        <w:rPr>
          <w:i/>
          <w:lang w:val="fr-FR"/>
        </w:rPr>
        <w:t>Le paragraphe 6.4 (ancien)</w:t>
      </w:r>
      <w:r w:rsidRPr="00383E9C">
        <w:rPr>
          <w:lang w:val="fr-FR"/>
        </w:rPr>
        <w:t>, devient le paragraphe 6.5.</w:t>
      </w:r>
    </w:p>
    <w:p w:rsidR="00383E9C" w:rsidRPr="00626344" w:rsidRDefault="00383E9C" w:rsidP="00383E9C">
      <w:pPr>
        <w:pStyle w:val="SingleTxt"/>
        <w:rPr>
          <w:lang w:val="fr-FR"/>
        </w:rPr>
      </w:pPr>
      <w:r w:rsidRPr="00626344">
        <w:rPr>
          <w:i/>
          <w:lang w:val="fr-FR"/>
        </w:rPr>
        <w:t>Ajouter un nouveau paragraphe 6.6</w:t>
      </w:r>
      <w:r w:rsidRPr="00626344">
        <w:rPr>
          <w:lang w:val="fr-FR"/>
        </w:rPr>
        <w:t>, ainsi conçu</w:t>
      </w:r>
      <w:r w:rsidR="00AF47E0" w:rsidRPr="00626344">
        <w:rPr>
          <w:lang w:val="fr-FR"/>
        </w:rPr>
        <w:t> </w:t>
      </w:r>
      <w:r w:rsidRPr="00626344">
        <w:rPr>
          <w:lang w:val="fr-FR"/>
        </w:rPr>
        <w:t>:</w:t>
      </w:r>
    </w:p>
    <w:p w:rsidR="00383E9C" w:rsidRPr="00383E9C" w:rsidRDefault="00626344" w:rsidP="00626344">
      <w:pPr>
        <w:pStyle w:val="SingleTxt"/>
        <w:ind w:left="2218" w:hanging="951"/>
        <w:rPr>
          <w:b/>
          <w:lang w:val="fr-FR"/>
        </w:rPr>
      </w:pPr>
      <w:r>
        <w:rPr>
          <w:bCs/>
          <w:lang w:val="fr-FR"/>
        </w:rPr>
        <w:t>« </w:t>
      </w:r>
      <w:r w:rsidR="00383E9C" w:rsidRPr="00626344">
        <w:rPr>
          <w:b/>
          <w:lang w:val="fr-FR"/>
        </w:rPr>
        <w:t>6.6</w:t>
      </w:r>
      <w:r>
        <w:rPr>
          <w:b/>
          <w:lang w:val="fr-FR"/>
        </w:rPr>
        <w:tab/>
      </w:r>
      <w:r w:rsidR="00383E9C" w:rsidRPr="00626344">
        <w:rPr>
          <w:b/>
          <w:lang w:val="fr-FR"/>
        </w:rPr>
        <w:tab/>
        <w:t>Chacun des organes suivants doit aussi porter un marquage sur lequel les indications a) et b) ci-dessous sont bien lisibles et indélébiles</w:t>
      </w:r>
      <w:r>
        <w:rPr>
          <w:b/>
          <w:lang w:val="fr-FR"/>
        </w:rPr>
        <w:t> </w:t>
      </w:r>
      <w:r w:rsidR="00383E9C" w:rsidRPr="00626344">
        <w:rPr>
          <w:b/>
          <w:lang w:val="fr-FR"/>
        </w:rPr>
        <w:t>: la soupape de surpression (primaire), la soupape de surpression (secondaire); la vanne manuelle d’arrêt de carburant; la vanne</w:t>
      </w:r>
      <w:r w:rsidR="00383E9C" w:rsidRPr="00383E9C">
        <w:rPr>
          <w:b/>
          <w:lang w:val="fr-FR"/>
        </w:rPr>
        <w:t xml:space="preserve"> manuelle d’arrêt de vapeur; le clapet anti-retour GNL, ainsi que les vannes GNL (manuelles ou automatiques) montées sur le réservoir.</w:t>
      </w:r>
    </w:p>
    <w:p w:rsidR="00383E9C" w:rsidRPr="00383E9C" w:rsidRDefault="00383E9C" w:rsidP="00383E9C">
      <w:pPr>
        <w:pStyle w:val="SingleTxt"/>
        <w:rPr>
          <w:b/>
          <w:lang w:val="fr-FR"/>
        </w:rPr>
      </w:pPr>
      <w:r w:rsidRPr="00383E9C">
        <w:rPr>
          <w:b/>
          <w:lang w:val="fr-FR"/>
        </w:rPr>
        <w:tab/>
      </w:r>
      <w:r w:rsidR="00626344">
        <w:rPr>
          <w:b/>
          <w:lang w:val="fr-FR"/>
        </w:rPr>
        <w:tab/>
        <w:t>a)</w:t>
      </w:r>
      <w:r w:rsidR="00626344">
        <w:rPr>
          <w:b/>
          <w:lang w:val="fr-FR"/>
        </w:rPr>
        <w:tab/>
        <w:t>La marque “</w:t>
      </w:r>
      <w:r w:rsidRPr="00383E9C">
        <w:rPr>
          <w:b/>
          <w:lang w:val="fr-FR"/>
        </w:rPr>
        <w:t>GNC</w:t>
      </w:r>
      <w:r w:rsidR="00626344">
        <w:rPr>
          <w:b/>
          <w:lang w:val="fr-FR"/>
        </w:rPr>
        <w:t>” (GNC);</w:t>
      </w:r>
    </w:p>
    <w:p w:rsidR="00383E9C" w:rsidRPr="00383E9C" w:rsidRDefault="00626344" w:rsidP="00383E9C">
      <w:pPr>
        <w:pStyle w:val="SingleTxt"/>
        <w:rPr>
          <w:b/>
          <w:lang w:val="fr-FR"/>
        </w:rPr>
      </w:pPr>
      <w:r>
        <w:rPr>
          <w:b/>
          <w:lang w:val="fr-FR"/>
        </w:rPr>
        <w:tab/>
      </w:r>
      <w:r w:rsidR="00383E9C" w:rsidRPr="00383E9C">
        <w:rPr>
          <w:b/>
          <w:lang w:val="fr-FR"/>
        </w:rPr>
        <w:tab/>
        <w:t>b)</w:t>
      </w:r>
      <w:r w:rsidR="00383E9C" w:rsidRPr="00383E9C">
        <w:rPr>
          <w:b/>
          <w:lang w:val="fr-FR"/>
        </w:rPr>
        <w:tab/>
        <w:t xml:space="preserve">La pression de service </w:t>
      </w:r>
      <w:r w:rsidR="00177EFF">
        <w:rPr>
          <w:b/>
          <w:lang w:val="fr-FR"/>
        </w:rPr>
        <w:t>[</w:t>
      </w:r>
      <w:proofErr w:type="spellStart"/>
      <w:r w:rsidR="00383E9C" w:rsidRPr="00383E9C">
        <w:rPr>
          <w:b/>
          <w:lang w:val="fr-FR"/>
        </w:rPr>
        <w:t>M</w:t>
      </w:r>
      <w:r w:rsidR="00177EFF" w:rsidRPr="00383E9C">
        <w:rPr>
          <w:b/>
          <w:lang w:val="fr-FR"/>
        </w:rPr>
        <w:t>p</w:t>
      </w:r>
      <w:r w:rsidR="00383E9C" w:rsidRPr="00383E9C">
        <w:rPr>
          <w:b/>
          <w:lang w:val="fr-FR"/>
        </w:rPr>
        <w:t>a</w:t>
      </w:r>
      <w:proofErr w:type="spellEnd"/>
      <w:r w:rsidR="00177EFF">
        <w:rPr>
          <w:b/>
          <w:lang w:val="fr-FR"/>
        </w:rPr>
        <w:t>]</w:t>
      </w:r>
      <w:r>
        <w:rPr>
          <w:b/>
          <w:lang w:val="fr-FR"/>
        </w:rPr>
        <w:t>.</w:t>
      </w:r>
      <w:r>
        <w:rPr>
          <w:lang w:val="fr-FR"/>
        </w:rPr>
        <w:t> ».</w:t>
      </w:r>
    </w:p>
    <w:p w:rsidR="00383E9C" w:rsidRPr="00383E9C" w:rsidRDefault="00383E9C" w:rsidP="00626344">
      <w:pPr>
        <w:pStyle w:val="SingleTxt"/>
        <w:keepNext/>
        <w:keepLines/>
        <w:rPr>
          <w:lang w:val="fr-FR"/>
        </w:rPr>
      </w:pPr>
      <w:r w:rsidRPr="00383E9C">
        <w:rPr>
          <w:i/>
          <w:lang w:val="fr-FR"/>
        </w:rPr>
        <w:lastRenderedPageBreak/>
        <w:t>Paragraphe 7.2</w:t>
      </w:r>
      <w:r w:rsidRPr="00383E9C">
        <w:rPr>
          <w:lang w:val="fr-FR"/>
        </w:rPr>
        <w:t xml:space="preserve">, </w:t>
      </w:r>
      <w:proofErr w:type="gramStart"/>
      <w:r w:rsidRPr="00383E9C">
        <w:rPr>
          <w:lang w:val="fr-FR"/>
        </w:rPr>
        <w:t>modifier</w:t>
      </w:r>
      <w:proofErr w:type="gramEnd"/>
      <w:r w:rsidRPr="00383E9C">
        <w:rPr>
          <w:lang w:val="fr-FR"/>
        </w:rPr>
        <w:t xml:space="preserve"> comme suit</w:t>
      </w:r>
      <w:r w:rsidR="00626344">
        <w:rPr>
          <w:lang w:val="fr-FR"/>
        </w:rPr>
        <w:t> </w:t>
      </w:r>
      <w:r w:rsidRPr="00383E9C">
        <w:rPr>
          <w:lang w:val="fr-FR"/>
        </w:rPr>
        <w:t>:</w:t>
      </w:r>
    </w:p>
    <w:p w:rsidR="00383E9C" w:rsidRPr="00383E9C" w:rsidRDefault="00626344" w:rsidP="00626344">
      <w:pPr>
        <w:pStyle w:val="SingleTxt"/>
        <w:ind w:left="2218" w:hanging="951"/>
        <w:rPr>
          <w:bCs/>
          <w:u w:val="single"/>
          <w:lang w:val="fr-FR"/>
        </w:rPr>
      </w:pPr>
      <w:r>
        <w:rPr>
          <w:lang w:val="fr-FR"/>
        </w:rPr>
        <w:t>« </w:t>
      </w:r>
      <w:r w:rsidR="00383E9C" w:rsidRPr="00383E9C">
        <w:rPr>
          <w:lang w:val="fr-FR"/>
        </w:rPr>
        <w:t>7.2</w:t>
      </w:r>
      <w:r w:rsidR="00383E9C" w:rsidRPr="00383E9C">
        <w:rPr>
          <w:lang w:val="fr-FR"/>
        </w:rPr>
        <w:tab/>
      </w:r>
      <w:r>
        <w:rPr>
          <w:lang w:val="fr-FR"/>
        </w:rPr>
        <w:tab/>
      </w:r>
      <w:r w:rsidR="00383E9C" w:rsidRPr="00383E9C">
        <w:rPr>
          <w:lang w:val="fr-FR"/>
        </w:rPr>
        <w:t xml:space="preserve">Un numéro d’homologation doit être attribué à chaque type d’organe spécial ou d’organe multifonctionnel homologué. Les deux premiers chiffres de ce numéro (actuellement </w:t>
      </w:r>
      <w:r w:rsidR="00383E9C" w:rsidRPr="00383E9C">
        <w:rPr>
          <w:b/>
          <w:lang w:val="fr-FR"/>
        </w:rPr>
        <w:t>02</w:t>
      </w:r>
      <w:r w:rsidR="00383E9C" w:rsidRPr="00626344">
        <w:rPr>
          <w:strike/>
          <w:lang w:val="fr-FR"/>
        </w:rPr>
        <w:t>01</w:t>
      </w:r>
      <w:r w:rsidR="00383E9C" w:rsidRPr="00383E9C">
        <w:rPr>
          <w:lang w:val="fr-FR"/>
        </w:rPr>
        <w:t xml:space="preserve"> pour la série </w:t>
      </w:r>
      <w:r w:rsidR="00383E9C" w:rsidRPr="00383E9C">
        <w:rPr>
          <w:b/>
          <w:lang w:val="fr-FR"/>
        </w:rPr>
        <w:t>02</w:t>
      </w:r>
      <w:r w:rsidR="00383E9C" w:rsidRPr="00626344">
        <w:rPr>
          <w:strike/>
          <w:lang w:val="fr-FR"/>
        </w:rPr>
        <w:t>01</w:t>
      </w:r>
      <w:r w:rsidR="00383E9C" w:rsidRPr="00383E9C">
        <w:rPr>
          <w:lang w:val="fr-FR"/>
        </w:rPr>
        <w:t xml:space="preserve"> d’amendements) indiquent la série d’amendements correspondant aux plus récentes modifications techniques majeures apportées au Règlement à la date de la délivrance de l’homologation. Une même Partie contractante ne peut attribuer le même code alphanumérique à un autre type d’organe.</w:t>
      </w:r>
      <w:r>
        <w:rPr>
          <w:lang w:val="fr-FR"/>
        </w:rPr>
        <w:t> »</w:t>
      </w:r>
      <w:r w:rsidR="00383E9C" w:rsidRPr="00383E9C">
        <w:rPr>
          <w:lang w:val="fr-FR"/>
        </w:rPr>
        <w:t>.</w:t>
      </w:r>
    </w:p>
    <w:p w:rsidR="00383E9C" w:rsidRPr="00383E9C" w:rsidRDefault="00383E9C" w:rsidP="00383E9C">
      <w:pPr>
        <w:pStyle w:val="SingleTxt"/>
        <w:rPr>
          <w:lang w:val="fr-FR"/>
        </w:rPr>
      </w:pPr>
      <w:r w:rsidRPr="00383E9C">
        <w:rPr>
          <w:i/>
          <w:lang w:val="fr-FR"/>
        </w:rPr>
        <w:t>Ajouter un nouveau paragraphe 8.2.2</w:t>
      </w:r>
      <w:r w:rsidRPr="00383E9C">
        <w:rPr>
          <w:lang w:val="fr-FR"/>
        </w:rPr>
        <w:t>, ainsi conçu</w:t>
      </w:r>
      <w:r w:rsidR="00177EFF">
        <w:rPr>
          <w:lang w:val="fr-FR"/>
        </w:rPr>
        <w:t> </w:t>
      </w:r>
      <w:r w:rsidRPr="00383E9C">
        <w:rPr>
          <w:lang w:val="fr-FR"/>
        </w:rPr>
        <w:t>:</w:t>
      </w:r>
    </w:p>
    <w:p w:rsidR="00383E9C" w:rsidRPr="00383E9C" w:rsidRDefault="00177EFF" w:rsidP="00177EFF">
      <w:pPr>
        <w:pStyle w:val="SingleTxt"/>
        <w:ind w:left="2218" w:hanging="951"/>
        <w:rPr>
          <w:b/>
          <w:lang w:val="fr-FR"/>
        </w:rPr>
      </w:pPr>
      <w:r>
        <w:rPr>
          <w:bCs/>
          <w:lang w:val="fr-FR"/>
        </w:rPr>
        <w:t>« </w:t>
      </w:r>
      <w:r w:rsidR="00383E9C" w:rsidRPr="00383E9C">
        <w:rPr>
          <w:b/>
          <w:lang w:val="fr-FR"/>
        </w:rPr>
        <w:t>8.2.2</w:t>
      </w:r>
      <w:r w:rsidR="00383E9C" w:rsidRPr="00383E9C">
        <w:rPr>
          <w:b/>
          <w:lang w:val="fr-FR"/>
        </w:rPr>
        <w:tab/>
        <w:t>Les bouteilles de construction soudée ou les liners métalliques de construction soudée ne sont pas autorisés.</w:t>
      </w:r>
      <w:r>
        <w:rPr>
          <w:lang w:val="fr-FR"/>
        </w:rPr>
        <w:t> »</w:t>
      </w:r>
      <w:r w:rsidR="00383E9C" w:rsidRPr="00383E9C">
        <w:rPr>
          <w:lang w:val="fr-FR"/>
        </w:rPr>
        <w:t>.</w:t>
      </w:r>
    </w:p>
    <w:p w:rsidR="00383E9C" w:rsidRPr="00383E9C" w:rsidRDefault="00383E9C" w:rsidP="00383E9C">
      <w:pPr>
        <w:pStyle w:val="SingleTxt"/>
        <w:rPr>
          <w:bCs/>
          <w:lang w:val="fr-FR"/>
        </w:rPr>
      </w:pPr>
      <w:r w:rsidRPr="00383E9C">
        <w:rPr>
          <w:i/>
          <w:lang w:val="fr-FR"/>
        </w:rPr>
        <w:t>Paragraphe 18.1.8.4</w:t>
      </w:r>
      <w:r w:rsidRPr="00383E9C">
        <w:rPr>
          <w:bCs/>
          <w:lang w:val="fr-FR"/>
        </w:rPr>
        <w:t xml:space="preserve">, </w:t>
      </w:r>
      <w:proofErr w:type="gramStart"/>
      <w:r w:rsidRPr="00383E9C">
        <w:rPr>
          <w:bCs/>
          <w:lang w:val="fr-FR"/>
        </w:rPr>
        <w:t>modifier</w:t>
      </w:r>
      <w:proofErr w:type="gramEnd"/>
      <w:r w:rsidRPr="00383E9C">
        <w:rPr>
          <w:bCs/>
          <w:lang w:val="fr-FR"/>
        </w:rPr>
        <w:t xml:space="preserve"> comme suit</w:t>
      </w:r>
      <w:r w:rsidR="00177EFF">
        <w:rPr>
          <w:bCs/>
          <w:lang w:val="fr-FR"/>
        </w:rPr>
        <w:t> </w:t>
      </w:r>
      <w:r w:rsidRPr="00383E9C">
        <w:rPr>
          <w:bCs/>
          <w:lang w:val="fr-FR"/>
        </w:rPr>
        <w:t>:</w:t>
      </w:r>
    </w:p>
    <w:p w:rsidR="00383E9C" w:rsidRPr="00383E9C" w:rsidRDefault="00177EFF" w:rsidP="00177EFF">
      <w:pPr>
        <w:pStyle w:val="SingleTxt"/>
        <w:ind w:left="2218" w:hanging="951"/>
        <w:rPr>
          <w:b/>
          <w:lang w:val="fr-FR"/>
        </w:rPr>
      </w:pPr>
      <w:r>
        <w:rPr>
          <w:lang w:val="fr-FR"/>
        </w:rPr>
        <w:t>« </w:t>
      </w:r>
      <w:r w:rsidR="00383E9C" w:rsidRPr="00383E9C">
        <w:rPr>
          <w:lang w:val="fr-FR"/>
        </w:rPr>
        <w:t>18.1.8.4</w:t>
      </w:r>
      <w:r w:rsidR="00383E9C" w:rsidRPr="00383E9C">
        <w:rPr>
          <w:lang w:val="fr-FR"/>
        </w:rPr>
        <w:tab/>
        <w:t xml:space="preserve">Un autocollant </w:t>
      </w:r>
      <w:r w:rsidR="00383E9C" w:rsidRPr="00383E9C">
        <w:rPr>
          <w:b/>
          <w:lang w:val="fr-FR"/>
        </w:rPr>
        <w:t>portant les indications suivantes</w:t>
      </w:r>
      <w:r w:rsidR="00383E9C" w:rsidRPr="00383E9C">
        <w:rPr>
          <w:lang w:val="fr-FR"/>
        </w:rPr>
        <w:t xml:space="preserve"> doit être placé à proximité du réceptacle de remplissage </w:t>
      </w:r>
      <w:r w:rsidR="00383E9C" w:rsidRPr="00383E9C">
        <w:rPr>
          <w:b/>
          <w:lang w:val="fr-FR"/>
        </w:rPr>
        <w:t>GNC et/ou</w:t>
      </w:r>
      <w:r w:rsidR="00383E9C" w:rsidRPr="00383E9C">
        <w:rPr>
          <w:lang w:val="fr-FR"/>
        </w:rPr>
        <w:t xml:space="preserve"> GNL afin d’indiquer le carburant à utiliser. Ce carburant doit être celui que qui est recommandé par le constructeur</w:t>
      </w:r>
      <w:r>
        <w:rPr>
          <w:lang w:val="fr-FR"/>
        </w:rPr>
        <w:t> </w:t>
      </w:r>
      <w:r w:rsidR="00383E9C" w:rsidRPr="00383E9C">
        <w:rPr>
          <w:lang w:val="fr-FR"/>
        </w:rPr>
        <w:t>:</w:t>
      </w:r>
    </w:p>
    <w:p w:rsidR="00383E9C" w:rsidRPr="00383E9C" w:rsidRDefault="00383E9C" w:rsidP="00383E9C">
      <w:pPr>
        <w:pStyle w:val="SingleTxt"/>
        <w:rPr>
          <w:b/>
          <w:lang w:val="fr-FR"/>
        </w:rPr>
      </w:pPr>
      <w:r w:rsidRPr="00383E9C">
        <w:rPr>
          <w:b/>
          <w:lang w:val="fr-FR"/>
        </w:rPr>
        <w:tab/>
      </w:r>
      <w:r w:rsidR="00177EFF">
        <w:rPr>
          <w:b/>
          <w:lang w:val="fr-FR"/>
        </w:rPr>
        <w:tab/>
      </w:r>
      <w:r w:rsidRPr="00383E9C">
        <w:rPr>
          <w:b/>
          <w:lang w:val="fr-FR"/>
        </w:rPr>
        <w:t>a)</w:t>
      </w:r>
      <w:r w:rsidRPr="00383E9C">
        <w:rPr>
          <w:b/>
          <w:lang w:val="fr-FR"/>
        </w:rPr>
        <w:tab/>
        <w:t>La marque “CNG” (GNC) et/ou “LNG” (GNL);</w:t>
      </w:r>
    </w:p>
    <w:p w:rsidR="00383E9C" w:rsidRPr="00CF18CE" w:rsidRDefault="00177EFF" w:rsidP="00383E9C">
      <w:pPr>
        <w:pStyle w:val="SingleTxt"/>
        <w:rPr>
          <w:lang w:val="fr-FR"/>
        </w:rPr>
      </w:pPr>
      <w:r>
        <w:rPr>
          <w:b/>
          <w:lang w:val="fr-FR"/>
        </w:rPr>
        <w:tab/>
      </w:r>
      <w:r w:rsidR="00383E9C" w:rsidRPr="00383E9C">
        <w:rPr>
          <w:b/>
          <w:lang w:val="fr-FR"/>
        </w:rPr>
        <w:tab/>
      </w:r>
      <w:r>
        <w:rPr>
          <w:b/>
          <w:lang w:val="fr-FR"/>
        </w:rPr>
        <w:t>b)</w:t>
      </w:r>
      <w:r>
        <w:rPr>
          <w:b/>
          <w:lang w:val="fr-FR"/>
        </w:rPr>
        <w:tab/>
        <w:t>La pression de service [</w:t>
      </w:r>
      <w:proofErr w:type="spellStart"/>
      <w:r>
        <w:rPr>
          <w:b/>
          <w:lang w:val="fr-FR"/>
        </w:rPr>
        <w:t>Mpa</w:t>
      </w:r>
      <w:proofErr w:type="spellEnd"/>
      <w:r>
        <w:rPr>
          <w:b/>
          <w:lang w:val="fr-FR"/>
        </w:rPr>
        <w:t>]</w:t>
      </w:r>
      <w:r w:rsidR="00383E9C" w:rsidRPr="00383E9C">
        <w:rPr>
          <w:b/>
          <w:lang w:val="fr-FR"/>
        </w:rPr>
        <w:t>.</w:t>
      </w:r>
      <w:r w:rsidR="00CF18CE">
        <w:rPr>
          <w:lang w:val="fr-FR"/>
        </w:rPr>
        <w:t> ».</w:t>
      </w:r>
    </w:p>
    <w:p w:rsidR="00383E9C" w:rsidRPr="00383E9C" w:rsidRDefault="00383E9C" w:rsidP="00383E9C">
      <w:pPr>
        <w:pStyle w:val="SingleTxt"/>
        <w:rPr>
          <w:lang w:val="fr-FR"/>
        </w:rPr>
      </w:pPr>
      <w:r w:rsidRPr="00383E9C">
        <w:rPr>
          <w:i/>
          <w:lang w:val="fr-FR"/>
        </w:rPr>
        <w:t>Paragraphes 24.1 et 24.2</w:t>
      </w:r>
      <w:r w:rsidRPr="00383E9C">
        <w:rPr>
          <w:bCs/>
          <w:lang w:val="fr-FR"/>
        </w:rPr>
        <w:t xml:space="preserve">, </w:t>
      </w:r>
      <w:proofErr w:type="gramStart"/>
      <w:r w:rsidRPr="00383E9C">
        <w:rPr>
          <w:bCs/>
          <w:lang w:val="fr-FR"/>
        </w:rPr>
        <w:t>modifier</w:t>
      </w:r>
      <w:proofErr w:type="gramEnd"/>
      <w:r w:rsidRPr="00383E9C">
        <w:rPr>
          <w:bCs/>
          <w:lang w:val="fr-FR"/>
        </w:rPr>
        <w:t xml:space="preserve"> comme suit</w:t>
      </w:r>
      <w:r w:rsidR="0086224D">
        <w:rPr>
          <w:bCs/>
          <w:lang w:val="fr-FR"/>
        </w:rPr>
        <w:t> </w:t>
      </w:r>
      <w:r w:rsidRPr="00383E9C">
        <w:rPr>
          <w:bCs/>
          <w:lang w:val="fr-FR"/>
        </w:rPr>
        <w:t>:</w:t>
      </w:r>
    </w:p>
    <w:p w:rsidR="00383E9C" w:rsidRPr="00383E9C" w:rsidRDefault="0086224D" w:rsidP="0086224D">
      <w:pPr>
        <w:pStyle w:val="SingleTxt"/>
        <w:ind w:left="2218" w:hanging="951"/>
        <w:rPr>
          <w:lang w:val="fr-FR"/>
        </w:rPr>
      </w:pPr>
      <w:r>
        <w:rPr>
          <w:lang w:val="fr-FR"/>
        </w:rPr>
        <w:t>« </w:t>
      </w:r>
      <w:r w:rsidR="00383E9C" w:rsidRPr="00383E9C">
        <w:rPr>
          <w:lang w:val="fr-FR"/>
        </w:rPr>
        <w:t>24.1</w:t>
      </w:r>
      <w:r w:rsidR="00383E9C" w:rsidRPr="00383E9C">
        <w:rPr>
          <w:lang w:val="fr-FR"/>
        </w:rPr>
        <w:tab/>
        <w:t xml:space="preserve">À compter de la date officielle d’entrée en vigueur de la série </w:t>
      </w:r>
      <w:r w:rsidR="00383E9C" w:rsidRPr="00383E9C">
        <w:rPr>
          <w:b/>
          <w:lang w:val="fr-FR"/>
        </w:rPr>
        <w:t>02</w:t>
      </w:r>
      <w:r w:rsidR="00383E9C" w:rsidRPr="0086224D">
        <w:rPr>
          <w:strike/>
          <w:lang w:val="fr-FR"/>
        </w:rPr>
        <w:t>01</w:t>
      </w:r>
      <w:r w:rsidR="00383E9C" w:rsidRPr="00383E9C">
        <w:rPr>
          <w:lang w:val="fr-FR"/>
        </w:rPr>
        <w:t xml:space="preserve"> d’amendements au présent Règlement, aucune Partie contractante appliquant ledit Règlement ne pourra refuser d’accorder ou d’accepter une homologation de type en vertu du Règleme</w:t>
      </w:r>
      <w:r w:rsidR="00337405">
        <w:rPr>
          <w:lang w:val="fr-FR"/>
        </w:rPr>
        <w:t>nt tel que modifié par la série </w:t>
      </w:r>
      <w:r w:rsidR="00383E9C" w:rsidRPr="00383E9C">
        <w:rPr>
          <w:b/>
          <w:lang w:val="fr-FR"/>
        </w:rPr>
        <w:t>02</w:t>
      </w:r>
      <w:r w:rsidR="00383E9C" w:rsidRPr="0086224D">
        <w:rPr>
          <w:strike/>
          <w:lang w:val="fr-FR"/>
        </w:rPr>
        <w:t>01</w:t>
      </w:r>
      <w:r w:rsidR="00383E9C" w:rsidRPr="00383E9C">
        <w:rPr>
          <w:lang w:val="fr-FR"/>
        </w:rPr>
        <w:t xml:space="preserve"> d’amendements.</w:t>
      </w:r>
    </w:p>
    <w:p w:rsidR="00383E9C" w:rsidRPr="00383E9C" w:rsidRDefault="00383E9C" w:rsidP="0086224D">
      <w:pPr>
        <w:pStyle w:val="SingleTxt"/>
        <w:ind w:left="2218" w:hanging="951"/>
        <w:rPr>
          <w:lang w:val="fr-FR"/>
        </w:rPr>
      </w:pPr>
      <w:r w:rsidRPr="00383E9C">
        <w:rPr>
          <w:lang w:val="fr-FR"/>
        </w:rPr>
        <w:t>24.2</w:t>
      </w:r>
      <w:r w:rsidRPr="00383E9C">
        <w:rPr>
          <w:lang w:val="fr-FR"/>
        </w:rPr>
        <w:tab/>
      </w:r>
      <w:r w:rsidR="0086224D">
        <w:rPr>
          <w:lang w:val="fr-FR"/>
        </w:rPr>
        <w:tab/>
      </w:r>
      <w:r w:rsidRPr="00383E9C">
        <w:rPr>
          <w:lang w:val="fr-FR"/>
        </w:rPr>
        <w:t xml:space="preserve">Au terme d’une période de </w:t>
      </w:r>
      <w:r w:rsidRPr="00383E9C">
        <w:rPr>
          <w:b/>
          <w:lang w:val="fr-FR"/>
        </w:rPr>
        <w:t>60</w:t>
      </w:r>
      <w:r w:rsidRPr="0086224D">
        <w:rPr>
          <w:strike/>
          <w:lang w:val="fr-FR"/>
        </w:rPr>
        <w:t>12</w:t>
      </w:r>
      <w:r w:rsidRPr="00383E9C">
        <w:rPr>
          <w:lang w:val="fr-FR"/>
        </w:rPr>
        <w:t xml:space="preserve"> mois après la date officielle d’entrée en vigueur de la série </w:t>
      </w:r>
      <w:r w:rsidRPr="00383E9C">
        <w:rPr>
          <w:b/>
          <w:lang w:val="fr-FR"/>
        </w:rPr>
        <w:t>02</w:t>
      </w:r>
      <w:r w:rsidRPr="0086224D">
        <w:rPr>
          <w:strike/>
          <w:lang w:val="fr-FR"/>
        </w:rPr>
        <w:t>01</w:t>
      </w:r>
      <w:r w:rsidRPr="00383E9C">
        <w:rPr>
          <w:lang w:val="fr-FR"/>
        </w:rPr>
        <w:t xml:space="preserve"> d’amendements au présent Règlement, les Parties contractantes appliquant ledit Règlement n’accorderont d’homologation que si le type d’organe à homologuer satisfait aux prescriptions de la</w:t>
      </w:r>
      <w:r w:rsidR="00B912B6">
        <w:rPr>
          <w:lang w:val="fr-FR"/>
        </w:rPr>
        <w:t xml:space="preserve"> partie </w:t>
      </w:r>
      <w:r w:rsidRPr="00383E9C">
        <w:rPr>
          <w:lang w:val="fr-FR"/>
        </w:rPr>
        <w:t xml:space="preserve">I du Règlement tel que modifié par la série </w:t>
      </w:r>
      <w:r w:rsidRPr="00383E9C">
        <w:rPr>
          <w:b/>
          <w:lang w:val="fr-FR"/>
        </w:rPr>
        <w:t>02</w:t>
      </w:r>
      <w:r w:rsidRPr="0086224D">
        <w:rPr>
          <w:strike/>
          <w:lang w:val="fr-FR"/>
        </w:rPr>
        <w:t>01</w:t>
      </w:r>
      <w:r w:rsidRPr="00383E9C">
        <w:rPr>
          <w:lang w:val="fr-FR"/>
        </w:rPr>
        <w:t xml:space="preserve"> d’amendements.</w:t>
      </w:r>
      <w:r w:rsidR="0086224D">
        <w:rPr>
          <w:lang w:val="fr-FR"/>
        </w:rPr>
        <w:t> »</w:t>
      </w:r>
      <w:r w:rsidRPr="00383E9C">
        <w:rPr>
          <w:lang w:val="fr-FR"/>
        </w:rPr>
        <w:t>.</w:t>
      </w:r>
    </w:p>
    <w:p w:rsidR="00383E9C" w:rsidRPr="00383E9C" w:rsidRDefault="00383E9C" w:rsidP="00383E9C">
      <w:pPr>
        <w:pStyle w:val="SingleTxt"/>
        <w:rPr>
          <w:lang w:val="fr-FR"/>
        </w:rPr>
      </w:pPr>
      <w:r w:rsidRPr="00383E9C">
        <w:rPr>
          <w:i/>
          <w:lang w:val="fr-FR"/>
        </w:rPr>
        <w:t>Paragraphe 24.3</w:t>
      </w:r>
      <w:r w:rsidRPr="00383E9C">
        <w:rPr>
          <w:bCs/>
          <w:lang w:val="fr-FR"/>
        </w:rPr>
        <w:t xml:space="preserve">, </w:t>
      </w:r>
      <w:proofErr w:type="gramStart"/>
      <w:r w:rsidRPr="00383E9C">
        <w:rPr>
          <w:bCs/>
          <w:lang w:val="fr-FR"/>
        </w:rPr>
        <w:t>supprimer</w:t>
      </w:r>
      <w:proofErr w:type="gramEnd"/>
      <w:r w:rsidR="001D3DC5">
        <w:rPr>
          <w:bCs/>
          <w:lang w:val="fr-FR"/>
        </w:rPr>
        <w:t> </w:t>
      </w:r>
      <w:r w:rsidRPr="00383E9C">
        <w:rPr>
          <w:bCs/>
          <w:lang w:val="fr-FR"/>
        </w:rPr>
        <w:t>:</w:t>
      </w:r>
    </w:p>
    <w:p w:rsidR="00383E9C" w:rsidRPr="00383E9C" w:rsidRDefault="00383E9C" w:rsidP="00383E9C">
      <w:pPr>
        <w:pStyle w:val="SingleTxt"/>
        <w:rPr>
          <w:lang w:val="fr-FR"/>
        </w:rPr>
      </w:pPr>
      <w:r w:rsidRPr="00383E9C">
        <w:rPr>
          <w:i/>
          <w:lang w:val="fr-FR"/>
        </w:rPr>
        <w:t>Les paragraphes 24.4 à 24.7</w:t>
      </w:r>
      <w:r w:rsidR="001D3DC5">
        <w:rPr>
          <w:i/>
          <w:lang w:val="fr-FR"/>
        </w:rPr>
        <w:t xml:space="preserve"> </w:t>
      </w:r>
      <w:r w:rsidRPr="00383E9C">
        <w:rPr>
          <w:i/>
          <w:lang w:val="fr-FR"/>
        </w:rPr>
        <w:t>(anciens)</w:t>
      </w:r>
      <w:r w:rsidR="001D3DC5">
        <w:rPr>
          <w:i/>
          <w:lang w:val="fr-FR"/>
        </w:rPr>
        <w:t xml:space="preserve"> </w:t>
      </w:r>
      <w:r w:rsidRPr="00383E9C">
        <w:rPr>
          <w:bCs/>
          <w:lang w:val="fr-FR"/>
        </w:rPr>
        <w:t>deviennent les paragraphes 24.3 à 24.6 et sont modifiés comme suit</w:t>
      </w:r>
      <w:r w:rsidR="001D3DC5">
        <w:rPr>
          <w:bCs/>
          <w:lang w:val="fr-FR"/>
        </w:rPr>
        <w:t> </w:t>
      </w:r>
      <w:r w:rsidRPr="00383E9C">
        <w:rPr>
          <w:bCs/>
          <w:lang w:val="fr-FR"/>
        </w:rPr>
        <w:t>:</w:t>
      </w:r>
    </w:p>
    <w:p w:rsidR="00383E9C" w:rsidRPr="00383E9C" w:rsidRDefault="001D3DC5" w:rsidP="001D3DC5">
      <w:pPr>
        <w:pStyle w:val="SingleTxt"/>
        <w:ind w:left="2218" w:hanging="951"/>
        <w:rPr>
          <w:lang w:val="fr-FR"/>
        </w:rPr>
      </w:pPr>
      <w:r>
        <w:rPr>
          <w:lang w:val="fr-FR"/>
        </w:rPr>
        <w:t>« </w:t>
      </w:r>
      <w:r w:rsidR="00383E9C" w:rsidRPr="00383E9C">
        <w:rPr>
          <w:lang w:val="fr-FR"/>
        </w:rPr>
        <w:t>24</w:t>
      </w:r>
      <w:r w:rsidR="00383E9C" w:rsidRPr="00383E9C">
        <w:rPr>
          <w:b/>
          <w:lang w:val="fr-FR"/>
        </w:rPr>
        <w:t>.3</w:t>
      </w:r>
      <w:r w:rsidR="00383E9C" w:rsidRPr="00383E9C">
        <w:rPr>
          <w:lang w:val="fr-FR"/>
        </w:rPr>
        <w:tab/>
        <w:t xml:space="preserve">Au terme d’une période de </w:t>
      </w:r>
      <w:r w:rsidR="00383E9C" w:rsidRPr="00383E9C">
        <w:rPr>
          <w:b/>
          <w:lang w:val="fr-FR"/>
        </w:rPr>
        <w:t>60</w:t>
      </w:r>
      <w:r w:rsidR="00383E9C" w:rsidRPr="001D3DC5">
        <w:rPr>
          <w:strike/>
          <w:lang w:val="fr-FR"/>
        </w:rPr>
        <w:t>18</w:t>
      </w:r>
      <w:r w:rsidR="00383E9C" w:rsidRPr="00383E9C">
        <w:rPr>
          <w:lang w:val="fr-FR"/>
        </w:rPr>
        <w:t xml:space="preserve"> mois après la date officielle d’entrée en vigueur de la série </w:t>
      </w:r>
      <w:r w:rsidR="00383E9C" w:rsidRPr="00383E9C">
        <w:rPr>
          <w:b/>
          <w:lang w:val="fr-FR"/>
        </w:rPr>
        <w:t>02</w:t>
      </w:r>
      <w:r w:rsidR="00383E9C" w:rsidRPr="001D3DC5">
        <w:rPr>
          <w:strike/>
          <w:lang w:val="fr-FR"/>
        </w:rPr>
        <w:t>01</w:t>
      </w:r>
      <w:r w:rsidR="00383E9C" w:rsidRPr="00383E9C">
        <w:rPr>
          <w:lang w:val="fr-FR"/>
        </w:rPr>
        <w:t xml:space="preserve"> d’amendements au présent Règlement, les Parties contractantes appliquant ledit Règlement ne devront accorder des homologations que si le type de véhicule à homologuer satisfait aux prescriptions de la partie II du Règlement tel que modifié par la série </w:t>
      </w:r>
      <w:r w:rsidR="00383E9C" w:rsidRPr="00383E9C">
        <w:rPr>
          <w:b/>
          <w:lang w:val="fr-FR"/>
        </w:rPr>
        <w:t>02</w:t>
      </w:r>
      <w:r w:rsidR="00383E9C" w:rsidRPr="001D3DC5">
        <w:rPr>
          <w:strike/>
          <w:lang w:val="fr-FR"/>
        </w:rPr>
        <w:t>01</w:t>
      </w:r>
      <w:r w:rsidR="00383E9C" w:rsidRPr="00383E9C">
        <w:rPr>
          <w:lang w:val="fr-FR"/>
        </w:rPr>
        <w:t xml:space="preserve"> d’amendements.</w:t>
      </w:r>
    </w:p>
    <w:p w:rsidR="00383E9C" w:rsidRPr="00383E9C" w:rsidRDefault="00383E9C" w:rsidP="00743E2C">
      <w:pPr>
        <w:pStyle w:val="SingleTxt"/>
        <w:ind w:left="2218" w:hanging="951"/>
        <w:rPr>
          <w:lang w:val="fr-FR"/>
        </w:rPr>
      </w:pPr>
      <w:r w:rsidRPr="00383E9C">
        <w:rPr>
          <w:lang w:val="fr-FR"/>
        </w:rPr>
        <w:t>24.</w:t>
      </w:r>
      <w:r w:rsidRPr="00383E9C">
        <w:rPr>
          <w:b/>
          <w:lang w:val="fr-FR"/>
        </w:rPr>
        <w:t>4</w:t>
      </w:r>
      <w:r w:rsidRPr="00383E9C">
        <w:rPr>
          <w:lang w:val="fr-FR"/>
        </w:rPr>
        <w:tab/>
      </w:r>
      <w:r w:rsidR="00743E2C">
        <w:rPr>
          <w:lang w:val="fr-FR"/>
        </w:rPr>
        <w:tab/>
      </w:r>
      <w:r w:rsidRPr="00383E9C">
        <w:rPr>
          <w:lang w:val="fr-FR"/>
        </w:rPr>
        <w:t xml:space="preserve">Pendant une période de </w:t>
      </w:r>
      <w:r w:rsidRPr="00383E9C">
        <w:rPr>
          <w:b/>
          <w:lang w:val="fr-FR"/>
        </w:rPr>
        <w:t>60</w:t>
      </w:r>
      <w:r w:rsidRPr="00743E2C">
        <w:rPr>
          <w:strike/>
          <w:lang w:val="fr-FR"/>
        </w:rPr>
        <w:t>12</w:t>
      </w:r>
      <w:r w:rsidRPr="00383E9C">
        <w:rPr>
          <w:lang w:val="fr-FR"/>
        </w:rPr>
        <w:t xml:space="preserve"> mois après la date d’entrée en vigueur de la série </w:t>
      </w:r>
      <w:r w:rsidRPr="00383E9C">
        <w:rPr>
          <w:b/>
          <w:lang w:val="fr-FR"/>
        </w:rPr>
        <w:t>02</w:t>
      </w:r>
      <w:r w:rsidRPr="00743E2C">
        <w:rPr>
          <w:strike/>
          <w:lang w:val="fr-FR"/>
        </w:rPr>
        <w:t>01</w:t>
      </w:r>
      <w:r w:rsidRPr="00383E9C">
        <w:rPr>
          <w:lang w:val="fr-FR"/>
        </w:rPr>
        <w:t xml:space="preserve"> d’amendements au présent Règlement, les Parties contractantes appliquant ledit Règlement pourront continuer d’accorder des homologations pour les types d’organes à homologuer en vertu de la </w:t>
      </w:r>
      <w:r w:rsidR="00743E2C">
        <w:rPr>
          <w:b/>
          <w:lang w:val="fr-FR"/>
        </w:rPr>
        <w:t>série </w:t>
      </w:r>
      <w:r w:rsidRPr="00383E9C">
        <w:rPr>
          <w:b/>
          <w:lang w:val="fr-FR"/>
        </w:rPr>
        <w:t xml:space="preserve">01 d’amendements </w:t>
      </w:r>
      <w:r w:rsidR="00743E2C">
        <w:rPr>
          <w:b/>
          <w:lang w:val="fr-FR"/>
        </w:rPr>
        <w:t xml:space="preserve">au </w:t>
      </w:r>
      <w:r w:rsidR="008B58A1">
        <w:rPr>
          <w:lang w:val="fr-FR"/>
        </w:rPr>
        <w:t xml:space="preserve">présent </w:t>
      </w:r>
      <w:r w:rsidRPr="00743E2C">
        <w:rPr>
          <w:strike/>
          <w:lang w:val="fr-FR"/>
        </w:rPr>
        <w:t>à la version originale du</w:t>
      </w:r>
      <w:r w:rsidRPr="00383E9C">
        <w:rPr>
          <w:lang w:val="fr-FR"/>
        </w:rPr>
        <w:t xml:space="preserve"> Règlement, sans tenir compte des dispositions de la série </w:t>
      </w:r>
      <w:r w:rsidRPr="00383E9C">
        <w:rPr>
          <w:b/>
          <w:lang w:val="fr-FR"/>
        </w:rPr>
        <w:t>02</w:t>
      </w:r>
      <w:r w:rsidRPr="00743E2C">
        <w:rPr>
          <w:strike/>
          <w:lang w:val="fr-FR"/>
        </w:rPr>
        <w:t>01</w:t>
      </w:r>
      <w:r w:rsidRPr="00383E9C">
        <w:rPr>
          <w:lang w:val="fr-FR"/>
        </w:rPr>
        <w:t xml:space="preserve"> d’amendements.</w:t>
      </w:r>
    </w:p>
    <w:p w:rsidR="00383E9C" w:rsidRPr="00383E9C" w:rsidRDefault="00383E9C" w:rsidP="00743E2C">
      <w:pPr>
        <w:pStyle w:val="SingleTxt"/>
        <w:ind w:left="2218" w:hanging="951"/>
        <w:rPr>
          <w:lang w:val="fr-FR"/>
        </w:rPr>
      </w:pPr>
      <w:r w:rsidRPr="00383E9C">
        <w:rPr>
          <w:lang w:val="fr-FR"/>
        </w:rPr>
        <w:t>24.</w:t>
      </w:r>
      <w:r w:rsidRPr="00383E9C">
        <w:rPr>
          <w:b/>
          <w:lang w:val="fr-FR"/>
        </w:rPr>
        <w:t>5</w:t>
      </w:r>
      <w:r w:rsidRPr="00383E9C">
        <w:rPr>
          <w:lang w:val="fr-FR"/>
        </w:rPr>
        <w:tab/>
      </w:r>
      <w:r w:rsidR="00743E2C">
        <w:rPr>
          <w:lang w:val="fr-FR"/>
        </w:rPr>
        <w:tab/>
      </w:r>
      <w:r w:rsidRPr="00383E9C">
        <w:rPr>
          <w:lang w:val="fr-FR"/>
        </w:rPr>
        <w:t xml:space="preserve">Pendant une période de </w:t>
      </w:r>
      <w:r w:rsidRPr="00383E9C">
        <w:rPr>
          <w:b/>
          <w:lang w:val="fr-FR"/>
        </w:rPr>
        <w:t>60</w:t>
      </w:r>
      <w:r w:rsidRPr="00743E2C">
        <w:rPr>
          <w:strike/>
          <w:lang w:val="fr-FR"/>
        </w:rPr>
        <w:t>18</w:t>
      </w:r>
      <w:r w:rsidRPr="00383E9C">
        <w:rPr>
          <w:lang w:val="fr-FR"/>
        </w:rPr>
        <w:t xml:space="preserve"> mois après la date d’entrée en vigueur de la série </w:t>
      </w:r>
      <w:r w:rsidRPr="00383E9C">
        <w:rPr>
          <w:b/>
          <w:lang w:val="fr-FR"/>
        </w:rPr>
        <w:t>02</w:t>
      </w:r>
      <w:r w:rsidRPr="00743E2C">
        <w:rPr>
          <w:strike/>
          <w:lang w:val="fr-FR"/>
        </w:rPr>
        <w:t>01</w:t>
      </w:r>
      <w:r w:rsidRPr="00383E9C">
        <w:rPr>
          <w:lang w:val="fr-FR"/>
        </w:rPr>
        <w:t xml:space="preserve"> d’amendements au présent Règlement, les Parties contractantes appliquant ledit Règlement pourront continuer d’accorder des </w:t>
      </w:r>
      <w:r w:rsidRPr="00383E9C">
        <w:rPr>
          <w:lang w:val="fr-FR"/>
        </w:rPr>
        <w:lastRenderedPageBreak/>
        <w:t xml:space="preserve">homologations pour les types de véhicules à homologuer en vertu de la </w:t>
      </w:r>
      <w:r w:rsidRPr="00383E9C">
        <w:rPr>
          <w:b/>
          <w:lang w:val="fr-FR"/>
        </w:rPr>
        <w:t xml:space="preserve">série 01 d’amendements </w:t>
      </w:r>
      <w:r w:rsidR="00743E2C">
        <w:rPr>
          <w:b/>
          <w:lang w:val="fr-FR"/>
        </w:rPr>
        <w:t xml:space="preserve">au </w:t>
      </w:r>
      <w:r w:rsidR="00B56CEC">
        <w:rPr>
          <w:lang w:val="fr-FR"/>
        </w:rPr>
        <w:t xml:space="preserve">présent </w:t>
      </w:r>
      <w:r w:rsidRPr="00743E2C">
        <w:rPr>
          <w:strike/>
          <w:lang w:val="fr-FR"/>
        </w:rPr>
        <w:t>à la version originale du</w:t>
      </w:r>
      <w:r w:rsidRPr="00383E9C">
        <w:rPr>
          <w:lang w:val="fr-FR"/>
        </w:rPr>
        <w:t xml:space="preserve"> Règlement, sans tenir compte des dispositions de la série </w:t>
      </w:r>
      <w:r w:rsidRPr="00383E9C">
        <w:rPr>
          <w:b/>
          <w:lang w:val="fr-FR"/>
        </w:rPr>
        <w:t>02</w:t>
      </w:r>
      <w:r w:rsidRPr="000D7F76">
        <w:rPr>
          <w:strike/>
          <w:lang w:val="fr-FR"/>
        </w:rPr>
        <w:t>01</w:t>
      </w:r>
      <w:r w:rsidRPr="00383E9C">
        <w:rPr>
          <w:lang w:val="fr-FR"/>
        </w:rPr>
        <w:t xml:space="preserve"> d’amendements.</w:t>
      </w:r>
    </w:p>
    <w:p w:rsidR="00383E9C" w:rsidRPr="00383E9C" w:rsidRDefault="00383E9C" w:rsidP="0074041D">
      <w:pPr>
        <w:pStyle w:val="SingleTxt"/>
        <w:ind w:left="2218" w:hanging="951"/>
        <w:rPr>
          <w:lang w:val="fr-FR"/>
        </w:rPr>
      </w:pPr>
      <w:r w:rsidRPr="00383E9C">
        <w:rPr>
          <w:lang w:val="fr-FR"/>
        </w:rPr>
        <w:t>24.</w:t>
      </w:r>
      <w:r w:rsidRPr="00383E9C">
        <w:rPr>
          <w:b/>
          <w:lang w:val="fr-FR"/>
        </w:rPr>
        <w:t>6</w:t>
      </w:r>
      <w:r w:rsidRPr="00383E9C">
        <w:rPr>
          <w:lang w:val="fr-FR"/>
        </w:rPr>
        <w:tab/>
      </w:r>
      <w:r w:rsidR="0074041D">
        <w:rPr>
          <w:lang w:val="fr-FR"/>
        </w:rPr>
        <w:tab/>
      </w:r>
      <w:r w:rsidRPr="00383E9C">
        <w:rPr>
          <w:lang w:val="fr-FR"/>
        </w:rPr>
        <w:t xml:space="preserve">Nonobstant les dispositions des paragraphes </w:t>
      </w:r>
      <w:r w:rsidRPr="00383E9C">
        <w:rPr>
          <w:b/>
          <w:lang w:val="fr-FR"/>
        </w:rPr>
        <w:t>24.4</w:t>
      </w:r>
      <w:r w:rsidRPr="0074041D">
        <w:rPr>
          <w:strike/>
          <w:lang w:val="fr-FR"/>
        </w:rPr>
        <w:t>24.5</w:t>
      </w:r>
      <w:r w:rsidRPr="00383E9C">
        <w:rPr>
          <w:lang w:val="fr-FR"/>
        </w:rPr>
        <w:t xml:space="preserve"> et </w:t>
      </w:r>
      <w:r w:rsidRPr="00383E9C">
        <w:rPr>
          <w:b/>
          <w:lang w:val="fr-FR"/>
        </w:rPr>
        <w:t>24.5</w:t>
      </w:r>
      <w:r w:rsidRPr="0074041D">
        <w:rPr>
          <w:strike/>
          <w:lang w:val="fr-FR"/>
        </w:rPr>
        <w:t>24.6</w:t>
      </w:r>
      <w:r w:rsidRPr="00383E9C">
        <w:rPr>
          <w:lang w:val="fr-FR"/>
        </w:rPr>
        <w:t xml:space="preserve">, les Parties contractantes appliquant le présent Règlement ne peuvent refuser de délivrer des extensions d’homologation pour des types existants d’organes ou de véhicules lorsque ces homologations ont été accordées en vertu du Règlement sans tenir compte des dispositions de la série </w:t>
      </w:r>
      <w:r w:rsidRPr="00383E9C">
        <w:rPr>
          <w:b/>
          <w:lang w:val="fr-FR"/>
        </w:rPr>
        <w:t>02</w:t>
      </w:r>
      <w:r w:rsidRPr="0074041D">
        <w:rPr>
          <w:strike/>
          <w:lang w:val="fr-FR"/>
        </w:rPr>
        <w:t>01</w:t>
      </w:r>
      <w:r w:rsidRPr="00383E9C">
        <w:rPr>
          <w:lang w:val="fr-FR"/>
        </w:rPr>
        <w:t xml:space="preserve"> d’amendements.</w:t>
      </w:r>
      <w:r w:rsidR="007E6B4F">
        <w:rPr>
          <w:lang w:val="fr-FR"/>
        </w:rPr>
        <w:t> »</w:t>
      </w:r>
      <w:r w:rsidRPr="00383E9C">
        <w:rPr>
          <w:lang w:val="fr-FR"/>
        </w:rPr>
        <w:t>.</w:t>
      </w:r>
    </w:p>
    <w:p w:rsidR="00383E9C" w:rsidRPr="00383E9C" w:rsidRDefault="00383E9C" w:rsidP="00383E9C">
      <w:pPr>
        <w:pStyle w:val="SingleTxt"/>
        <w:rPr>
          <w:lang w:val="fr-FR"/>
        </w:rPr>
      </w:pPr>
      <w:r w:rsidRPr="00383E9C">
        <w:rPr>
          <w:i/>
          <w:lang w:val="fr-FR"/>
        </w:rPr>
        <w:t>Ajouter un nouveau paragraphe 24.7</w:t>
      </w:r>
      <w:r w:rsidRPr="00383E9C">
        <w:rPr>
          <w:lang w:val="fr-FR"/>
        </w:rPr>
        <w:t>, ainsi conçu</w:t>
      </w:r>
      <w:r w:rsidR="007E6B4F">
        <w:rPr>
          <w:lang w:val="fr-FR"/>
        </w:rPr>
        <w:t> </w:t>
      </w:r>
      <w:r w:rsidRPr="00383E9C">
        <w:rPr>
          <w:lang w:val="fr-FR"/>
        </w:rPr>
        <w:t>:</w:t>
      </w:r>
    </w:p>
    <w:p w:rsidR="00383E9C" w:rsidRPr="00383E9C" w:rsidRDefault="007E6B4F" w:rsidP="007E6B4F">
      <w:pPr>
        <w:pStyle w:val="SingleTxt"/>
        <w:ind w:left="2218" w:hanging="951"/>
        <w:rPr>
          <w:lang w:val="fr-FR"/>
        </w:rPr>
      </w:pPr>
      <w:r>
        <w:rPr>
          <w:lang w:val="fr-FR"/>
        </w:rPr>
        <w:t>« </w:t>
      </w:r>
      <w:r w:rsidR="00383E9C" w:rsidRPr="00383E9C">
        <w:rPr>
          <w:b/>
          <w:bCs/>
          <w:iCs/>
          <w:lang w:val="fr-FR"/>
        </w:rPr>
        <w:t>24.7</w:t>
      </w:r>
      <w:r w:rsidR="00383E9C" w:rsidRPr="00383E9C">
        <w:rPr>
          <w:b/>
          <w:bCs/>
          <w:iCs/>
          <w:lang w:val="fr-FR"/>
        </w:rPr>
        <w:tab/>
        <w:t>Nonobstant les dispositions transitoires ci</w:t>
      </w:r>
      <w:r>
        <w:rPr>
          <w:b/>
          <w:bCs/>
          <w:iCs/>
          <w:lang w:val="fr-FR"/>
        </w:rPr>
        <w:t>-</w:t>
      </w:r>
      <w:r w:rsidR="00383E9C" w:rsidRPr="00383E9C">
        <w:rPr>
          <w:b/>
          <w:bCs/>
          <w:iCs/>
          <w:lang w:val="fr-FR"/>
        </w:rPr>
        <w:t>dessus, les Parties contractantes pour lesquelles le présent Règlement entre en vigueur après la date d’entrée en vigueur de la série d’amendements la plus récente ne sont tenues d’accepter que les homologations accordées en vertu de la série 01 d’amendements</w:t>
      </w:r>
      <w:r w:rsidR="00383E9C" w:rsidRPr="00383E9C">
        <w:rPr>
          <w:b/>
          <w:iCs/>
          <w:lang w:val="fr-FR"/>
        </w:rPr>
        <w:t>.</w:t>
      </w:r>
      <w:r>
        <w:rPr>
          <w:lang w:val="fr-FR"/>
        </w:rPr>
        <w:t> »</w:t>
      </w:r>
      <w:r w:rsidR="00383E9C" w:rsidRPr="00383E9C">
        <w:rPr>
          <w:lang w:val="fr-FR"/>
        </w:rPr>
        <w:t>.</w:t>
      </w:r>
    </w:p>
    <w:p w:rsidR="007F4696" w:rsidRDefault="00383E9C" w:rsidP="00383E9C">
      <w:pPr>
        <w:pStyle w:val="SingleTxt"/>
        <w:rPr>
          <w:bCs/>
          <w:lang w:val="fr-FR"/>
        </w:rPr>
      </w:pPr>
      <w:r w:rsidRPr="00383E9C">
        <w:rPr>
          <w:i/>
          <w:lang w:val="fr-FR"/>
        </w:rPr>
        <w:t>Annexe 2A</w:t>
      </w:r>
      <w:r w:rsidRPr="00383E9C">
        <w:rPr>
          <w:lang w:val="fr-FR"/>
        </w:rPr>
        <w:t xml:space="preserve">, </w:t>
      </w:r>
      <w:proofErr w:type="gramStart"/>
      <w:r w:rsidRPr="00383E9C">
        <w:rPr>
          <w:bCs/>
          <w:lang w:val="fr-FR"/>
        </w:rPr>
        <w:t>modifier</w:t>
      </w:r>
      <w:proofErr w:type="gramEnd"/>
      <w:r w:rsidRPr="00383E9C">
        <w:rPr>
          <w:bCs/>
          <w:lang w:val="fr-FR"/>
        </w:rPr>
        <w:t xml:space="preserve"> comme suit</w:t>
      </w:r>
      <w:r w:rsidR="007E6B4F">
        <w:rPr>
          <w:bCs/>
          <w:lang w:val="fr-FR"/>
        </w:rPr>
        <w:t> </w:t>
      </w:r>
      <w:r w:rsidRPr="00383E9C">
        <w:rPr>
          <w:bCs/>
          <w:lang w:val="fr-FR"/>
        </w:rPr>
        <w:t>:</w:t>
      </w:r>
    </w:p>
    <w:p w:rsidR="00337405" w:rsidRPr="00337405" w:rsidRDefault="00337405" w:rsidP="00337405">
      <w:pPr>
        <w:pStyle w:val="SingleTxt"/>
        <w:spacing w:after="0" w:line="120" w:lineRule="exact"/>
        <w:rPr>
          <w:bCs/>
          <w:sz w:val="10"/>
          <w:lang w:val="fr-FR"/>
        </w:rPr>
      </w:pPr>
    </w:p>
    <w:p w:rsidR="00337405" w:rsidRPr="00337405" w:rsidRDefault="00337405" w:rsidP="00337405">
      <w:pPr>
        <w:pStyle w:val="SingleTxt"/>
        <w:spacing w:after="0" w:line="120" w:lineRule="exact"/>
        <w:rPr>
          <w:bCs/>
          <w:sz w:val="10"/>
          <w:lang w:val="fr-FR"/>
        </w:rPr>
      </w:pPr>
    </w:p>
    <w:p w:rsidR="00584F1D" w:rsidRDefault="00584F1D" w:rsidP="00584F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4F1D">
        <w:rPr>
          <w:b w:val="0"/>
          <w:sz w:val="20"/>
          <w:szCs w:val="20"/>
          <w:lang w:val="fr-FR"/>
        </w:rPr>
        <w:t>« </w:t>
      </w:r>
      <w:r w:rsidRPr="00584F1D">
        <w:rPr>
          <w:lang w:val="fr-FR"/>
        </w:rPr>
        <w:t>Annexe 2A</w:t>
      </w:r>
    </w:p>
    <w:p w:rsidR="00584F1D" w:rsidRPr="00584F1D" w:rsidRDefault="00584F1D" w:rsidP="00584F1D">
      <w:pPr>
        <w:pStyle w:val="SingleTxt"/>
        <w:spacing w:after="0" w:line="120" w:lineRule="exact"/>
        <w:rPr>
          <w:sz w:val="10"/>
          <w:lang w:val="fr-FR"/>
        </w:rPr>
      </w:pPr>
    </w:p>
    <w:p w:rsidR="00584F1D" w:rsidRPr="00584F1D" w:rsidRDefault="00584F1D" w:rsidP="00584F1D">
      <w:pPr>
        <w:pStyle w:val="SingleTxt"/>
        <w:spacing w:after="0" w:line="120" w:lineRule="exact"/>
        <w:rPr>
          <w:sz w:val="10"/>
          <w:lang w:val="fr-FR"/>
        </w:rPr>
      </w:pPr>
    </w:p>
    <w:p w:rsidR="00584F1D" w:rsidRDefault="00584F1D" w:rsidP="00584F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84F1D">
        <w:rPr>
          <w:lang w:val="fr-FR"/>
        </w:rPr>
        <w:tab/>
      </w:r>
      <w:r w:rsidRPr="00584F1D">
        <w:rPr>
          <w:lang w:val="fr-FR"/>
        </w:rPr>
        <w:tab/>
      </w:r>
      <w:bookmarkStart w:id="3" w:name="_Toc384288914"/>
      <w:r w:rsidRPr="00584F1D">
        <w:rPr>
          <w:lang w:val="fr-FR"/>
        </w:rPr>
        <w:t xml:space="preserve">Exemple de marque d’homologation de type </w:t>
      </w:r>
      <w:r>
        <w:rPr>
          <w:lang w:val="fr-FR"/>
        </w:rPr>
        <w:br/>
      </w:r>
      <w:r w:rsidRPr="00584F1D">
        <w:rPr>
          <w:lang w:val="fr-FR"/>
        </w:rPr>
        <w:t>d’un organe GNC/GNL</w:t>
      </w:r>
      <w:bookmarkEnd w:id="3"/>
    </w:p>
    <w:p w:rsidR="00584F1D" w:rsidRPr="00584F1D" w:rsidRDefault="00584F1D" w:rsidP="00584F1D">
      <w:pPr>
        <w:pStyle w:val="SingleTxt"/>
        <w:spacing w:after="0" w:line="120" w:lineRule="exact"/>
        <w:rPr>
          <w:sz w:val="10"/>
          <w:lang w:val="fr-FR"/>
        </w:rPr>
      </w:pPr>
    </w:p>
    <w:p w:rsidR="00584F1D" w:rsidRPr="00584F1D" w:rsidRDefault="00584F1D" w:rsidP="00584F1D">
      <w:pPr>
        <w:pStyle w:val="SingleTxt"/>
        <w:spacing w:after="0" w:line="120" w:lineRule="exact"/>
        <w:rPr>
          <w:sz w:val="10"/>
          <w:lang w:val="fr-FR"/>
        </w:rPr>
      </w:pPr>
    </w:p>
    <w:p w:rsidR="00584F1D" w:rsidRDefault="00584F1D" w:rsidP="00584F1D">
      <w:pPr>
        <w:pStyle w:val="SingleTxt"/>
        <w:rPr>
          <w:lang w:val="fr-FR"/>
        </w:rPr>
      </w:pPr>
      <w:r w:rsidRPr="00584F1D">
        <w:rPr>
          <w:lang w:val="fr-FR"/>
        </w:rPr>
        <w:t>(Voir le paragraphe 7.2 du présent Règlement)</w:t>
      </w:r>
    </w:p>
    <w:p w:rsidR="00584F1D" w:rsidRPr="00584F1D" w:rsidRDefault="00584F1D" w:rsidP="00584F1D">
      <w:pPr>
        <w:pStyle w:val="SingleTxt"/>
        <w:spacing w:after="0" w:line="120" w:lineRule="exact"/>
        <w:rPr>
          <w:sz w:val="10"/>
          <w:lang w:val="fr-FR"/>
        </w:rPr>
      </w:pPr>
    </w:p>
    <w:p w:rsidR="00584F1D" w:rsidRDefault="00584F1D" w:rsidP="00584F1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1"/>
        <w:gridCol w:w="6084"/>
      </w:tblGrid>
      <w:tr w:rsidR="00F25C9A" w:rsidRPr="00F25C9A" w:rsidTr="00F25C9A">
        <w:tc>
          <w:tcPr>
            <w:tcW w:w="2801" w:type="dxa"/>
            <w:vAlign w:val="center"/>
          </w:tcPr>
          <w:p w:rsidR="00F25C9A" w:rsidRPr="00F25C9A" w:rsidRDefault="00F25C9A" w:rsidP="00F25C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rPr>
                <w:lang w:val="en-GB"/>
              </w:rPr>
            </w:pPr>
            <w:r w:rsidRPr="00F25C9A">
              <w:rPr>
                <w:rFonts w:eastAsia="MS Mincho"/>
                <w:noProof/>
                <w:lang w:val="en-GB" w:eastAsia="en-GB"/>
              </w:rPr>
              <w:drawing>
                <wp:inline distT="0" distB="0" distL="0" distR="0" wp14:anchorId="603EE594" wp14:editId="67FA43B1">
                  <wp:extent cx="1543793" cy="1112403"/>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l="-1575" t="-28770" r="-1575" b="-28770"/>
                          <a:stretch>
                            <a:fillRect/>
                          </a:stretch>
                        </pic:blipFill>
                        <pic:spPr bwMode="auto">
                          <a:xfrm>
                            <a:off x="0" y="0"/>
                            <a:ext cx="1546551" cy="1114390"/>
                          </a:xfrm>
                          <a:prstGeom prst="rect">
                            <a:avLst/>
                          </a:prstGeom>
                          <a:noFill/>
                        </pic:spPr>
                      </pic:pic>
                    </a:graphicData>
                  </a:graphic>
                </wp:inline>
              </w:drawing>
            </w:r>
          </w:p>
        </w:tc>
        <w:tc>
          <w:tcPr>
            <w:tcW w:w="6084" w:type="dxa"/>
            <w:vAlign w:val="center"/>
          </w:tcPr>
          <w:p w:rsidR="00F25C9A" w:rsidRPr="00F25C9A" w:rsidRDefault="00F25C9A" w:rsidP="00F25C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120" w:line="240" w:lineRule="auto"/>
              <w:rPr>
                <w:rFonts w:eastAsia="MS Mincho"/>
                <w:b/>
                <w:bCs/>
                <w:sz w:val="36"/>
                <w:szCs w:val="36"/>
                <w:lang w:val="fr-CH"/>
              </w:rPr>
            </w:pPr>
            <w:r w:rsidRPr="00F25C9A">
              <w:rPr>
                <w:rFonts w:eastAsia="MS Mincho"/>
                <w:b/>
                <w:bCs/>
                <w:sz w:val="36"/>
                <w:szCs w:val="36"/>
                <w:lang w:val="ru-RU"/>
              </w:rPr>
              <w:t>110 R-0</w:t>
            </w:r>
            <w:r w:rsidRPr="00F25C9A">
              <w:rPr>
                <w:rFonts w:eastAsia="MS Mincho" w:hint="eastAsia"/>
                <w:b/>
                <w:bCs/>
                <w:sz w:val="36"/>
                <w:szCs w:val="36"/>
                <w:lang w:val="ru-RU" w:eastAsia="ja-JP"/>
              </w:rPr>
              <w:t>2</w:t>
            </w:r>
            <w:r w:rsidRPr="00F25C9A">
              <w:rPr>
                <w:rFonts w:eastAsia="MS Mincho" w:hint="eastAsia"/>
                <w:b/>
                <w:bCs/>
                <w:strike/>
                <w:sz w:val="36"/>
                <w:szCs w:val="36"/>
                <w:lang w:val="ru-RU" w:eastAsia="ja-JP"/>
              </w:rPr>
              <w:t>0</w:t>
            </w:r>
            <w:r w:rsidRPr="00F25C9A">
              <w:rPr>
                <w:rFonts w:eastAsia="MS Mincho"/>
                <w:b/>
                <w:bCs/>
                <w:strike/>
                <w:sz w:val="36"/>
                <w:szCs w:val="36"/>
                <w:lang w:val="ru-RU"/>
              </w:rPr>
              <w:t>1</w:t>
            </w:r>
            <w:r w:rsidRPr="00F25C9A">
              <w:rPr>
                <w:rFonts w:eastAsia="MS Mincho"/>
                <w:b/>
                <w:bCs/>
                <w:sz w:val="36"/>
                <w:szCs w:val="36"/>
                <w:lang w:val="ru-RU"/>
              </w:rPr>
              <w:t xml:space="preserve">2439 </w:t>
            </w:r>
            <w:r>
              <w:rPr>
                <w:rFonts w:eastAsia="MS Mincho" w:cs="Times New Roman"/>
                <w:b/>
                <w:bCs/>
                <w:sz w:val="36"/>
                <w:szCs w:val="36"/>
                <w:lang w:val="fr-CH"/>
              </w:rPr>
              <w:t>“</w:t>
            </w:r>
            <w:r w:rsidRPr="00F25C9A">
              <w:rPr>
                <w:rFonts w:eastAsia="MS Mincho"/>
                <w:b/>
                <w:bCs/>
                <w:sz w:val="36"/>
                <w:szCs w:val="36"/>
                <w:lang w:val="ru-RU"/>
              </w:rPr>
              <w:t>L</w:t>
            </w:r>
            <w:r>
              <w:rPr>
                <w:rFonts w:eastAsia="MS Mincho" w:cs="Times New Roman"/>
                <w:b/>
                <w:bCs/>
                <w:sz w:val="36"/>
                <w:szCs w:val="36"/>
                <w:lang w:val="fr-CH"/>
              </w:rPr>
              <w:t>”</w:t>
            </w:r>
          </w:p>
          <w:p w:rsidR="00F25C9A" w:rsidRPr="00F25C9A" w:rsidRDefault="00F25C9A" w:rsidP="00E424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jc w:val="right"/>
              <w:rPr>
                <w:sz w:val="28"/>
                <w:szCs w:val="28"/>
                <w:lang w:val="fr-CH"/>
              </w:rPr>
            </w:pPr>
            <w:r w:rsidRPr="00F25C9A">
              <w:rPr>
                <w:rFonts w:eastAsia="MS Mincho"/>
                <w:b/>
                <w:bCs/>
                <w:sz w:val="28"/>
                <w:szCs w:val="28"/>
                <w:lang w:val="ru-RU"/>
              </w:rPr>
              <w:t>(</w:t>
            </w:r>
            <w:r>
              <w:rPr>
                <w:rFonts w:eastAsia="MS Mincho"/>
                <w:b/>
                <w:bCs/>
                <w:sz w:val="28"/>
                <w:szCs w:val="28"/>
                <w:lang w:val="fr-CH"/>
              </w:rPr>
              <w:t xml:space="preserve">ou </w:t>
            </w:r>
            <w:r>
              <w:rPr>
                <w:rFonts w:eastAsia="MS Mincho" w:cs="Times New Roman"/>
                <w:b/>
                <w:bCs/>
                <w:sz w:val="28"/>
                <w:szCs w:val="28"/>
                <w:lang w:val="fr-CH"/>
              </w:rPr>
              <w:t>“</w:t>
            </w:r>
            <w:r>
              <w:rPr>
                <w:rFonts w:eastAsia="MS Mincho"/>
                <w:b/>
                <w:bCs/>
                <w:sz w:val="28"/>
                <w:szCs w:val="28"/>
                <w:lang w:val="fr-CH"/>
              </w:rPr>
              <w:t>M</w:t>
            </w:r>
            <w:r>
              <w:rPr>
                <w:rFonts w:eastAsia="MS Mincho" w:cs="Times New Roman"/>
                <w:b/>
                <w:bCs/>
                <w:sz w:val="28"/>
                <w:szCs w:val="28"/>
                <w:lang w:val="fr-CH"/>
              </w:rPr>
              <w:t>”</w:t>
            </w:r>
            <w:r>
              <w:rPr>
                <w:rFonts w:eastAsia="MS Mincho"/>
                <w:b/>
                <w:bCs/>
                <w:sz w:val="28"/>
                <w:szCs w:val="28"/>
                <w:lang w:val="fr-CH"/>
              </w:rPr>
              <w:t xml:space="preserve"> ou </w:t>
            </w:r>
            <w:r>
              <w:rPr>
                <w:rFonts w:eastAsia="MS Mincho" w:cs="Times New Roman"/>
                <w:b/>
                <w:bCs/>
                <w:sz w:val="28"/>
                <w:szCs w:val="28"/>
                <w:lang w:val="fr-CH"/>
              </w:rPr>
              <w:t>“</w:t>
            </w:r>
            <w:r>
              <w:rPr>
                <w:rFonts w:eastAsia="MS Mincho"/>
                <w:b/>
                <w:bCs/>
                <w:sz w:val="28"/>
                <w:szCs w:val="28"/>
                <w:lang w:val="fr-CH"/>
              </w:rPr>
              <w:t>C</w:t>
            </w:r>
            <w:r>
              <w:rPr>
                <w:rFonts w:eastAsia="MS Mincho" w:cs="Times New Roman"/>
                <w:b/>
                <w:bCs/>
                <w:sz w:val="28"/>
                <w:szCs w:val="28"/>
                <w:lang w:val="fr-CH"/>
              </w:rPr>
              <w:t>”</w:t>
            </w:r>
            <w:r w:rsidR="00E4240E">
              <w:rPr>
                <w:rFonts w:eastAsia="MS Mincho"/>
                <w:b/>
                <w:bCs/>
                <w:sz w:val="28"/>
                <w:szCs w:val="28"/>
                <w:lang w:val="fr-CH"/>
              </w:rPr>
              <w:t>)</w:t>
            </w:r>
          </w:p>
        </w:tc>
      </w:tr>
    </w:tbl>
    <w:p w:rsidR="00E4240E" w:rsidRPr="00E4240E" w:rsidRDefault="00E4240E" w:rsidP="00E424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right"/>
        <w:rPr>
          <w:rFonts w:eastAsiaTheme="minorEastAsia"/>
          <w:sz w:val="10"/>
          <w:lang w:val="en-GB" w:eastAsia="zh-CN"/>
        </w:rPr>
      </w:pPr>
    </w:p>
    <w:p w:rsidR="00E4240E" w:rsidRPr="00E4240E" w:rsidRDefault="00E4240E" w:rsidP="00E424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right"/>
        <w:rPr>
          <w:rFonts w:eastAsiaTheme="minorEastAsia"/>
          <w:sz w:val="10"/>
          <w:lang w:val="en-GB" w:eastAsia="zh-CN"/>
        </w:rPr>
      </w:pPr>
    </w:p>
    <w:p w:rsidR="00F25C9A" w:rsidRPr="00F25C9A" w:rsidRDefault="00E4240E" w:rsidP="00E424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jc w:val="right"/>
        <w:rPr>
          <w:rFonts w:eastAsiaTheme="minorEastAsia"/>
          <w:lang w:val="en-GB" w:eastAsia="zh-CN"/>
        </w:rPr>
      </w:pPr>
      <w:proofErr w:type="gramStart"/>
      <w:r>
        <w:rPr>
          <w:rFonts w:eastAsiaTheme="minorEastAsia"/>
          <w:lang w:val="en-GB" w:eastAsia="zh-CN"/>
        </w:rPr>
        <w:t>a</w:t>
      </w:r>
      <w:proofErr w:type="gramEnd"/>
      <w:r>
        <w:rPr>
          <w:rFonts w:eastAsiaTheme="minorEastAsia"/>
          <w:lang w:val="en-GB" w:eastAsia="zh-CN"/>
        </w:rPr>
        <w:t xml:space="preserve"> </w:t>
      </w:r>
      <w:r w:rsidR="00F25C9A" w:rsidRPr="00F25C9A">
        <w:rPr>
          <w:rFonts w:eastAsiaTheme="minorEastAsia"/>
          <w:lang w:val="en-GB" w:eastAsia="zh-CN"/>
        </w:rPr>
        <w:sym w:font="Symbol" w:char="F0B3"/>
      </w:r>
      <w:r w:rsidR="00F25C9A" w:rsidRPr="00F25C9A">
        <w:rPr>
          <w:rFonts w:eastAsiaTheme="minorEastAsia"/>
          <w:lang w:val="ru-RU" w:eastAsia="zh-CN"/>
        </w:rPr>
        <w:t xml:space="preserve"> 8</w:t>
      </w:r>
      <w:r>
        <w:rPr>
          <w:rFonts w:eastAsiaTheme="minorEastAsia"/>
          <w:lang w:val="fr-CH" w:eastAsia="zh-CN"/>
        </w:rPr>
        <w:t xml:space="preserve"> mm</w:t>
      </w:r>
    </w:p>
    <w:p w:rsidR="00E4240E" w:rsidRPr="00E4240E" w:rsidRDefault="00E4240E" w:rsidP="00E4240E">
      <w:pPr>
        <w:pStyle w:val="SingleTxt"/>
        <w:rPr>
          <w:rFonts w:eastAsiaTheme="minorEastAsia"/>
          <w:lang w:val="fr-FR" w:eastAsia="zh-CN"/>
        </w:rPr>
      </w:pPr>
      <w:r>
        <w:rPr>
          <w:rFonts w:eastAsiaTheme="minorEastAsia"/>
          <w:lang w:val="fr-FR" w:eastAsia="zh-CN"/>
        </w:rPr>
        <w:tab/>
      </w:r>
      <w:r w:rsidRPr="00E4240E">
        <w:rPr>
          <w:rFonts w:eastAsiaTheme="minorEastAsia"/>
          <w:lang w:val="fr-FR" w:eastAsia="zh-CN"/>
        </w:rPr>
        <w:t xml:space="preserve">La marque d’homologation ci-dessus, apposée sur un organe GNC ou GNL, indique que cet organe a été homologué en Italie (E 3), en application du Règlement </w:t>
      </w:r>
      <w:r>
        <w:rPr>
          <w:rFonts w:eastAsiaTheme="minorEastAsia"/>
          <w:lang w:val="fr-FR" w:eastAsia="zh-CN"/>
        </w:rPr>
        <w:t>n</w:t>
      </w:r>
      <w:r w:rsidRPr="00E4240E">
        <w:rPr>
          <w:rFonts w:eastAsiaTheme="minorEastAsia"/>
          <w:vertAlign w:val="superscript"/>
          <w:lang w:val="fr-FR" w:eastAsia="zh-CN"/>
        </w:rPr>
        <w:t>o</w:t>
      </w:r>
      <w:r>
        <w:rPr>
          <w:rFonts w:eastAsiaTheme="minorEastAsia"/>
          <w:lang w:val="fr-FR" w:eastAsia="zh-CN"/>
        </w:rPr>
        <w:t> </w:t>
      </w:r>
      <w:r w:rsidRPr="00E4240E">
        <w:rPr>
          <w:rFonts w:eastAsiaTheme="minorEastAsia"/>
          <w:lang w:val="fr-FR" w:eastAsia="zh-CN"/>
        </w:rPr>
        <w:t xml:space="preserve">110, sous le numéro d’homologation </w:t>
      </w:r>
      <w:r w:rsidRPr="00E4240E">
        <w:rPr>
          <w:rFonts w:eastAsiaTheme="minorEastAsia"/>
          <w:b/>
          <w:lang w:val="fr-FR" w:eastAsia="zh-CN"/>
        </w:rPr>
        <w:t>02</w:t>
      </w:r>
      <w:r w:rsidRPr="00E4240E">
        <w:rPr>
          <w:rFonts w:eastAsiaTheme="minorEastAsia"/>
          <w:strike/>
          <w:lang w:val="fr-FR" w:eastAsia="zh-CN"/>
        </w:rPr>
        <w:t>01</w:t>
      </w:r>
      <w:r w:rsidRPr="00E4240E">
        <w:rPr>
          <w:rFonts w:eastAsiaTheme="minorEastAsia"/>
          <w:lang w:val="fr-FR" w:eastAsia="zh-CN"/>
        </w:rPr>
        <w:t>2439. Les deux premiers chiffres de ce numéro signifient que l’homologation a été délivrée conformément aux dispositions du Règlement</w:t>
      </w:r>
      <w:r>
        <w:rPr>
          <w:rFonts w:eastAsiaTheme="minorEastAsia"/>
          <w:lang w:val="fr-FR" w:eastAsia="zh-CN"/>
        </w:rPr>
        <w:t xml:space="preserve"> n</w:t>
      </w:r>
      <w:r w:rsidRPr="00E4240E">
        <w:rPr>
          <w:rFonts w:eastAsiaTheme="minorEastAsia"/>
          <w:vertAlign w:val="superscript"/>
          <w:lang w:val="fr-FR" w:eastAsia="zh-CN"/>
        </w:rPr>
        <w:t>o</w:t>
      </w:r>
      <w:r>
        <w:rPr>
          <w:rFonts w:eastAsiaTheme="minorEastAsia"/>
          <w:lang w:val="fr-FR" w:eastAsia="zh-CN"/>
        </w:rPr>
        <w:t> </w:t>
      </w:r>
      <w:r w:rsidRPr="00E4240E">
        <w:rPr>
          <w:rFonts w:eastAsiaTheme="minorEastAsia"/>
          <w:lang w:val="fr-FR" w:eastAsia="zh-CN"/>
        </w:rPr>
        <w:t xml:space="preserve">110 tel que modifié par la série </w:t>
      </w:r>
      <w:r w:rsidRPr="00E4240E">
        <w:rPr>
          <w:rFonts w:eastAsiaTheme="minorEastAsia"/>
          <w:b/>
          <w:lang w:val="fr-FR" w:eastAsia="zh-CN"/>
        </w:rPr>
        <w:t>02</w:t>
      </w:r>
      <w:r w:rsidRPr="00E4240E">
        <w:rPr>
          <w:rFonts w:eastAsiaTheme="minorEastAsia"/>
          <w:strike/>
          <w:lang w:val="fr-FR" w:eastAsia="zh-CN"/>
        </w:rPr>
        <w:t>01</w:t>
      </w:r>
      <w:r w:rsidRPr="00E4240E">
        <w:rPr>
          <w:rFonts w:eastAsiaTheme="minorEastAsia"/>
          <w:lang w:val="fr-FR" w:eastAsia="zh-CN"/>
        </w:rPr>
        <w:t xml:space="preserve"> d’amendements.</w:t>
      </w:r>
    </w:p>
    <w:p w:rsidR="00E4240E" w:rsidRPr="00E4240E" w:rsidRDefault="00E4240E" w:rsidP="00E4240E">
      <w:pPr>
        <w:pStyle w:val="SingleTxt"/>
        <w:rPr>
          <w:rFonts w:eastAsiaTheme="minorEastAsia"/>
          <w:lang w:val="fr-FR" w:eastAsia="zh-CN"/>
        </w:rPr>
      </w:pPr>
      <w:r w:rsidRPr="00E4240E">
        <w:rPr>
          <w:rFonts w:eastAsiaTheme="minorEastAsia"/>
          <w:lang w:val="fr-FR" w:eastAsia="zh-CN"/>
        </w:rPr>
        <w:t xml:space="preserve">La lettre </w:t>
      </w:r>
      <w:r>
        <w:rPr>
          <w:rFonts w:eastAsiaTheme="minorEastAsia"/>
          <w:lang w:val="fr-FR" w:eastAsia="zh-CN"/>
        </w:rPr>
        <w:t>“</w:t>
      </w:r>
      <w:r w:rsidRPr="00E4240E">
        <w:rPr>
          <w:rFonts w:eastAsiaTheme="minorEastAsia"/>
          <w:lang w:val="fr-FR" w:eastAsia="zh-CN"/>
        </w:rPr>
        <w:t>L</w:t>
      </w:r>
      <w:r>
        <w:rPr>
          <w:rFonts w:eastAsiaTheme="minorEastAsia"/>
          <w:lang w:val="fr-FR" w:eastAsia="zh-CN"/>
        </w:rPr>
        <w:t>”</w:t>
      </w:r>
      <w:r w:rsidRPr="00E4240E">
        <w:rPr>
          <w:rFonts w:eastAsiaTheme="minorEastAsia"/>
          <w:lang w:val="fr-FR" w:eastAsia="zh-CN"/>
        </w:rPr>
        <w:t xml:space="preserve"> indique que l’organe</w:t>
      </w:r>
      <w:r>
        <w:rPr>
          <w:rFonts w:eastAsiaTheme="minorEastAsia"/>
          <w:lang w:val="fr-FR" w:eastAsia="zh-CN"/>
        </w:rPr>
        <w:t xml:space="preserve"> peut être utilisé avec du GNL.</w:t>
      </w:r>
    </w:p>
    <w:p w:rsidR="00E4240E" w:rsidRPr="00E4240E" w:rsidRDefault="00E4240E" w:rsidP="00E4240E">
      <w:pPr>
        <w:pStyle w:val="SingleTxt"/>
        <w:rPr>
          <w:rFonts w:eastAsiaTheme="minorEastAsia"/>
          <w:lang w:val="fr-FR" w:eastAsia="zh-CN"/>
        </w:rPr>
      </w:pPr>
      <w:r w:rsidRPr="00E4240E">
        <w:rPr>
          <w:rFonts w:eastAsiaTheme="minorEastAsia"/>
          <w:lang w:val="fr-FR" w:eastAsia="zh-CN"/>
        </w:rPr>
        <w:t xml:space="preserve">La lettre </w:t>
      </w:r>
      <w:r>
        <w:rPr>
          <w:rFonts w:eastAsiaTheme="minorEastAsia"/>
          <w:lang w:val="fr-FR" w:eastAsia="zh-CN"/>
        </w:rPr>
        <w:t>“</w:t>
      </w:r>
      <w:r w:rsidRPr="00E4240E">
        <w:rPr>
          <w:rFonts w:eastAsiaTheme="minorEastAsia"/>
          <w:lang w:val="fr-FR" w:eastAsia="zh-CN"/>
        </w:rPr>
        <w:t>M</w:t>
      </w:r>
      <w:r>
        <w:rPr>
          <w:rFonts w:eastAsiaTheme="minorEastAsia"/>
          <w:lang w:val="fr-FR" w:eastAsia="zh-CN"/>
        </w:rPr>
        <w:t xml:space="preserve">” </w:t>
      </w:r>
      <w:r w:rsidRPr="00E4240E">
        <w:rPr>
          <w:rFonts w:eastAsiaTheme="minorEastAsia"/>
          <w:lang w:val="fr-FR" w:eastAsia="zh-CN"/>
        </w:rPr>
        <w:t>indique qu’il peut être utilisé à une température modérée.</w:t>
      </w:r>
    </w:p>
    <w:p w:rsidR="00E4240E" w:rsidRPr="00E4240E" w:rsidRDefault="00E4240E" w:rsidP="00E4240E">
      <w:pPr>
        <w:pStyle w:val="SingleTxt"/>
        <w:rPr>
          <w:rFonts w:eastAsiaTheme="minorEastAsia"/>
          <w:lang w:val="fr-FR" w:eastAsia="zh-CN"/>
        </w:rPr>
      </w:pPr>
      <w:r w:rsidRPr="00E4240E">
        <w:rPr>
          <w:rFonts w:eastAsiaTheme="minorEastAsia"/>
          <w:lang w:val="fr-FR" w:eastAsia="zh-CN"/>
        </w:rPr>
        <w:t xml:space="preserve">La lettre </w:t>
      </w:r>
      <w:r>
        <w:rPr>
          <w:rFonts w:eastAsiaTheme="minorEastAsia"/>
          <w:lang w:val="fr-FR" w:eastAsia="zh-CN"/>
        </w:rPr>
        <w:t>“</w:t>
      </w:r>
      <w:r w:rsidRPr="00E4240E">
        <w:rPr>
          <w:rFonts w:eastAsiaTheme="minorEastAsia"/>
          <w:lang w:val="fr-FR" w:eastAsia="zh-CN"/>
        </w:rPr>
        <w:t>C</w:t>
      </w:r>
      <w:r>
        <w:rPr>
          <w:rFonts w:eastAsiaTheme="minorEastAsia"/>
          <w:lang w:val="fr-FR" w:eastAsia="zh-CN"/>
        </w:rPr>
        <w:t xml:space="preserve">” </w:t>
      </w:r>
      <w:r w:rsidRPr="00E4240E">
        <w:rPr>
          <w:rFonts w:eastAsiaTheme="minorEastAsia"/>
          <w:lang w:val="fr-FR" w:eastAsia="zh-CN"/>
        </w:rPr>
        <w:t>indique qu’il peut être utilisé à une température basse.</w:t>
      </w:r>
      <w:r>
        <w:rPr>
          <w:rFonts w:eastAsiaTheme="minorEastAsia"/>
          <w:lang w:val="fr-FR" w:eastAsia="zh-CN"/>
        </w:rPr>
        <w:t> »</w:t>
      </w:r>
      <w:r w:rsidRPr="00E4240E">
        <w:rPr>
          <w:rFonts w:eastAsiaTheme="minorEastAsia"/>
          <w:lang w:val="fr-FR" w:eastAsia="zh-CN"/>
        </w:rPr>
        <w:t>.</w:t>
      </w:r>
    </w:p>
    <w:p w:rsidR="00E4240E" w:rsidRDefault="00E4240E" w:rsidP="004909A6">
      <w:pPr>
        <w:pStyle w:val="SingleTxt"/>
        <w:keepNext/>
        <w:keepLines/>
        <w:rPr>
          <w:rFonts w:eastAsiaTheme="minorEastAsia"/>
          <w:bCs/>
          <w:lang w:val="fr-FR" w:eastAsia="zh-CN"/>
        </w:rPr>
      </w:pPr>
      <w:r w:rsidRPr="00E4240E">
        <w:rPr>
          <w:rFonts w:eastAsiaTheme="minorEastAsia"/>
          <w:i/>
          <w:lang w:val="fr-FR" w:eastAsia="zh-CN"/>
        </w:rPr>
        <w:lastRenderedPageBreak/>
        <w:t>Annexe 2C</w:t>
      </w:r>
      <w:r w:rsidRPr="00E4240E">
        <w:rPr>
          <w:rFonts w:eastAsiaTheme="minorEastAsia"/>
          <w:lang w:val="fr-FR" w:eastAsia="zh-CN"/>
        </w:rPr>
        <w:t xml:space="preserve">, </w:t>
      </w:r>
      <w:proofErr w:type="gramStart"/>
      <w:r w:rsidRPr="00E4240E">
        <w:rPr>
          <w:rFonts w:eastAsiaTheme="minorEastAsia"/>
          <w:bCs/>
          <w:lang w:val="fr-FR" w:eastAsia="zh-CN"/>
        </w:rPr>
        <w:t>modifier</w:t>
      </w:r>
      <w:proofErr w:type="gramEnd"/>
      <w:r w:rsidRPr="00E4240E">
        <w:rPr>
          <w:rFonts w:eastAsiaTheme="minorEastAsia"/>
          <w:bCs/>
          <w:lang w:val="fr-FR" w:eastAsia="zh-CN"/>
        </w:rPr>
        <w:t xml:space="preserve"> comme suit</w:t>
      </w:r>
      <w:r>
        <w:rPr>
          <w:rFonts w:eastAsiaTheme="minorEastAsia"/>
          <w:bCs/>
          <w:lang w:val="fr-FR" w:eastAsia="zh-CN"/>
        </w:rPr>
        <w:t> </w:t>
      </w:r>
      <w:r w:rsidRPr="00E4240E">
        <w:rPr>
          <w:rFonts w:eastAsiaTheme="minorEastAsia"/>
          <w:bCs/>
          <w:lang w:val="fr-FR" w:eastAsia="zh-CN"/>
        </w:rPr>
        <w:t>:</w:t>
      </w:r>
    </w:p>
    <w:p w:rsidR="00E4240E" w:rsidRDefault="00E4240E" w:rsidP="003374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zh-CN"/>
        </w:rPr>
      </w:pPr>
      <w:r w:rsidRPr="00E4240E">
        <w:rPr>
          <w:b w:val="0"/>
          <w:sz w:val="20"/>
          <w:szCs w:val="20"/>
          <w:lang w:val="fr-FR" w:eastAsia="zh-CN"/>
        </w:rPr>
        <w:t>« </w:t>
      </w:r>
      <w:r w:rsidRPr="00E4240E">
        <w:rPr>
          <w:lang w:val="fr-FR" w:eastAsia="zh-CN"/>
        </w:rPr>
        <w:t>Annexe 2C</w:t>
      </w:r>
    </w:p>
    <w:p w:rsidR="00E4240E" w:rsidRPr="00E4240E" w:rsidRDefault="00E4240E" w:rsidP="00337405">
      <w:pPr>
        <w:pStyle w:val="SingleTxt"/>
        <w:keepNext/>
        <w:keepLines/>
        <w:spacing w:after="0" w:line="120" w:lineRule="exact"/>
        <w:rPr>
          <w:sz w:val="10"/>
          <w:lang w:val="fr-FR" w:eastAsia="zh-CN"/>
        </w:rPr>
      </w:pPr>
    </w:p>
    <w:p w:rsidR="00E4240E" w:rsidRPr="00E4240E" w:rsidRDefault="00E4240E" w:rsidP="00337405">
      <w:pPr>
        <w:pStyle w:val="SingleTxt"/>
        <w:keepNext/>
        <w:keepLines/>
        <w:spacing w:after="0" w:line="120" w:lineRule="exact"/>
        <w:rPr>
          <w:sz w:val="10"/>
          <w:lang w:val="fr-FR" w:eastAsia="zh-CN"/>
        </w:rPr>
      </w:pPr>
    </w:p>
    <w:p w:rsidR="00E4240E" w:rsidRDefault="00E4240E" w:rsidP="003374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zh-CN"/>
        </w:rPr>
      </w:pPr>
      <w:r w:rsidRPr="00E4240E">
        <w:rPr>
          <w:lang w:val="fr-FR" w:eastAsia="zh-CN"/>
        </w:rPr>
        <w:tab/>
      </w:r>
      <w:r w:rsidRPr="00E4240E">
        <w:rPr>
          <w:lang w:val="fr-FR" w:eastAsia="zh-CN"/>
        </w:rPr>
        <w:tab/>
      </w:r>
      <w:bookmarkStart w:id="4" w:name="_Toc384288919"/>
      <w:r w:rsidRPr="00E4240E">
        <w:rPr>
          <w:lang w:val="fr-FR" w:eastAsia="zh-CN"/>
        </w:rPr>
        <w:t>Exemple de marques d’homologation</w:t>
      </w:r>
      <w:bookmarkEnd w:id="4"/>
    </w:p>
    <w:p w:rsidR="00E4240E" w:rsidRPr="00E4240E" w:rsidRDefault="00E4240E" w:rsidP="00337405">
      <w:pPr>
        <w:pStyle w:val="SingleTxt"/>
        <w:keepNext/>
        <w:keepLines/>
        <w:spacing w:after="0" w:line="120" w:lineRule="exact"/>
        <w:rPr>
          <w:sz w:val="10"/>
          <w:lang w:val="fr-FR" w:eastAsia="zh-CN"/>
        </w:rPr>
      </w:pPr>
    </w:p>
    <w:p w:rsidR="00E4240E" w:rsidRPr="00E4240E" w:rsidRDefault="00E4240E" w:rsidP="00337405">
      <w:pPr>
        <w:pStyle w:val="SingleTxt"/>
        <w:keepNext/>
        <w:keepLines/>
        <w:spacing w:after="0" w:line="120" w:lineRule="exact"/>
        <w:rPr>
          <w:sz w:val="10"/>
          <w:lang w:val="fr-FR" w:eastAsia="zh-CN"/>
        </w:rPr>
      </w:pPr>
    </w:p>
    <w:p w:rsidR="00584F1D" w:rsidRDefault="007702C8" w:rsidP="007702C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heme="minorEastAsia" w:hint="eastAsia"/>
          <w:lang w:val="fr-FR" w:eastAsia="zh-CN"/>
        </w:rPr>
      </w:pPr>
      <w:r>
        <w:rPr>
          <w:lang w:val="fr-FR" w:eastAsia="zh-CN"/>
        </w:rPr>
        <w:tab/>
      </w:r>
      <w:r>
        <w:rPr>
          <w:lang w:val="fr-FR" w:eastAsia="zh-CN"/>
        </w:rPr>
        <w:tab/>
      </w:r>
      <w:r w:rsidR="00E4240E" w:rsidRPr="00E4240E">
        <w:rPr>
          <w:lang w:val="fr-FR" w:eastAsia="zh-CN"/>
        </w:rPr>
        <w:t>Mod</w:t>
      </w:r>
      <w:r w:rsidR="00E4240E">
        <w:rPr>
          <w:lang w:val="fr-FR" w:eastAsia="zh-CN"/>
        </w:rPr>
        <w:t>è</w:t>
      </w:r>
      <w:r w:rsidR="00E4240E" w:rsidRPr="00E4240E">
        <w:rPr>
          <w:lang w:val="fr-FR" w:eastAsia="zh-CN"/>
        </w:rPr>
        <w:t>l</w:t>
      </w:r>
      <w:r w:rsidR="00E4240E">
        <w:rPr>
          <w:lang w:val="fr-FR" w:eastAsia="zh-CN"/>
        </w:rPr>
        <w:t>e</w:t>
      </w:r>
      <w:r w:rsidR="00E4240E" w:rsidRPr="00E4240E">
        <w:rPr>
          <w:lang w:val="fr-FR" w:eastAsia="zh-CN"/>
        </w:rPr>
        <w:t xml:space="preserve"> A</w:t>
      </w:r>
      <w:r>
        <w:rPr>
          <w:lang w:val="fr-FR" w:eastAsia="zh-CN"/>
        </w:rPr>
        <w:t xml:space="preserve"> </w:t>
      </w:r>
      <w:r>
        <w:rPr>
          <w:lang w:val="fr-FR" w:eastAsia="zh-CN"/>
        </w:rPr>
        <w:br/>
      </w:r>
      <w:r w:rsidR="00E4240E" w:rsidRPr="00E4240E">
        <w:rPr>
          <w:rFonts w:eastAsiaTheme="minorEastAsia"/>
          <w:lang w:val="fr-FR" w:eastAsia="zh-CN"/>
        </w:rPr>
        <w:t>(Voir le paragraphe 17.2 du présent Règlement)</w:t>
      </w:r>
    </w:p>
    <w:p w:rsidR="00E4240E" w:rsidRPr="00E4240E" w:rsidRDefault="00E4240E" w:rsidP="00E4240E">
      <w:pPr>
        <w:pStyle w:val="SingleTxt"/>
        <w:spacing w:after="0" w:line="120" w:lineRule="exact"/>
        <w:rPr>
          <w:rFonts w:eastAsiaTheme="minorEastAsia"/>
          <w:sz w:val="10"/>
          <w:lang w:val="fr-FR" w:eastAsia="zh-CN"/>
        </w:rPr>
      </w:pPr>
    </w:p>
    <w:p w:rsidR="00E4240E" w:rsidRPr="00E4240E" w:rsidRDefault="00E4240E" w:rsidP="00E4240E">
      <w:pPr>
        <w:pStyle w:val="SingleTxt"/>
        <w:spacing w:after="0" w:line="120" w:lineRule="exact"/>
        <w:rPr>
          <w:sz w:val="10"/>
        </w:rPr>
      </w:pPr>
    </w:p>
    <w:tbl>
      <w:tblPr>
        <w:tblW w:w="8784" w:type="dxa"/>
        <w:tblInd w:w="1260" w:type="dxa"/>
        <w:tblLayout w:type="fixed"/>
        <w:tblCellMar>
          <w:left w:w="0" w:type="dxa"/>
          <w:right w:w="0" w:type="dxa"/>
        </w:tblCellMar>
        <w:tblLook w:val="00A0" w:firstRow="1" w:lastRow="0" w:firstColumn="1" w:lastColumn="0" w:noHBand="0" w:noVBand="0"/>
      </w:tblPr>
      <w:tblGrid>
        <w:gridCol w:w="2700"/>
        <w:gridCol w:w="6084"/>
      </w:tblGrid>
      <w:tr w:rsidR="00E4240E" w:rsidRPr="00E4240E" w:rsidTr="00E4240E">
        <w:trPr>
          <w:trHeight w:val="1855"/>
        </w:trPr>
        <w:tc>
          <w:tcPr>
            <w:tcW w:w="2700" w:type="dxa"/>
          </w:tcPr>
          <w:p w:rsidR="00E4240E" w:rsidRPr="00E4240E" w:rsidRDefault="00E4240E" w:rsidP="00E424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jc w:val="both"/>
              <w:rPr>
                <w:rFonts w:eastAsiaTheme="minorEastAsia"/>
                <w:lang w:val="en-GB" w:eastAsia="zh-CN"/>
              </w:rPr>
            </w:pPr>
            <w:r w:rsidRPr="00E4240E">
              <w:rPr>
                <w:rFonts w:eastAsiaTheme="minorEastAsia"/>
                <w:noProof/>
                <w:lang w:val="en-GB" w:eastAsia="en-GB"/>
              </w:rPr>
              <w:drawing>
                <wp:inline distT="0" distB="0" distL="0" distR="0" wp14:anchorId="0C227E13" wp14:editId="224B463E">
                  <wp:extent cx="1561605" cy="1076510"/>
                  <wp:effectExtent l="0" t="0" r="6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575" t="-28772" r="-1575" b="-28772"/>
                          <a:stretch>
                            <a:fillRect/>
                          </a:stretch>
                        </pic:blipFill>
                        <pic:spPr bwMode="auto">
                          <a:xfrm>
                            <a:off x="0" y="0"/>
                            <a:ext cx="1560855" cy="1075993"/>
                          </a:xfrm>
                          <a:prstGeom prst="rect">
                            <a:avLst/>
                          </a:prstGeom>
                          <a:noFill/>
                          <a:ln>
                            <a:noFill/>
                          </a:ln>
                        </pic:spPr>
                      </pic:pic>
                    </a:graphicData>
                  </a:graphic>
                </wp:inline>
              </w:drawing>
            </w:r>
          </w:p>
        </w:tc>
        <w:tc>
          <w:tcPr>
            <w:tcW w:w="6084" w:type="dxa"/>
            <w:vAlign w:val="center"/>
          </w:tcPr>
          <w:p w:rsidR="00E4240E" w:rsidRPr="00E4240E" w:rsidRDefault="00E4240E" w:rsidP="00E4240E">
            <w:pPr>
              <w:tabs>
                <w:tab w:val="left" w:pos="1267"/>
                <w:tab w:val="left" w:pos="1742"/>
                <w:tab w:val="left" w:pos="2218"/>
                <w:tab w:val="left" w:pos="2693"/>
                <w:tab w:val="left" w:pos="3658"/>
                <w:tab w:val="left" w:pos="4133"/>
                <w:tab w:val="left" w:pos="4622"/>
                <w:tab w:val="left" w:pos="5098"/>
                <w:tab w:val="left" w:pos="5573"/>
                <w:tab w:val="left" w:pos="6048"/>
                <w:tab w:val="left" w:pos="6538"/>
                <w:tab w:val="left" w:pos="7013"/>
                <w:tab w:val="left" w:pos="7488"/>
                <w:tab w:val="left" w:pos="7978"/>
                <w:tab w:val="left" w:pos="8453"/>
              </w:tabs>
              <w:spacing w:before="120" w:line="240" w:lineRule="auto"/>
              <w:ind w:right="-230"/>
              <w:rPr>
                <w:rFonts w:eastAsia="MS Mincho"/>
                <w:b/>
                <w:bCs/>
                <w:sz w:val="36"/>
                <w:szCs w:val="36"/>
                <w:lang w:val="ru-RU" w:eastAsia="zh-CN"/>
              </w:rPr>
            </w:pPr>
            <w:r w:rsidRPr="00E4240E">
              <w:rPr>
                <w:rFonts w:eastAsia="MS Mincho"/>
                <w:b/>
                <w:bCs/>
                <w:sz w:val="36"/>
                <w:szCs w:val="36"/>
                <w:lang w:val="ru-RU" w:eastAsia="zh-CN"/>
              </w:rPr>
              <w:t>110 R-0</w:t>
            </w:r>
            <w:r w:rsidRPr="00E4240E">
              <w:rPr>
                <w:rFonts w:eastAsia="MS Mincho" w:hint="eastAsia"/>
                <w:b/>
                <w:bCs/>
                <w:sz w:val="36"/>
                <w:szCs w:val="36"/>
                <w:lang w:val="ru-RU" w:eastAsia="zh-CN"/>
              </w:rPr>
              <w:t>2</w:t>
            </w:r>
            <w:r w:rsidRPr="00E4240E">
              <w:rPr>
                <w:rFonts w:eastAsia="MS Mincho" w:hint="eastAsia"/>
                <w:b/>
                <w:bCs/>
                <w:strike/>
                <w:sz w:val="36"/>
                <w:szCs w:val="36"/>
                <w:lang w:val="ru-RU" w:eastAsia="zh-CN"/>
              </w:rPr>
              <w:t>0</w:t>
            </w:r>
            <w:r w:rsidRPr="00E4240E">
              <w:rPr>
                <w:rFonts w:eastAsia="MS Mincho"/>
                <w:b/>
                <w:bCs/>
                <w:strike/>
                <w:sz w:val="36"/>
                <w:szCs w:val="36"/>
                <w:lang w:val="ru-RU" w:eastAsia="zh-CN"/>
              </w:rPr>
              <w:t>1</w:t>
            </w:r>
            <w:r w:rsidRPr="00E4240E">
              <w:rPr>
                <w:rFonts w:eastAsia="MS Mincho"/>
                <w:b/>
                <w:bCs/>
                <w:sz w:val="36"/>
                <w:szCs w:val="36"/>
                <w:lang w:val="ru-RU" w:eastAsia="zh-CN"/>
              </w:rPr>
              <w:t xml:space="preserve">2439 </w:t>
            </w:r>
            <w:r>
              <w:rPr>
                <w:rFonts w:eastAsia="MS Mincho"/>
                <w:b/>
                <w:bCs/>
                <w:sz w:val="36"/>
                <w:szCs w:val="36"/>
                <w:lang w:val="ru-RU" w:eastAsia="zh-CN"/>
              </w:rPr>
              <w:t>“</w:t>
            </w:r>
            <w:r w:rsidRPr="00E4240E">
              <w:rPr>
                <w:rFonts w:eastAsia="MS Mincho"/>
                <w:b/>
                <w:bCs/>
                <w:sz w:val="36"/>
                <w:szCs w:val="36"/>
                <w:lang w:val="ru-RU" w:eastAsia="zh-CN"/>
              </w:rPr>
              <w:t>L</w:t>
            </w:r>
            <w:r>
              <w:rPr>
                <w:rFonts w:eastAsia="MS Mincho"/>
                <w:b/>
                <w:bCs/>
                <w:sz w:val="36"/>
                <w:szCs w:val="36"/>
                <w:lang w:val="ru-RU" w:eastAsia="zh-CN"/>
              </w:rPr>
              <w:t>”</w:t>
            </w:r>
          </w:p>
          <w:p w:rsidR="00E4240E" w:rsidRPr="00E4240E" w:rsidRDefault="005F221E" w:rsidP="00E4240E">
            <w:pPr>
              <w:tabs>
                <w:tab w:val="left" w:pos="1267"/>
                <w:tab w:val="left" w:pos="1742"/>
                <w:tab w:val="left" w:pos="2218"/>
                <w:tab w:val="left" w:pos="2693"/>
                <w:tab w:val="left" w:pos="3658"/>
                <w:tab w:val="left" w:pos="4133"/>
                <w:tab w:val="left" w:pos="4622"/>
                <w:tab w:val="left" w:pos="5573"/>
                <w:tab w:val="left" w:pos="6048"/>
                <w:tab w:val="left" w:pos="6538"/>
                <w:tab w:val="left" w:pos="7013"/>
                <w:tab w:val="left" w:pos="7488"/>
                <w:tab w:val="left" w:pos="7978"/>
                <w:tab w:val="left" w:pos="8453"/>
              </w:tabs>
              <w:spacing w:line="240" w:lineRule="auto"/>
              <w:ind w:right="90"/>
              <w:jc w:val="right"/>
              <w:rPr>
                <w:rFonts w:eastAsiaTheme="minorEastAsia"/>
                <w:sz w:val="28"/>
                <w:szCs w:val="28"/>
                <w:lang w:val="ru-RU" w:eastAsia="zh-CN"/>
              </w:rPr>
            </w:pPr>
            <w:r w:rsidRPr="00F25C9A">
              <w:rPr>
                <w:rFonts w:eastAsia="MS Mincho"/>
                <w:b/>
                <w:bCs/>
                <w:sz w:val="28"/>
                <w:szCs w:val="28"/>
                <w:lang w:val="ru-RU" w:eastAsia="zh-CN"/>
              </w:rPr>
              <w:t>(</w:t>
            </w:r>
            <w:r>
              <w:rPr>
                <w:rFonts w:eastAsia="MS Mincho"/>
                <w:b/>
                <w:bCs/>
                <w:sz w:val="28"/>
                <w:szCs w:val="28"/>
                <w:lang w:val="fr-CH"/>
              </w:rPr>
              <w:t>ou “M” ou “C”)</w:t>
            </w:r>
          </w:p>
        </w:tc>
      </w:tr>
    </w:tbl>
    <w:p w:rsidR="005F221E" w:rsidRPr="00E4240E" w:rsidRDefault="005F221E" w:rsidP="005F221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right"/>
        <w:rPr>
          <w:rFonts w:eastAsiaTheme="minorEastAsia"/>
          <w:sz w:val="10"/>
          <w:lang w:val="en-GB" w:eastAsia="zh-CN"/>
        </w:rPr>
      </w:pPr>
    </w:p>
    <w:p w:rsidR="005F221E" w:rsidRPr="00F25C9A" w:rsidRDefault="005F221E" w:rsidP="005F221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jc w:val="right"/>
        <w:rPr>
          <w:rFonts w:eastAsiaTheme="minorEastAsia"/>
          <w:lang w:val="en-GB" w:eastAsia="zh-CN"/>
        </w:rPr>
      </w:pPr>
      <w:proofErr w:type="gramStart"/>
      <w:r>
        <w:rPr>
          <w:rFonts w:eastAsiaTheme="minorEastAsia"/>
          <w:lang w:val="en-GB" w:eastAsia="zh-CN"/>
        </w:rPr>
        <w:t>a</w:t>
      </w:r>
      <w:proofErr w:type="gramEnd"/>
      <w:r>
        <w:rPr>
          <w:rFonts w:eastAsiaTheme="minorEastAsia"/>
          <w:lang w:val="en-GB" w:eastAsia="zh-CN"/>
        </w:rPr>
        <w:t xml:space="preserve"> </w:t>
      </w:r>
      <w:r w:rsidRPr="00F25C9A">
        <w:rPr>
          <w:rFonts w:eastAsiaTheme="minorEastAsia"/>
          <w:lang w:val="en-GB" w:eastAsia="zh-CN"/>
        </w:rPr>
        <w:sym w:font="Symbol" w:char="F0B3"/>
      </w:r>
      <w:r w:rsidRPr="00F25C9A">
        <w:rPr>
          <w:rFonts w:eastAsiaTheme="minorEastAsia"/>
          <w:lang w:val="ru-RU" w:eastAsia="zh-CN"/>
        </w:rPr>
        <w:t xml:space="preserve"> 8</w:t>
      </w:r>
      <w:r>
        <w:rPr>
          <w:rFonts w:eastAsiaTheme="minorEastAsia"/>
          <w:lang w:val="fr-CH" w:eastAsia="zh-CN"/>
        </w:rPr>
        <w:t xml:space="preserve"> mm</w:t>
      </w:r>
    </w:p>
    <w:p w:rsidR="005F221E" w:rsidRPr="005F221E" w:rsidRDefault="005F221E" w:rsidP="005F221E">
      <w:pPr>
        <w:pStyle w:val="SingleTxt"/>
        <w:rPr>
          <w:lang w:val="fr-FR"/>
        </w:rPr>
      </w:pPr>
      <w:r>
        <w:rPr>
          <w:lang w:val="fr-FR"/>
        </w:rPr>
        <w:tab/>
      </w:r>
      <w:r w:rsidRPr="005F221E">
        <w:rPr>
          <w:lang w:val="fr-FR"/>
        </w:rPr>
        <w:t>La marque d’homologation ci-dessus, apposée sur un véhicule, indique que ce type de véhicule a été homologué en Italie (E 3) en ce qui concerne l’installation d’un système GNC/GNL pour l’alimentation du moteur au gaz naturel, en application du Règlement n</w:t>
      </w:r>
      <w:r w:rsidRPr="005F221E">
        <w:rPr>
          <w:vertAlign w:val="superscript"/>
          <w:lang w:val="fr-FR"/>
        </w:rPr>
        <w:t>o</w:t>
      </w:r>
      <w:r>
        <w:rPr>
          <w:lang w:val="fr-FR"/>
        </w:rPr>
        <w:t> </w:t>
      </w:r>
      <w:r w:rsidRPr="005F221E">
        <w:rPr>
          <w:lang w:val="fr-FR"/>
        </w:rPr>
        <w:t xml:space="preserve">110, sous le numéro d’homologation </w:t>
      </w:r>
      <w:r w:rsidRPr="005F221E">
        <w:rPr>
          <w:b/>
          <w:lang w:val="fr-FR"/>
        </w:rPr>
        <w:t>02</w:t>
      </w:r>
      <w:r w:rsidRPr="005F221E">
        <w:rPr>
          <w:strike/>
          <w:lang w:val="fr-FR"/>
        </w:rPr>
        <w:t>01</w:t>
      </w:r>
      <w:r w:rsidRPr="005F221E">
        <w:rPr>
          <w:lang w:val="fr-FR"/>
        </w:rPr>
        <w:t>2439. Les deux premiers chiffres de ce numéro signifient que l’homologation a été délivrée conformément aux dispositions du Règlement n</w:t>
      </w:r>
      <w:r w:rsidRPr="005F221E">
        <w:rPr>
          <w:vertAlign w:val="superscript"/>
          <w:lang w:val="fr-FR"/>
        </w:rPr>
        <w:t>o</w:t>
      </w:r>
      <w:r>
        <w:rPr>
          <w:lang w:val="fr-FR"/>
        </w:rPr>
        <w:t> </w:t>
      </w:r>
      <w:r w:rsidRPr="005F221E">
        <w:rPr>
          <w:lang w:val="fr-FR"/>
        </w:rPr>
        <w:t xml:space="preserve">110 tel que modifié par la série </w:t>
      </w:r>
      <w:r w:rsidRPr="005F221E">
        <w:rPr>
          <w:b/>
          <w:lang w:val="fr-FR"/>
        </w:rPr>
        <w:t>02</w:t>
      </w:r>
      <w:r w:rsidRPr="005F221E">
        <w:rPr>
          <w:strike/>
          <w:lang w:val="fr-FR"/>
        </w:rPr>
        <w:t>01</w:t>
      </w:r>
      <w:r w:rsidRPr="005F221E">
        <w:rPr>
          <w:lang w:val="fr-FR"/>
        </w:rPr>
        <w:t xml:space="preserve"> d’amendements.</w:t>
      </w:r>
    </w:p>
    <w:p w:rsidR="005F221E" w:rsidRPr="005F221E" w:rsidRDefault="004909A6" w:rsidP="005F221E">
      <w:pPr>
        <w:pStyle w:val="SingleTxt"/>
        <w:rPr>
          <w:lang w:val="fr-FR"/>
        </w:rPr>
      </w:pPr>
      <w:r>
        <w:rPr>
          <w:lang w:val="fr-FR"/>
        </w:rPr>
        <w:t>La lettre “</w:t>
      </w:r>
      <w:r w:rsidR="005F221E" w:rsidRPr="005F221E">
        <w:rPr>
          <w:lang w:val="fr-FR"/>
        </w:rPr>
        <w:t>L</w:t>
      </w:r>
      <w:r w:rsidR="000F6F6B">
        <w:rPr>
          <w:lang w:val="fr-FR"/>
        </w:rPr>
        <w:t xml:space="preserve">” </w:t>
      </w:r>
      <w:r w:rsidR="005F221E" w:rsidRPr="005F221E">
        <w:rPr>
          <w:lang w:val="fr-FR"/>
        </w:rPr>
        <w:t>indique que l’organe peut être utilisé avec du GNL.</w:t>
      </w:r>
    </w:p>
    <w:p w:rsidR="005F221E" w:rsidRPr="005F221E" w:rsidRDefault="004909A6" w:rsidP="005F221E">
      <w:pPr>
        <w:pStyle w:val="SingleTxt"/>
        <w:rPr>
          <w:lang w:val="fr-FR"/>
        </w:rPr>
      </w:pPr>
      <w:r>
        <w:rPr>
          <w:lang w:val="fr-FR"/>
        </w:rPr>
        <w:t>La lettre “</w:t>
      </w:r>
      <w:r w:rsidR="005F221E" w:rsidRPr="005F221E">
        <w:rPr>
          <w:lang w:val="fr-FR"/>
        </w:rPr>
        <w:t>M</w:t>
      </w:r>
      <w:r w:rsidR="000F6F6B">
        <w:rPr>
          <w:lang w:val="fr-FR"/>
        </w:rPr>
        <w:t xml:space="preserve">” </w:t>
      </w:r>
      <w:r w:rsidR="005F221E" w:rsidRPr="005F221E">
        <w:rPr>
          <w:lang w:val="fr-FR"/>
        </w:rPr>
        <w:t>indique qu’il peut être utilisé à une température modérée.</w:t>
      </w:r>
    </w:p>
    <w:p w:rsidR="005F221E" w:rsidRDefault="004909A6" w:rsidP="005F221E">
      <w:pPr>
        <w:pStyle w:val="SingleTxt"/>
        <w:rPr>
          <w:lang w:val="fr-FR"/>
        </w:rPr>
      </w:pPr>
      <w:r>
        <w:rPr>
          <w:lang w:val="fr-FR"/>
        </w:rPr>
        <w:t>La lettre “</w:t>
      </w:r>
      <w:r w:rsidR="005F221E" w:rsidRPr="005F221E">
        <w:rPr>
          <w:lang w:val="fr-FR"/>
        </w:rPr>
        <w:t>C</w:t>
      </w:r>
      <w:r w:rsidR="000F6F6B">
        <w:rPr>
          <w:lang w:val="fr-FR"/>
        </w:rPr>
        <w:t xml:space="preserve">” </w:t>
      </w:r>
      <w:r w:rsidR="005F221E" w:rsidRPr="005F221E">
        <w:rPr>
          <w:lang w:val="fr-FR"/>
        </w:rPr>
        <w:t>indique qu’il peut être utilisé à une température basse.</w:t>
      </w:r>
      <w:r w:rsidR="000F6F6B">
        <w:rPr>
          <w:lang w:val="fr-FR"/>
        </w:rPr>
        <w:t> »</w:t>
      </w:r>
      <w:r w:rsidR="005F221E" w:rsidRPr="005F221E">
        <w:rPr>
          <w:lang w:val="fr-FR"/>
        </w:rPr>
        <w:t>.</w:t>
      </w:r>
    </w:p>
    <w:p w:rsidR="007702C8" w:rsidRPr="007702C8" w:rsidRDefault="007702C8" w:rsidP="007702C8">
      <w:pPr>
        <w:pStyle w:val="SingleTxt"/>
        <w:spacing w:after="0" w:line="120" w:lineRule="exact"/>
        <w:rPr>
          <w:sz w:val="10"/>
          <w:lang w:val="fr-FR"/>
        </w:rPr>
      </w:pPr>
    </w:p>
    <w:p w:rsidR="00E4240E" w:rsidRDefault="007702C8" w:rsidP="007702C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F221E" w:rsidRPr="005F221E">
        <w:rPr>
          <w:lang w:val="fr-FR"/>
        </w:rPr>
        <w:t>Modèle B</w:t>
      </w:r>
      <w:r>
        <w:rPr>
          <w:lang w:val="fr-FR"/>
        </w:rPr>
        <w:t xml:space="preserve"> </w:t>
      </w:r>
      <w:r>
        <w:rPr>
          <w:lang w:val="fr-FR"/>
        </w:rPr>
        <w:br/>
      </w:r>
      <w:r w:rsidR="005F221E" w:rsidRPr="005F221E">
        <w:rPr>
          <w:lang w:val="fr-FR"/>
        </w:rPr>
        <w:t>(Voir le paragraphe 17.2 du présent Règlement)</w:t>
      </w:r>
    </w:p>
    <w:p w:rsidR="007702C8" w:rsidRPr="007702C8" w:rsidRDefault="007702C8" w:rsidP="007702C8">
      <w:pPr>
        <w:pStyle w:val="SingleTxt"/>
        <w:spacing w:after="0" w:line="120" w:lineRule="exact"/>
        <w:rPr>
          <w:sz w:val="10"/>
          <w:lang w:val="fr-FR"/>
        </w:rPr>
      </w:pPr>
    </w:p>
    <w:p w:rsidR="007702C8" w:rsidRPr="007702C8" w:rsidRDefault="007702C8" w:rsidP="007702C8">
      <w:pPr>
        <w:pStyle w:val="SingleTxt"/>
        <w:spacing w:after="0" w:line="120" w:lineRule="exact"/>
        <w:rPr>
          <w:sz w:val="10"/>
          <w:lang w:val="fr-FR"/>
        </w:rPr>
      </w:pPr>
    </w:p>
    <w:tbl>
      <w:tblPr>
        <w:tblW w:w="8838" w:type="dxa"/>
        <w:tblInd w:w="1206" w:type="dxa"/>
        <w:tblLayout w:type="fixed"/>
        <w:tblCellMar>
          <w:left w:w="0" w:type="dxa"/>
          <w:right w:w="0" w:type="dxa"/>
        </w:tblCellMar>
        <w:tblLook w:val="00A0" w:firstRow="1" w:lastRow="0" w:firstColumn="1" w:lastColumn="0" w:noHBand="0" w:noVBand="0"/>
      </w:tblPr>
      <w:tblGrid>
        <w:gridCol w:w="2862"/>
        <w:gridCol w:w="5976"/>
      </w:tblGrid>
      <w:tr w:rsidR="007702C8" w:rsidRPr="007702C8" w:rsidTr="007702C8">
        <w:trPr>
          <w:trHeight w:val="1624"/>
        </w:trPr>
        <w:tc>
          <w:tcPr>
            <w:tcW w:w="2862" w:type="dxa"/>
          </w:tcPr>
          <w:p w:rsidR="007702C8" w:rsidRPr="007702C8" w:rsidRDefault="007702C8" w:rsidP="007702C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jc w:val="both"/>
              <w:rPr>
                <w:rFonts w:eastAsiaTheme="minorEastAsia"/>
                <w:lang w:val="en-GB" w:eastAsia="zh-CN"/>
              </w:rPr>
            </w:pPr>
            <w:r w:rsidRPr="007702C8">
              <w:rPr>
                <w:rFonts w:eastAsiaTheme="minorEastAsia"/>
                <w:noProof/>
                <w:lang w:val="en-GB" w:eastAsia="en-GB"/>
              </w:rPr>
              <w:drawing>
                <wp:inline distT="0" distB="0" distL="0" distR="0" wp14:anchorId="75FAAFC0" wp14:editId="2D3560F9">
                  <wp:extent cx="1654810" cy="108659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575" t="-28772" r="-1575" b="-28772"/>
                          <a:stretch>
                            <a:fillRect/>
                          </a:stretch>
                        </pic:blipFill>
                        <pic:spPr bwMode="auto">
                          <a:xfrm>
                            <a:off x="0" y="0"/>
                            <a:ext cx="1653431" cy="1085687"/>
                          </a:xfrm>
                          <a:prstGeom prst="rect">
                            <a:avLst/>
                          </a:prstGeom>
                          <a:noFill/>
                          <a:ln>
                            <a:noFill/>
                          </a:ln>
                        </pic:spPr>
                      </pic:pic>
                    </a:graphicData>
                  </a:graphic>
                </wp:inline>
              </w:drawing>
            </w:r>
          </w:p>
        </w:tc>
        <w:tc>
          <w:tcPr>
            <w:tcW w:w="5976" w:type="dxa"/>
            <w:vAlign w:val="center"/>
          </w:tcPr>
          <w:p w:rsidR="007702C8" w:rsidRPr="007702C8" w:rsidRDefault="007702C8" w:rsidP="00EF4625">
            <w:pPr>
              <w:tabs>
                <w:tab w:val="left" w:pos="1267"/>
                <w:tab w:val="left" w:pos="1742"/>
                <w:tab w:val="left" w:pos="2218"/>
                <w:tab w:val="left" w:pos="2693"/>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ind w:right="-230"/>
              <w:rPr>
                <w:rFonts w:eastAsia="MS Mincho"/>
                <w:b/>
                <w:bCs/>
                <w:sz w:val="36"/>
                <w:szCs w:val="36"/>
                <w:lang w:val="ru-RU" w:eastAsia="zh-CN"/>
              </w:rPr>
            </w:pPr>
            <w:r w:rsidRPr="007702C8">
              <w:rPr>
                <w:rFonts w:eastAsia="MS Mincho"/>
                <w:b/>
                <w:bCs/>
                <w:sz w:val="36"/>
                <w:szCs w:val="36"/>
                <w:lang w:val="ru-RU" w:eastAsia="zh-CN"/>
              </w:rPr>
              <w:t>110 0</w:t>
            </w:r>
            <w:r w:rsidRPr="007702C8">
              <w:rPr>
                <w:rFonts w:eastAsia="MS Mincho" w:hint="eastAsia"/>
                <w:b/>
                <w:bCs/>
                <w:sz w:val="36"/>
                <w:szCs w:val="36"/>
                <w:lang w:val="ru-RU" w:eastAsia="zh-CN"/>
              </w:rPr>
              <w:t>2</w:t>
            </w:r>
            <w:r w:rsidRPr="007702C8">
              <w:rPr>
                <w:rFonts w:eastAsia="MS Mincho" w:hint="eastAsia"/>
                <w:b/>
                <w:bCs/>
                <w:strike/>
                <w:sz w:val="36"/>
                <w:szCs w:val="36"/>
                <w:lang w:val="ru-RU" w:eastAsia="zh-CN"/>
              </w:rPr>
              <w:t>0</w:t>
            </w:r>
            <w:r w:rsidRPr="007702C8">
              <w:rPr>
                <w:rFonts w:eastAsia="MS Mincho"/>
                <w:b/>
                <w:bCs/>
                <w:strike/>
                <w:sz w:val="36"/>
                <w:szCs w:val="36"/>
                <w:lang w:val="ru-RU" w:eastAsia="zh-CN"/>
              </w:rPr>
              <w:t>1</w:t>
            </w:r>
            <w:r w:rsidRPr="007702C8">
              <w:rPr>
                <w:rFonts w:eastAsia="MS Mincho"/>
                <w:b/>
                <w:bCs/>
                <w:sz w:val="36"/>
                <w:szCs w:val="36"/>
                <w:lang w:val="ru-RU" w:eastAsia="zh-CN"/>
              </w:rPr>
              <w:t xml:space="preserve">2439 </w:t>
            </w:r>
            <w:r>
              <w:rPr>
                <w:rFonts w:eastAsia="MS Mincho"/>
                <w:b/>
                <w:bCs/>
                <w:sz w:val="36"/>
                <w:szCs w:val="36"/>
                <w:lang w:val="ru-RU" w:eastAsia="zh-CN"/>
              </w:rPr>
              <w:t>“</w:t>
            </w:r>
            <w:r w:rsidRPr="007702C8">
              <w:rPr>
                <w:rFonts w:eastAsia="MS Mincho"/>
                <w:b/>
                <w:bCs/>
                <w:sz w:val="36"/>
                <w:szCs w:val="36"/>
                <w:lang w:val="ru-RU" w:eastAsia="zh-CN"/>
              </w:rPr>
              <w:t>L</w:t>
            </w:r>
            <w:r>
              <w:rPr>
                <w:rFonts w:eastAsia="MS Mincho"/>
                <w:b/>
                <w:bCs/>
                <w:sz w:val="36"/>
                <w:szCs w:val="36"/>
                <w:lang w:val="ru-RU" w:eastAsia="zh-CN"/>
              </w:rPr>
              <w:t>”</w:t>
            </w:r>
            <w:r w:rsidRPr="007702C8">
              <w:rPr>
                <w:rFonts w:eastAsia="MS Mincho"/>
                <w:b/>
                <w:bCs/>
                <w:sz w:val="36"/>
                <w:szCs w:val="36"/>
                <w:lang w:val="ru-RU" w:eastAsia="zh-CN"/>
              </w:rPr>
              <w:t xml:space="preserve"> </w:t>
            </w:r>
            <w:r w:rsidR="00EF4625">
              <w:rPr>
                <w:rFonts w:eastAsia="MS Mincho"/>
                <w:b/>
                <w:bCs/>
                <w:sz w:val="36"/>
                <w:szCs w:val="36"/>
                <w:lang w:val="fr-CH" w:eastAsia="zh-CN"/>
              </w:rPr>
              <w:br/>
            </w:r>
            <w:r w:rsidRPr="007702C8">
              <w:rPr>
                <w:rFonts w:eastAsia="MS Mincho"/>
                <w:b/>
                <w:bCs/>
                <w:sz w:val="36"/>
                <w:szCs w:val="36"/>
                <w:lang w:val="ru-RU" w:eastAsia="zh-CN"/>
              </w:rPr>
              <w:t>83 051628</w:t>
            </w:r>
          </w:p>
          <w:p w:rsidR="007702C8" w:rsidRPr="007702C8" w:rsidRDefault="007702C8" w:rsidP="007702C8">
            <w:pPr>
              <w:tabs>
                <w:tab w:val="left" w:pos="1267"/>
                <w:tab w:val="left" w:pos="1742"/>
                <w:tab w:val="left" w:pos="2218"/>
                <w:tab w:val="left" w:pos="2693"/>
                <w:tab w:val="left" w:pos="3658"/>
                <w:tab w:val="left" w:pos="4133"/>
                <w:tab w:val="left" w:pos="4622"/>
                <w:tab w:val="left" w:pos="5573"/>
                <w:tab w:val="left" w:pos="6048"/>
                <w:tab w:val="left" w:pos="6538"/>
                <w:tab w:val="left" w:pos="7013"/>
                <w:tab w:val="left" w:pos="7488"/>
                <w:tab w:val="left" w:pos="7978"/>
                <w:tab w:val="left" w:pos="8453"/>
              </w:tabs>
              <w:spacing w:line="240" w:lineRule="auto"/>
              <w:ind w:right="90"/>
              <w:jc w:val="right"/>
              <w:rPr>
                <w:rFonts w:eastAsiaTheme="minorEastAsia"/>
                <w:sz w:val="28"/>
                <w:szCs w:val="28"/>
                <w:lang w:val="ru-RU" w:eastAsia="zh-CN"/>
              </w:rPr>
            </w:pPr>
            <w:r w:rsidRPr="00F25C9A">
              <w:rPr>
                <w:rFonts w:eastAsia="MS Mincho"/>
                <w:b/>
                <w:bCs/>
                <w:sz w:val="28"/>
                <w:szCs w:val="28"/>
                <w:lang w:val="ru-RU" w:eastAsia="zh-CN"/>
              </w:rPr>
              <w:t>(</w:t>
            </w:r>
            <w:r>
              <w:rPr>
                <w:rFonts w:eastAsia="MS Mincho"/>
                <w:b/>
                <w:bCs/>
                <w:sz w:val="28"/>
                <w:szCs w:val="28"/>
                <w:lang w:val="fr-CH"/>
              </w:rPr>
              <w:t>ou “M” ou “C”)</w:t>
            </w:r>
          </w:p>
        </w:tc>
      </w:tr>
    </w:tbl>
    <w:p w:rsidR="007702C8" w:rsidRPr="00E4240E" w:rsidRDefault="007702C8" w:rsidP="007702C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right"/>
        <w:rPr>
          <w:rFonts w:eastAsiaTheme="minorEastAsia"/>
          <w:sz w:val="10"/>
          <w:lang w:val="en-GB" w:eastAsia="zh-CN"/>
        </w:rPr>
      </w:pPr>
    </w:p>
    <w:p w:rsidR="007702C8" w:rsidRDefault="007702C8" w:rsidP="007702C8">
      <w:pPr>
        <w:pStyle w:val="SingleTxt"/>
        <w:ind w:right="0"/>
        <w:jc w:val="right"/>
        <w:rPr>
          <w:rFonts w:eastAsiaTheme="minorEastAsia"/>
          <w:lang w:val="fr-CH" w:eastAsia="zh-CN"/>
        </w:rPr>
      </w:pPr>
      <w:proofErr w:type="gramStart"/>
      <w:r>
        <w:rPr>
          <w:rFonts w:eastAsiaTheme="minorEastAsia"/>
          <w:lang w:val="en-GB" w:eastAsia="zh-CN"/>
        </w:rPr>
        <w:t>a</w:t>
      </w:r>
      <w:proofErr w:type="gramEnd"/>
      <w:r>
        <w:rPr>
          <w:rFonts w:eastAsiaTheme="minorEastAsia"/>
          <w:lang w:val="en-GB" w:eastAsia="zh-CN"/>
        </w:rPr>
        <w:t xml:space="preserve"> </w:t>
      </w:r>
      <w:r w:rsidRPr="00F25C9A">
        <w:rPr>
          <w:rFonts w:eastAsiaTheme="minorEastAsia"/>
          <w:lang w:val="en-GB" w:eastAsia="zh-CN"/>
        </w:rPr>
        <w:sym w:font="Symbol" w:char="F0B3"/>
      </w:r>
      <w:r w:rsidRPr="00F25C9A">
        <w:rPr>
          <w:rFonts w:eastAsiaTheme="minorEastAsia"/>
          <w:lang w:val="ru-RU" w:eastAsia="zh-CN"/>
        </w:rPr>
        <w:t xml:space="preserve"> 8</w:t>
      </w:r>
      <w:r>
        <w:rPr>
          <w:rFonts w:eastAsiaTheme="minorEastAsia"/>
          <w:lang w:val="fr-CH" w:eastAsia="zh-CN"/>
        </w:rPr>
        <w:t xml:space="preserve"> mm</w:t>
      </w:r>
    </w:p>
    <w:p w:rsidR="007702C8" w:rsidRPr="007702C8" w:rsidRDefault="007702C8" w:rsidP="007702C8">
      <w:pPr>
        <w:pStyle w:val="SingleTxt"/>
        <w:rPr>
          <w:lang w:val="fr-FR"/>
        </w:rPr>
      </w:pPr>
      <w:r>
        <w:rPr>
          <w:lang w:val="fr-FR"/>
        </w:rPr>
        <w:tab/>
      </w:r>
      <w:r w:rsidRPr="007702C8">
        <w:rPr>
          <w:lang w:val="fr-FR"/>
        </w:rPr>
        <w:t>La marque d’homologation ci-dessus, apposée sur un véhicule, indique que ce type de véhicule a été homologué en Italie (E 3) en ce qui concerne l’installation d’un système GNC/GNL pour l’alimentation du moteur au gaz naturel, en application du Règlement</w:t>
      </w:r>
      <w:r>
        <w:rPr>
          <w:lang w:val="fr-FR"/>
        </w:rPr>
        <w:t xml:space="preserve"> n</w:t>
      </w:r>
      <w:r w:rsidRPr="007702C8">
        <w:rPr>
          <w:vertAlign w:val="superscript"/>
          <w:lang w:val="fr-FR"/>
        </w:rPr>
        <w:t>o</w:t>
      </w:r>
      <w:r>
        <w:rPr>
          <w:lang w:val="fr-FR"/>
        </w:rPr>
        <w:t> </w:t>
      </w:r>
      <w:r w:rsidRPr="007702C8">
        <w:rPr>
          <w:lang w:val="fr-FR"/>
        </w:rPr>
        <w:t xml:space="preserve">110, sous le numéro d’homologation </w:t>
      </w:r>
      <w:r w:rsidRPr="007702C8">
        <w:rPr>
          <w:b/>
          <w:lang w:val="fr-FR"/>
        </w:rPr>
        <w:t>02</w:t>
      </w:r>
      <w:r w:rsidRPr="007702C8">
        <w:rPr>
          <w:strike/>
          <w:lang w:val="fr-FR"/>
        </w:rPr>
        <w:t>01</w:t>
      </w:r>
      <w:r w:rsidRPr="007702C8">
        <w:rPr>
          <w:lang w:val="fr-FR"/>
        </w:rPr>
        <w:t xml:space="preserve">2439. Les deux premiers chiffres de ce numéro signifient que l’homologation a été délivrée conformément aux dispositions du Règlement </w:t>
      </w:r>
      <w:r>
        <w:rPr>
          <w:lang w:val="fr-FR"/>
        </w:rPr>
        <w:t>n</w:t>
      </w:r>
      <w:r w:rsidRPr="007702C8">
        <w:rPr>
          <w:vertAlign w:val="superscript"/>
          <w:lang w:val="fr-FR"/>
        </w:rPr>
        <w:t>o</w:t>
      </w:r>
      <w:r>
        <w:rPr>
          <w:lang w:val="fr-FR"/>
        </w:rPr>
        <w:t> </w:t>
      </w:r>
      <w:r w:rsidRPr="007702C8">
        <w:rPr>
          <w:lang w:val="fr-FR"/>
        </w:rPr>
        <w:t xml:space="preserve">110 tel que modifié par la série </w:t>
      </w:r>
      <w:r w:rsidRPr="007702C8">
        <w:rPr>
          <w:b/>
          <w:lang w:val="fr-FR"/>
        </w:rPr>
        <w:t>02</w:t>
      </w:r>
      <w:r w:rsidRPr="007702C8">
        <w:rPr>
          <w:strike/>
          <w:lang w:val="fr-FR"/>
        </w:rPr>
        <w:t>01</w:t>
      </w:r>
      <w:r w:rsidRPr="007702C8">
        <w:rPr>
          <w:lang w:val="fr-FR"/>
        </w:rPr>
        <w:t xml:space="preserve"> d’amendements et que la Règlement </w:t>
      </w:r>
      <w:r>
        <w:rPr>
          <w:lang w:val="fr-FR"/>
        </w:rPr>
        <w:t>n</w:t>
      </w:r>
      <w:r w:rsidRPr="007702C8">
        <w:rPr>
          <w:vertAlign w:val="superscript"/>
          <w:lang w:val="fr-FR"/>
        </w:rPr>
        <w:t>o</w:t>
      </w:r>
      <w:r>
        <w:rPr>
          <w:lang w:val="fr-FR"/>
        </w:rPr>
        <w:t> </w:t>
      </w:r>
      <w:r w:rsidRPr="007702C8">
        <w:rPr>
          <w:lang w:val="fr-FR"/>
        </w:rPr>
        <w:t>83 comprenait la série 05 d’amendements.</w:t>
      </w:r>
    </w:p>
    <w:p w:rsidR="007702C8" w:rsidRPr="007702C8" w:rsidRDefault="00911CA2" w:rsidP="007702C8">
      <w:pPr>
        <w:pStyle w:val="SingleTxt"/>
        <w:rPr>
          <w:lang w:val="fr-FR"/>
        </w:rPr>
      </w:pPr>
      <w:r>
        <w:rPr>
          <w:lang w:val="fr-FR"/>
        </w:rPr>
        <w:t>La lettre “</w:t>
      </w:r>
      <w:r w:rsidR="007702C8" w:rsidRPr="007702C8">
        <w:rPr>
          <w:lang w:val="fr-FR"/>
        </w:rPr>
        <w:t>L</w:t>
      </w:r>
      <w:r w:rsidR="008F4727">
        <w:rPr>
          <w:lang w:val="fr-FR"/>
        </w:rPr>
        <w:t xml:space="preserve">” </w:t>
      </w:r>
      <w:r w:rsidR="007702C8" w:rsidRPr="007702C8">
        <w:rPr>
          <w:lang w:val="fr-FR"/>
        </w:rPr>
        <w:t>indique que l’organe peut être utilisé avec du GNL.</w:t>
      </w:r>
    </w:p>
    <w:p w:rsidR="007702C8" w:rsidRPr="007702C8" w:rsidRDefault="00911CA2" w:rsidP="007702C8">
      <w:pPr>
        <w:pStyle w:val="SingleTxt"/>
        <w:rPr>
          <w:lang w:val="fr-FR"/>
        </w:rPr>
      </w:pPr>
      <w:r>
        <w:rPr>
          <w:lang w:val="fr-FR"/>
        </w:rPr>
        <w:t>La lettre “</w:t>
      </w:r>
      <w:r w:rsidR="007702C8" w:rsidRPr="007702C8">
        <w:rPr>
          <w:lang w:val="fr-FR"/>
        </w:rPr>
        <w:t>M</w:t>
      </w:r>
      <w:r w:rsidR="008F4727">
        <w:rPr>
          <w:lang w:val="fr-FR"/>
        </w:rPr>
        <w:t xml:space="preserve">” </w:t>
      </w:r>
      <w:r w:rsidR="007702C8" w:rsidRPr="007702C8">
        <w:rPr>
          <w:lang w:val="fr-FR"/>
        </w:rPr>
        <w:t>indique qu’il peut être utilisé à une température modérée.</w:t>
      </w:r>
    </w:p>
    <w:p w:rsidR="007702C8" w:rsidRPr="007702C8" w:rsidRDefault="00911CA2" w:rsidP="007702C8">
      <w:pPr>
        <w:pStyle w:val="SingleTxt"/>
        <w:rPr>
          <w:lang w:val="fr-FR"/>
        </w:rPr>
      </w:pPr>
      <w:r>
        <w:rPr>
          <w:lang w:val="fr-FR"/>
        </w:rPr>
        <w:t>La lettre “</w:t>
      </w:r>
      <w:r w:rsidR="007702C8" w:rsidRPr="007702C8">
        <w:rPr>
          <w:lang w:val="fr-FR"/>
        </w:rPr>
        <w:t>C</w:t>
      </w:r>
      <w:r w:rsidR="008F4727">
        <w:rPr>
          <w:lang w:val="fr-FR"/>
        </w:rPr>
        <w:t xml:space="preserve">” </w:t>
      </w:r>
      <w:r w:rsidR="007702C8" w:rsidRPr="007702C8">
        <w:rPr>
          <w:lang w:val="fr-FR"/>
        </w:rPr>
        <w:t>indique qu’il peut être utilisé à une température basse.</w:t>
      </w:r>
      <w:r w:rsidR="008F4727">
        <w:rPr>
          <w:lang w:val="fr-FR"/>
        </w:rPr>
        <w:t> »</w:t>
      </w:r>
      <w:r w:rsidR="007702C8" w:rsidRPr="007702C8">
        <w:rPr>
          <w:lang w:val="fr-FR"/>
        </w:rPr>
        <w:t>.</w:t>
      </w:r>
    </w:p>
    <w:p w:rsidR="007702C8" w:rsidRPr="007702C8" w:rsidRDefault="007702C8" w:rsidP="00E400AD">
      <w:pPr>
        <w:pStyle w:val="SingleTxt"/>
        <w:keepNext/>
        <w:keepLines/>
        <w:rPr>
          <w:bCs/>
          <w:lang w:val="fr-FR"/>
        </w:rPr>
      </w:pPr>
      <w:r w:rsidRPr="007702C8">
        <w:rPr>
          <w:i/>
          <w:lang w:val="fr-FR"/>
        </w:rPr>
        <w:lastRenderedPageBreak/>
        <w:t xml:space="preserve">Annexe 3, </w:t>
      </w:r>
      <w:r w:rsidRPr="007702C8">
        <w:rPr>
          <w:bCs/>
          <w:i/>
          <w:lang w:val="fr-FR"/>
        </w:rPr>
        <w:t>paragraphe 1.1</w:t>
      </w:r>
      <w:r w:rsidRPr="00881C8E">
        <w:rPr>
          <w:bCs/>
          <w:lang w:val="fr-FR"/>
        </w:rPr>
        <w:t>,</w:t>
      </w:r>
      <w:r w:rsidRPr="007702C8">
        <w:rPr>
          <w:bCs/>
          <w:lang w:val="fr-FR"/>
        </w:rPr>
        <w:t xml:space="preserve"> </w:t>
      </w:r>
      <w:proofErr w:type="gramStart"/>
      <w:r w:rsidRPr="007702C8">
        <w:rPr>
          <w:bCs/>
          <w:lang w:val="fr-FR"/>
        </w:rPr>
        <w:t>modifier</w:t>
      </w:r>
      <w:proofErr w:type="gramEnd"/>
      <w:r w:rsidRPr="007702C8">
        <w:rPr>
          <w:bCs/>
          <w:lang w:val="fr-FR"/>
        </w:rPr>
        <w:t xml:space="preserve"> comme suit</w:t>
      </w:r>
      <w:r w:rsidR="00881C8E">
        <w:rPr>
          <w:bCs/>
          <w:lang w:val="fr-FR"/>
        </w:rPr>
        <w:t> </w:t>
      </w:r>
      <w:r w:rsidRPr="007702C8">
        <w:rPr>
          <w:bCs/>
          <w:lang w:val="fr-FR"/>
        </w:rPr>
        <w:t>:</w:t>
      </w:r>
    </w:p>
    <w:p w:rsidR="007702C8" w:rsidRPr="007702C8" w:rsidRDefault="00881C8E" w:rsidP="00881C8E">
      <w:pPr>
        <w:pStyle w:val="SingleTxt"/>
        <w:ind w:left="2218" w:hanging="951"/>
        <w:rPr>
          <w:lang w:val="fr-FR"/>
        </w:rPr>
      </w:pPr>
      <w:r>
        <w:rPr>
          <w:lang w:val="fr-FR"/>
        </w:rPr>
        <w:t>« </w:t>
      </w:r>
      <w:r w:rsidR="007702C8" w:rsidRPr="007702C8">
        <w:rPr>
          <w:bCs/>
          <w:lang w:val="fr-FR"/>
        </w:rPr>
        <w:t>1.1</w:t>
      </w:r>
      <w:r>
        <w:rPr>
          <w:bCs/>
          <w:lang w:val="fr-FR"/>
        </w:rPr>
        <w:tab/>
      </w:r>
      <w:r w:rsidR="007702C8" w:rsidRPr="007702C8">
        <w:rPr>
          <w:bCs/>
          <w:lang w:val="fr-FR"/>
        </w:rPr>
        <w:tab/>
      </w:r>
      <w:r w:rsidR="007702C8" w:rsidRPr="00901340">
        <w:rPr>
          <w:bCs/>
          <w:spacing w:val="3"/>
          <w:lang w:val="fr-FR"/>
        </w:rPr>
        <w:t xml:space="preserve">L’annexe 3A contient les prescriptions minimales applicables aux bouteilles à gaz rechargeables légères. Ces bouteilles sont conçues uniquement pour le stockage de gaz naturel comprimé à haute pression utilisé comme carburant à bord des véhicules automobiles sur lesquels elles doivent être fixées. Les bouteilles peuvent être fabriquées dans tout type d’acier, d’aluminium ou de matériau non métallique et selon toute conception ou méthode de </w:t>
      </w:r>
      <w:proofErr w:type="gramStart"/>
      <w:r w:rsidR="007702C8" w:rsidRPr="00901340">
        <w:rPr>
          <w:bCs/>
          <w:spacing w:val="3"/>
          <w:lang w:val="fr-FR"/>
        </w:rPr>
        <w:t>fabrication adaptés</w:t>
      </w:r>
      <w:proofErr w:type="gramEnd"/>
      <w:r w:rsidR="007702C8" w:rsidRPr="00901340">
        <w:rPr>
          <w:bCs/>
          <w:spacing w:val="3"/>
          <w:lang w:val="fr-FR"/>
        </w:rPr>
        <w:t xml:space="preserve"> aux conditions d’utilisation spécifiées.</w:t>
      </w:r>
      <w:r w:rsidR="007702C8" w:rsidRPr="00901340">
        <w:rPr>
          <w:spacing w:val="3"/>
          <w:lang w:val="fr-CH"/>
        </w:rPr>
        <w:t xml:space="preserve"> </w:t>
      </w:r>
      <w:r w:rsidR="007702C8" w:rsidRPr="00901340">
        <w:rPr>
          <w:bCs/>
          <w:spacing w:val="3"/>
          <w:lang w:val="fr-FR"/>
        </w:rPr>
        <w:t xml:space="preserve">Les bouteilles peuvent être fabriquées dans tout type d’acier, d’aluminium ou de matériau non métallique et selon toute conception ou méthode de </w:t>
      </w:r>
      <w:proofErr w:type="gramStart"/>
      <w:r w:rsidR="007702C8" w:rsidRPr="00901340">
        <w:rPr>
          <w:bCs/>
          <w:spacing w:val="3"/>
          <w:lang w:val="fr-FR"/>
        </w:rPr>
        <w:t>fabrication adaptés</w:t>
      </w:r>
      <w:proofErr w:type="gramEnd"/>
      <w:r w:rsidR="007702C8" w:rsidRPr="00901340">
        <w:rPr>
          <w:bCs/>
          <w:spacing w:val="3"/>
          <w:lang w:val="fr-FR"/>
        </w:rPr>
        <w:t xml:space="preserve"> aux </w:t>
      </w:r>
      <w:r w:rsidR="007702C8" w:rsidRPr="00901340">
        <w:rPr>
          <w:bCs/>
          <w:lang w:val="fr-FR"/>
        </w:rPr>
        <w:t xml:space="preserve">conditions d’utilisation spécifiées. Cette annexe traite aussi des chemises métalliques en acier inoxydable réalisés </w:t>
      </w:r>
      <w:r w:rsidR="007702C8" w:rsidRPr="00901340">
        <w:rPr>
          <w:bCs/>
          <w:strike/>
          <w:lang w:val="fr-FR"/>
        </w:rPr>
        <w:t>avec ou</w:t>
      </w:r>
      <w:r w:rsidR="007702C8" w:rsidRPr="00901340">
        <w:rPr>
          <w:bCs/>
          <w:lang w:val="fr-FR"/>
        </w:rPr>
        <w:t xml:space="preserve"> sans soudures.</w:t>
      </w:r>
      <w:r w:rsidRPr="00901340">
        <w:rPr>
          <w:lang w:val="fr-FR"/>
        </w:rPr>
        <w:t> »</w:t>
      </w:r>
      <w:r w:rsidR="007702C8" w:rsidRPr="00901340">
        <w:rPr>
          <w:lang w:val="fr-FR"/>
        </w:rPr>
        <w:t>.</w:t>
      </w:r>
    </w:p>
    <w:p w:rsidR="007702C8" w:rsidRPr="007702C8" w:rsidRDefault="007702C8" w:rsidP="007702C8">
      <w:pPr>
        <w:pStyle w:val="SingleTxt"/>
        <w:rPr>
          <w:i/>
          <w:lang w:val="fr-FR"/>
        </w:rPr>
      </w:pPr>
      <w:r w:rsidRPr="007702C8">
        <w:rPr>
          <w:i/>
          <w:lang w:val="fr-FR"/>
        </w:rPr>
        <w:t>Annexe 3A</w:t>
      </w:r>
    </w:p>
    <w:p w:rsidR="007702C8" w:rsidRPr="007702C8" w:rsidRDefault="007702C8" w:rsidP="007702C8">
      <w:pPr>
        <w:pStyle w:val="SingleTxt"/>
        <w:rPr>
          <w:lang w:val="fr-FR"/>
        </w:rPr>
      </w:pPr>
      <w:r w:rsidRPr="007702C8">
        <w:rPr>
          <w:i/>
          <w:lang w:val="fr-FR"/>
        </w:rPr>
        <w:t>Paragraphes 6.3.2.4 et 6.3.2.5</w:t>
      </w:r>
      <w:r w:rsidRPr="007702C8">
        <w:rPr>
          <w:lang w:val="fr-FR"/>
        </w:rPr>
        <w:t xml:space="preserve">, </w:t>
      </w:r>
      <w:proofErr w:type="gramStart"/>
      <w:r w:rsidRPr="007702C8">
        <w:rPr>
          <w:lang w:val="fr-FR"/>
        </w:rPr>
        <w:t>supprimer</w:t>
      </w:r>
      <w:proofErr w:type="gramEnd"/>
      <w:r w:rsidRPr="007702C8">
        <w:rPr>
          <w:lang w:val="fr-FR"/>
        </w:rPr>
        <w:t>.</w:t>
      </w:r>
    </w:p>
    <w:p w:rsidR="007702C8" w:rsidRPr="00901340" w:rsidRDefault="007702C8" w:rsidP="007702C8">
      <w:pPr>
        <w:pStyle w:val="SingleTxt"/>
        <w:rPr>
          <w:spacing w:val="2"/>
          <w:lang w:val="fr-FR"/>
        </w:rPr>
      </w:pPr>
      <w:r w:rsidRPr="00901340">
        <w:rPr>
          <w:i/>
          <w:spacing w:val="2"/>
          <w:lang w:val="fr-FR"/>
        </w:rPr>
        <w:t xml:space="preserve">Le paragraphe 6.3.2.6 (ancien) </w:t>
      </w:r>
      <w:r w:rsidRPr="00901340">
        <w:rPr>
          <w:spacing w:val="2"/>
          <w:lang w:val="fr-FR"/>
        </w:rPr>
        <w:t>devient le paragraphe 6.3.2.4 et est modifié comme suit</w:t>
      </w:r>
      <w:r w:rsidR="0069534E" w:rsidRPr="00901340">
        <w:rPr>
          <w:spacing w:val="2"/>
          <w:lang w:val="fr-FR"/>
        </w:rPr>
        <w:t> </w:t>
      </w:r>
      <w:r w:rsidRPr="00901340">
        <w:rPr>
          <w:spacing w:val="2"/>
          <w:lang w:val="fr-FR"/>
        </w:rPr>
        <w:t>:</w:t>
      </w:r>
    </w:p>
    <w:p w:rsidR="007702C8" w:rsidRPr="007702C8" w:rsidRDefault="0069534E" w:rsidP="007702C8">
      <w:pPr>
        <w:pStyle w:val="SingleTxt"/>
        <w:rPr>
          <w:lang w:val="fr-FR"/>
        </w:rPr>
      </w:pPr>
      <w:r>
        <w:rPr>
          <w:lang w:val="fr-FR"/>
        </w:rPr>
        <w:t>« </w:t>
      </w:r>
      <w:r w:rsidR="007702C8" w:rsidRPr="007702C8">
        <w:rPr>
          <w:lang w:val="fr-FR"/>
        </w:rPr>
        <w:t>6.3.2.4</w:t>
      </w:r>
      <w:r w:rsidR="007702C8" w:rsidRPr="007702C8">
        <w:rPr>
          <w:lang w:val="fr-FR"/>
        </w:rPr>
        <w:tab/>
        <w:t>Résistance à la fissuration sous contrainte au sulfure</w:t>
      </w:r>
    </w:p>
    <w:p w:rsidR="007702C8" w:rsidRPr="007702C8" w:rsidRDefault="007702C8" w:rsidP="00A21F6B">
      <w:pPr>
        <w:pStyle w:val="SingleTxt"/>
        <w:ind w:left="2218" w:hanging="951"/>
        <w:rPr>
          <w:lang w:val="fr-FR"/>
        </w:rPr>
      </w:pPr>
      <w:r w:rsidRPr="007702C8">
        <w:rPr>
          <w:lang w:val="fr-FR"/>
        </w:rPr>
        <w:tab/>
      </w:r>
      <w:r w:rsidR="00A21F6B">
        <w:rPr>
          <w:lang w:val="fr-FR"/>
        </w:rPr>
        <w:tab/>
      </w:r>
      <w:r w:rsidRPr="007702C8">
        <w:rPr>
          <w:b/>
          <w:lang w:val="fr-FR"/>
        </w:rPr>
        <w:t>La résistance maximale à la traction de l’acier d’une bouteille finie ne doit pas dépasser</w:t>
      </w:r>
      <w:r w:rsidRPr="007702C8">
        <w:rPr>
          <w:lang w:val="fr-FR"/>
        </w:rPr>
        <w:t xml:space="preserve"> </w:t>
      </w:r>
      <w:r w:rsidRPr="007702C8">
        <w:rPr>
          <w:b/>
          <w:lang w:val="fr-FR"/>
        </w:rPr>
        <w:t>1</w:t>
      </w:r>
      <w:r w:rsidR="0069534E">
        <w:rPr>
          <w:b/>
          <w:lang w:val="fr-FR"/>
        </w:rPr>
        <w:t> </w:t>
      </w:r>
      <w:r w:rsidRPr="007702C8">
        <w:rPr>
          <w:b/>
          <w:lang w:val="fr-FR"/>
        </w:rPr>
        <w:t xml:space="preserve">200 </w:t>
      </w:r>
      <w:proofErr w:type="spellStart"/>
      <w:r w:rsidRPr="007702C8">
        <w:rPr>
          <w:b/>
          <w:lang w:val="fr-FR"/>
        </w:rPr>
        <w:t>MPa</w:t>
      </w:r>
      <w:proofErr w:type="spellEnd"/>
      <w:r w:rsidRPr="007702C8">
        <w:rPr>
          <w:b/>
          <w:lang w:val="fr-FR"/>
        </w:rPr>
        <w:t>.</w:t>
      </w:r>
      <w:r w:rsidRPr="007702C8">
        <w:rPr>
          <w:lang w:val="fr-FR"/>
        </w:rPr>
        <w:t xml:space="preserve"> Si la limite supérieure de la résistance à la traction spécifiée pour l’acier d’une bouteille finie excède 950 </w:t>
      </w:r>
      <w:proofErr w:type="spellStart"/>
      <w:r w:rsidRPr="007702C8">
        <w:rPr>
          <w:lang w:val="fr-FR"/>
        </w:rPr>
        <w:t>MPa</w:t>
      </w:r>
      <w:proofErr w:type="spellEnd"/>
      <w:r w:rsidRPr="007702C8">
        <w:rPr>
          <w:lang w:val="fr-FR"/>
        </w:rPr>
        <w:t>, il doit être soumis à un essai de résistance à la fissuration sous contrainte au sulfure conformément au paragraphe A.3 de l’appendice A à la présente annexe et satisfaire aux exigences qui y sont énumérées.</w:t>
      </w:r>
      <w:r w:rsidR="0069534E">
        <w:rPr>
          <w:lang w:val="fr-FR"/>
        </w:rPr>
        <w:t> »</w:t>
      </w:r>
      <w:r w:rsidRPr="007702C8">
        <w:rPr>
          <w:lang w:val="fr-FR"/>
        </w:rPr>
        <w:t>.</w:t>
      </w:r>
    </w:p>
    <w:p w:rsidR="007702C8" w:rsidRDefault="007702C8" w:rsidP="007702C8">
      <w:pPr>
        <w:pStyle w:val="SingleTxt"/>
        <w:rPr>
          <w:bCs/>
          <w:lang w:val="fr-FR"/>
        </w:rPr>
      </w:pPr>
      <w:r w:rsidRPr="007702C8">
        <w:rPr>
          <w:bCs/>
          <w:i/>
          <w:lang w:val="fr-FR"/>
        </w:rPr>
        <w:t>Tableau 6.1</w:t>
      </w:r>
      <w:r w:rsidRPr="007702C8">
        <w:rPr>
          <w:bCs/>
          <w:lang w:val="fr-FR"/>
        </w:rPr>
        <w:t xml:space="preserve">, </w:t>
      </w:r>
      <w:proofErr w:type="gramStart"/>
      <w:r w:rsidRPr="007702C8">
        <w:rPr>
          <w:bCs/>
          <w:lang w:val="fr-FR"/>
        </w:rPr>
        <w:t>modifier</w:t>
      </w:r>
      <w:proofErr w:type="gramEnd"/>
      <w:r w:rsidRPr="007702C8">
        <w:rPr>
          <w:bCs/>
          <w:lang w:val="fr-FR"/>
        </w:rPr>
        <w:t xml:space="preserve"> comme suit</w:t>
      </w:r>
      <w:r w:rsidR="0069534E">
        <w:rPr>
          <w:bCs/>
          <w:lang w:val="fr-FR"/>
        </w:rPr>
        <w:t> </w:t>
      </w:r>
      <w:r w:rsidRPr="007702C8">
        <w:rPr>
          <w:bCs/>
          <w:lang w:val="fr-FR"/>
        </w:rPr>
        <w:t>:</w:t>
      </w:r>
    </w:p>
    <w:p w:rsidR="00901340" w:rsidRPr="00901340" w:rsidRDefault="00901340" w:rsidP="00901340">
      <w:pPr>
        <w:pStyle w:val="SingleTxt"/>
        <w:spacing w:after="0" w:line="120" w:lineRule="exact"/>
        <w:rPr>
          <w:bCs/>
          <w:sz w:val="10"/>
          <w:lang w:val="fr-FR"/>
        </w:rPr>
      </w:pPr>
    </w:p>
    <w:p w:rsidR="007702C8" w:rsidRDefault="0069534E" w:rsidP="006953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69534E">
        <w:rPr>
          <w:b w:val="0"/>
          <w:lang w:val="fr-FR"/>
        </w:rPr>
        <w:tab/>
        <w:t>« </w:t>
      </w:r>
      <w:r w:rsidR="007702C8" w:rsidRPr="00C074F4">
        <w:rPr>
          <w:b w:val="0"/>
          <w:lang w:val="fr-FR"/>
        </w:rPr>
        <w:t>Tableau 6.1</w:t>
      </w:r>
      <w:r>
        <w:rPr>
          <w:lang w:val="fr-FR"/>
        </w:rPr>
        <w:t xml:space="preserve"> </w:t>
      </w:r>
      <w:r>
        <w:rPr>
          <w:lang w:val="fr-FR"/>
        </w:rPr>
        <w:br/>
      </w:r>
      <w:r w:rsidR="007702C8" w:rsidRPr="007702C8">
        <w:rPr>
          <w:lang w:val="fr-FR"/>
        </w:rPr>
        <w:t>Essai de validation de la conception des matériaux</w:t>
      </w:r>
    </w:p>
    <w:p w:rsidR="0069534E" w:rsidRPr="0069534E" w:rsidRDefault="0069534E" w:rsidP="0069534E">
      <w:pPr>
        <w:pStyle w:val="SingleTxt"/>
        <w:spacing w:after="0" w:line="120" w:lineRule="exact"/>
        <w:rPr>
          <w:sz w:val="10"/>
          <w:lang w:val="fr-FR"/>
        </w:rPr>
      </w:pPr>
    </w:p>
    <w:p w:rsidR="0069534E" w:rsidRPr="0069534E" w:rsidRDefault="0069534E" w:rsidP="0069534E">
      <w:pPr>
        <w:pStyle w:val="SingleTxt"/>
        <w:spacing w:after="0" w:line="120" w:lineRule="exact"/>
        <w:rPr>
          <w:sz w:val="10"/>
          <w:lang w:val="fr-FR"/>
        </w:rPr>
      </w:pPr>
    </w:p>
    <w:tbl>
      <w:tblPr>
        <w:tblW w:w="8782"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1"/>
        <w:gridCol w:w="858"/>
        <w:gridCol w:w="858"/>
        <w:gridCol w:w="858"/>
        <w:gridCol w:w="858"/>
        <w:gridCol w:w="859"/>
      </w:tblGrid>
      <w:tr w:rsidR="00901340" w:rsidRPr="006035EE" w:rsidTr="00B76E23">
        <w:trPr>
          <w:tblHeader/>
        </w:trPr>
        <w:tc>
          <w:tcPr>
            <w:tcW w:w="4491" w:type="dxa"/>
            <w:shd w:val="clear" w:color="auto" w:fill="auto"/>
            <w:vAlign w:val="bottom"/>
          </w:tcPr>
          <w:p w:rsidR="00901340" w:rsidRPr="006035EE" w:rsidRDefault="00901340" w:rsidP="006035EE">
            <w:pPr>
              <w:tabs>
                <w:tab w:val="left" w:pos="288"/>
                <w:tab w:val="left" w:pos="576"/>
                <w:tab w:val="left" w:pos="864"/>
                <w:tab w:val="left" w:pos="1152"/>
              </w:tabs>
              <w:suppressAutoHyphens/>
              <w:spacing w:before="80" w:after="80" w:line="160" w:lineRule="exact"/>
              <w:ind w:right="40"/>
              <w:rPr>
                <w:i/>
                <w:sz w:val="14"/>
                <w:lang w:val="fr-FR"/>
              </w:rPr>
            </w:pPr>
          </w:p>
        </w:tc>
        <w:tc>
          <w:tcPr>
            <w:tcW w:w="4291" w:type="dxa"/>
            <w:gridSpan w:val="5"/>
            <w:shd w:val="clear" w:color="auto" w:fill="auto"/>
            <w:vAlign w:val="bottom"/>
          </w:tcPr>
          <w:p w:rsidR="00901340" w:rsidRPr="006035EE" w:rsidRDefault="00901340" w:rsidP="0007626F">
            <w:pPr>
              <w:tabs>
                <w:tab w:val="left" w:pos="288"/>
                <w:tab w:val="left" w:pos="576"/>
                <w:tab w:val="left" w:pos="864"/>
                <w:tab w:val="left" w:pos="1152"/>
              </w:tabs>
              <w:suppressAutoHyphens/>
              <w:spacing w:before="80" w:after="80" w:line="160" w:lineRule="exact"/>
              <w:ind w:right="397"/>
              <w:jc w:val="center"/>
              <w:rPr>
                <w:i/>
                <w:sz w:val="14"/>
                <w:lang w:val="fr-FR"/>
              </w:rPr>
            </w:pPr>
            <w:r>
              <w:rPr>
                <w:i/>
                <w:sz w:val="14"/>
                <w:lang w:val="fr-FR"/>
              </w:rPr>
              <w:t>Paragraphe correspondant</w:t>
            </w:r>
          </w:p>
        </w:tc>
      </w:tr>
      <w:tr w:rsidR="00901340" w:rsidRPr="006035EE" w:rsidTr="00901340">
        <w:trPr>
          <w:tblHeader/>
        </w:trPr>
        <w:tc>
          <w:tcPr>
            <w:tcW w:w="4491" w:type="dxa"/>
            <w:shd w:val="clear" w:color="auto" w:fill="auto"/>
            <w:vAlign w:val="bottom"/>
          </w:tcPr>
          <w:p w:rsidR="006035EE" w:rsidRPr="006035EE" w:rsidRDefault="006035EE" w:rsidP="006035EE">
            <w:pPr>
              <w:tabs>
                <w:tab w:val="left" w:pos="288"/>
                <w:tab w:val="left" w:pos="576"/>
                <w:tab w:val="left" w:pos="864"/>
                <w:tab w:val="left" w:pos="1152"/>
              </w:tabs>
              <w:suppressAutoHyphens/>
              <w:spacing w:before="80" w:after="80" w:line="160" w:lineRule="exact"/>
              <w:ind w:right="40"/>
              <w:rPr>
                <w:i/>
                <w:sz w:val="14"/>
                <w:lang w:val="fr-FR"/>
              </w:rPr>
            </w:pPr>
          </w:p>
        </w:tc>
        <w:tc>
          <w:tcPr>
            <w:tcW w:w="858" w:type="dxa"/>
            <w:shd w:val="clear" w:color="auto" w:fill="auto"/>
            <w:vAlign w:val="bottom"/>
          </w:tcPr>
          <w:p w:rsidR="006035EE" w:rsidRPr="006035EE" w:rsidRDefault="006035EE" w:rsidP="00AA321E">
            <w:pPr>
              <w:tabs>
                <w:tab w:val="left" w:pos="288"/>
                <w:tab w:val="left" w:pos="576"/>
                <w:tab w:val="left" w:pos="864"/>
                <w:tab w:val="left" w:pos="1152"/>
              </w:tabs>
              <w:suppressAutoHyphens/>
              <w:spacing w:before="80" w:after="80" w:line="160" w:lineRule="exact"/>
              <w:ind w:right="144"/>
              <w:jc w:val="center"/>
              <w:rPr>
                <w:i/>
                <w:sz w:val="14"/>
                <w:lang w:val="fr-FR"/>
              </w:rPr>
            </w:pPr>
            <w:r>
              <w:rPr>
                <w:i/>
                <w:sz w:val="14"/>
                <w:lang w:val="fr-FR"/>
              </w:rPr>
              <w:t>Acier</w:t>
            </w:r>
          </w:p>
        </w:tc>
        <w:tc>
          <w:tcPr>
            <w:tcW w:w="858" w:type="dxa"/>
            <w:shd w:val="clear" w:color="auto" w:fill="auto"/>
            <w:vAlign w:val="bottom"/>
          </w:tcPr>
          <w:p w:rsidR="006035EE" w:rsidRPr="006035EE" w:rsidRDefault="006035EE" w:rsidP="00AA321E">
            <w:pPr>
              <w:tabs>
                <w:tab w:val="left" w:pos="288"/>
                <w:tab w:val="left" w:pos="576"/>
                <w:tab w:val="left" w:pos="864"/>
                <w:tab w:val="left" w:pos="1152"/>
              </w:tabs>
              <w:suppressAutoHyphens/>
              <w:spacing w:before="80" w:after="80" w:line="160" w:lineRule="exact"/>
              <w:ind w:right="144"/>
              <w:jc w:val="center"/>
              <w:rPr>
                <w:i/>
                <w:sz w:val="14"/>
                <w:lang w:val="fr-FR"/>
              </w:rPr>
            </w:pPr>
            <w:r>
              <w:rPr>
                <w:i/>
                <w:sz w:val="14"/>
                <w:lang w:val="fr-FR"/>
              </w:rPr>
              <w:t>Aluminium</w:t>
            </w:r>
          </w:p>
        </w:tc>
        <w:tc>
          <w:tcPr>
            <w:tcW w:w="858" w:type="dxa"/>
            <w:shd w:val="clear" w:color="auto" w:fill="auto"/>
            <w:vAlign w:val="bottom"/>
          </w:tcPr>
          <w:p w:rsidR="006035EE" w:rsidRPr="006035EE" w:rsidRDefault="006035EE" w:rsidP="00AA321E">
            <w:pPr>
              <w:tabs>
                <w:tab w:val="left" w:pos="288"/>
                <w:tab w:val="left" w:pos="576"/>
                <w:tab w:val="left" w:pos="864"/>
                <w:tab w:val="left" w:pos="1152"/>
              </w:tabs>
              <w:suppressAutoHyphens/>
              <w:spacing w:before="80" w:after="80" w:line="160" w:lineRule="exact"/>
              <w:ind w:right="144"/>
              <w:jc w:val="center"/>
              <w:rPr>
                <w:i/>
                <w:sz w:val="14"/>
                <w:lang w:val="fr-FR"/>
              </w:rPr>
            </w:pPr>
            <w:r>
              <w:rPr>
                <w:i/>
                <w:sz w:val="14"/>
                <w:lang w:val="fr-FR"/>
              </w:rPr>
              <w:t>Résines</w:t>
            </w:r>
          </w:p>
        </w:tc>
        <w:tc>
          <w:tcPr>
            <w:tcW w:w="858" w:type="dxa"/>
            <w:shd w:val="clear" w:color="auto" w:fill="auto"/>
            <w:vAlign w:val="bottom"/>
          </w:tcPr>
          <w:p w:rsidR="006035EE" w:rsidRPr="006035EE" w:rsidRDefault="006035EE" w:rsidP="00AA321E">
            <w:pPr>
              <w:tabs>
                <w:tab w:val="left" w:pos="288"/>
                <w:tab w:val="left" w:pos="576"/>
                <w:tab w:val="left" w:pos="864"/>
                <w:tab w:val="left" w:pos="1152"/>
              </w:tabs>
              <w:suppressAutoHyphens/>
              <w:spacing w:before="80" w:after="80" w:line="160" w:lineRule="exact"/>
              <w:ind w:right="144"/>
              <w:jc w:val="center"/>
              <w:rPr>
                <w:i/>
                <w:sz w:val="14"/>
                <w:lang w:val="fr-FR"/>
              </w:rPr>
            </w:pPr>
            <w:r>
              <w:rPr>
                <w:i/>
                <w:sz w:val="14"/>
                <w:lang w:val="fr-FR"/>
              </w:rPr>
              <w:t>Fibres</w:t>
            </w:r>
          </w:p>
        </w:tc>
        <w:tc>
          <w:tcPr>
            <w:tcW w:w="859" w:type="dxa"/>
            <w:shd w:val="clear" w:color="auto" w:fill="auto"/>
            <w:vAlign w:val="bottom"/>
          </w:tcPr>
          <w:p w:rsidR="006035EE" w:rsidRPr="00901340" w:rsidRDefault="006035EE" w:rsidP="00AA321E">
            <w:pPr>
              <w:tabs>
                <w:tab w:val="left" w:pos="288"/>
                <w:tab w:val="left" w:pos="576"/>
                <w:tab w:val="left" w:pos="864"/>
                <w:tab w:val="left" w:pos="1152"/>
              </w:tabs>
              <w:suppressAutoHyphens/>
              <w:spacing w:before="80" w:after="80" w:line="160" w:lineRule="exact"/>
              <w:jc w:val="center"/>
              <w:rPr>
                <w:i/>
                <w:spacing w:val="0"/>
                <w:sz w:val="14"/>
                <w:lang w:val="fr-FR"/>
              </w:rPr>
            </w:pPr>
            <w:r w:rsidRPr="00901340">
              <w:rPr>
                <w:i/>
                <w:spacing w:val="0"/>
                <w:sz w:val="14"/>
                <w:lang w:val="fr-FR"/>
              </w:rPr>
              <w:t>Doublures en</w:t>
            </w:r>
            <w:r w:rsidR="00F87135" w:rsidRPr="00901340">
              <w:rPr>
                <w:i/>
                <w:spacing w:val="0"/>
                <w:sz w:val="14"/>
                <w:lang w:val="fr-FR"/>
              </w:rPr>
              <w:t> </w:t>
            </w:r>
            <w:r w:rsidRPr="00901340">
              <w:rPr>
                <w:i/>
                <w:spacing w:val="0"/>
                <w:sz w:val="14"/>
                <w:lang w:val="fr-FR"/>
              </w:rPr>
              <w:t>plas</w:t>
            </w:r>
            <w:r w:rsidR="00B96EE3" w:rsidRPr="00901340">
              <w:rPr>
                <w:i/>
                <w:spacing w:val="0"/>
                <w:sz w:val="14"/>
                <w:lang w:val="fr-FR"/>
              </w:rPr>
              <w:t>t</w:t>
            </w:r>
            <w:r w:rsidRPr="00901340">
              <w:rPr>
                <w:i/>
                <w:spacing w:val="0"/>
                <w:sz w:val="14"/>
                <w:lang w:val="fr-FR"/>
              </w:rPr>
              <w:t>ique</w:t>
            </w:r>
          </w:p>
        </w:tc>
      </w:tr>
      <w:tr w:rsidR="00901340" w:rsidRPr="006035EE" w:rsidTr="00901340">
        <w:tc>
          <w:tcPr>
            <w:tcW w:w="4491" w:type="dxa"/>
            <w:shd w:val="clear" w:color="auto" w:fill="auto"/>
          </w:tcPr>
          <w:p w:rsidR="006035EE" w:rsidRPr="006035EE" w:rsidRDefault="006035EE" w:rsidP="00CA5F23">
            <w:pPr>
              <w:tabs>
                <w:tab w:val="left" w:pos="288"/>
                <w:tab w:val="left" w:pos="576"/>
                <w:tab w:val="left" w:pos="864"/>
                <w:tab w:val="left" w:pos="1152"/>
              </w:tabs>
              <w:suppressAutoHyphens/>
              <w:spacing w:before="40" w:after="80"/>
              <w:ind w:left="43" w:right="43"/>
              <w:rPr>
                <w:lang w:val="fr-FR"/>
              </w:rPr>
            </w:pPr>
            <w:r>
              <w:rPr>
                <w:lang w:val="fr-FR"/>
              </w:rPr>
              <w:t>Propriétés de traction</w:t>
            </w:r>
          </w:p>
        </w:tc>
        <w:tc>
          <w:tcPr>
            <w:tcW w:w="858" w:type="dxa"/>
            <w:shd w:val="clear" w:color="auto" w:fill="auto"/>
          </w:tcPr>
          <w:p w:rsidR="006035EE" w:rsidRPr="006035EE" w:rsidRDefault="005260E5" w:rsidP="00F90D66">
            <w:pPr>
              <w:tabs>
                <w:tab w:val="left" w:pos="288"/>
                <w:tab w:val="left" w:pos="576"/>
                <w:tab w:val="left" w:pos="864"/>
                <w:tab w:val="left" w:pos="1152"/>
              </w:tabs>
              <w:suppressAutoHyphens/>
              <w:spacing w:before="40" w:after="80"/>
              <w:ind w:right="115"/>
              <w:jc w:val="center"/>
              <w:rPr>
                <w:lang w:val="fr-FR"/>
              </w:rPr>
            </w:pPr>
            <w:r>
              <w:rPr>
                <w:lang w:val="fr-FR"/>
              </w:rPr>
              <w:t>6.3.2.2</w:t>
            </w:r>
          </w:p>
        </w:tc>
        <w:tc>
          <w:tcPr>
            <w:tcW w:w="858" w:type="dxa"/>
            <w:shd w:val="clear" w:color="auto" w:fill="auto"/>
          </w:tcPr>
          <w:p w:rsidR="006035EE" w:rsidRPr="006035EE" w:rsidRDefault="005260E5" w:rsidP="00F90D66">
            <w:pPr>
              <w:tabs>
                <w:tab w:val="left" w:pos="288"/>
                <w:tab w:val="left" w:pos="576"/>
                <w:tab w:val="left" w:pos="864"/>
                <w:tab w:val="left" w:pos="1152"/>
              </w:tabs>
              <w:suppressAutoHyphens/>
              <w:spacing w:before="40" w:after="80"/>
              <w:ind w:right="115"/>
              <w:jc w:val="center"/>
              <w:rPr>
                <w:lang w:val="fr-FR"/>
              </w:rPr>
            </w:pPr>
            <w:r>
              <w:rPr>
                <w:lang w:val="fr-FR"/>
              </w:rPr>
              <w:t>6.3.3.4</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5260E5" w:rsidP="00F90D66">
            <w:pPr>
              <w:tabs>
                <w:tab w:val="left" w:pos="288"/>
                <w:tab w:val="left" w:pos="576"/>
                <w:tab w:val="left" w:pos="864"/>
                <w:tab w:val="left" w:pos="1152"/>
              </w:tabs>
              <w:suppressAutoHyphens/>
              <w:spacing w:before="40" w:after="80"/>
              <w:ind w:right="115"/>
              <w:jc w:val="center"/>
              <w:rPr>
                <w:lang w:val="fr-FR"/>
              </w:rPr>
            </w:pPr>
            <w:r>
              <w:rPr>
                <w:lang w:val="fr-FR"/>
              </w:rPr>
              <w:t>6.3.5</w:t>
            </w:r>
          </w:p>
        </w:tc>
        <w:tc>
          <w:tcPr>
            <w:tcW w:w="859" w:type="dxa"/>
            <w:shd w:val="clear" w:color="auto" w:fill="auto"/>
          </w:tcPr>
          <w:p w:rsidR="006035EE" w:rsidRPr="006035EE" w:rsidRDefault="005260E5" w:rsidP="00F90D66">
            <w:pPr>
              <w:tabs>
                <w:tab w:val="left" w:pos="288"/>
                <w:tab w:val="left" w:pos="576"/>
                <w:tab w:val="left" w:pos="864"/>
                <w:tab w:val="left" w:pos="1152"/>
              </w:tabs>
              <w:suppressAutoHyphens/>
              <w:spacing w:before="40" w:after="80"/>
              <w:ind w:right="115"/>
              <w:jc w:val="center"/>
              <w:rPr>
                <w:lang w:val="fr-FR"/>
              </w:rPr>
            </w:pPr>
            <w:r>
              <w:rPr>
                <w:lang w:val="fr-FR"/>
              </w:rPr>
              <w:t>6.3.6</w:t>
            </w:r>
          </w:p>
        </w:tc>
      </w:tr>
      <w:tr w:rsidR="00901340" w:rsidRPr="006035EE" w:rsidTr="00901340">
        <w:tc>
          <w:tcPr>
            <w:tcW w:w="4491" w:type="dxa"/>
            <w:shd w:val="clear" w:color="auto" w:fill="auto"/>
          </w:tcPr>
          <w:p w:rsidR="005260E5" w:rsidRPr="006035EE" w:rsidRDefault="005260E5" w:rsidP="00CA5F23">
            <w:pPr>
              <w:tabs>
                <w:tab w:val="left" w:pos="288"/>
                <w:tab w:val="left" w:pos="576"/>
                <w:tab w:val="left" w:pos="864"/>
                <w:tab w:val="left" w:pos="1152"/>
              </w:tabs>
              <w:suppressAutoHyphens/>
              <w:spacing w:before="40" w:after="80"/>
              <w:ind w:left="43" w:right="43"/>
              <w:rPr>
                <w:lang w:val="fr-FR"/>
              </w:rPr>
            </w:pPr>
            <w:r w:rsidRPr="006035EE">
              <w:rPr>
                <w:lang w:val="fr-FR"/>
              </w:rPr>
              <w:t>Propriétés de résistance aux chocs</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r w:rsidRPr="005260E5">
              <w:rPr>
                <w:lang w:val="fr-FR"/>
              </w:rPr>
              <w:t>6.3.2.3</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5260E5" w:rsidRPr="001E5832" w:rsidRDefault="005260E5" w:rsidP="00CA5F23">
            <w:pPr>
              <w:tabs>
                <w:tab w:val="left" w:pos="288"/>
                <w:tab w:val="left" w:pos="576"/>
                <w:tab w:val="left" w:pos="864"/>
                <w:tab w:val="left" w:pos="1152"/>
              </w:tabs>
              <w:suppressAutoHyphens/>
              <w:spacing w:before="40" w:after="80"/>
              <w:ind w:left="43" w:right="43"/>
              <w:rPr>
                <w:strike/>
                <w:lang w:val="fr-FR"/>
              </w:rPr>
            </w:pPr>
            <w:r w:rsidRPr="001E5832">
              <w:rPr>
                <w:strike/>
                <w:lang w:val="fr-FR"/>
              </w:rPr>
              <w:t xml:space="preserve">Propriétés en flexion </w:t>
            </w:r>
          </w:p>
        </w:tc>
        <w:tc>
          <w:tcPr>
            <w:tcW w:w="858" w:type="dxa"/>
            <w:shd w:val="clear" w:color="auto" w:fill="auto"/>
          </w:tcPr>
          <w:p w:rsidR="005260E5" w:rsidRPr="004C1838" w:rsidRDefault="005260E5" w:rsidP="00F90D66">
            <w:pPr>
              <w:tabs>
                <w:tab w:val="left" w:pos="288"/>
                <w:tab w:val="left" w:pos="576"/>
                <w:tab w:val="left" w:pos="864"/>
                <w:tab w:val="left" w:pos="1152"/>
              </w:tabs>
              <w:suppressAutoHyphens/>
              <w:spacing w:before="40" w:after="80"/>
              <w:ind w:right="115"/>
              <w:jc w:val="center"/>
              <w:rPr>
                <w:strike/>
                <w:lang w:val="fr-FR"/>
              </w:rPr>
            </w:pPr>
            <w:r w:rsidRPr="004C1838">
              <w:rPr>
                <w:strike/>
                <w:lang w:val="fr-FR"/>
              </w:rPr>
              <w:t>6.3.2.4</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5260E5" w:rsidRPr="001E5832" w:rsidRDefault="005260E5" w:rsidP="00CA5F23">
            <w:pPr>
              <w:tabs>
                <w:tab w:val="left" w:pos="288"/>
                <w:tab w:val="left" w:pos="576"/>
                <w:tab w:val="left" w:pos="864"/>
                <w:tab w:val="left" w:pos="1152"/>
              </w:tabs>
              <w:suppressAutoHyphens/>
              <w:spacing w:before="40" w:after="80"/>
              <w:ind w:left="43" w:right="43"/>
              <w:rPr>
                <w:strike/>
                <w:lang w:val="fr-FR"/>
              </w:rPr>
            </w:pPr>
            <w:r w:rsidRPr="001E5832">
              <w:rPr>
                <w:strike/>
                <w:lang w:val="fr-FR"/>
              </w:rPr>
              <w:t xml:space="preserve">Examen des soudures </w:t>
            </w:r>
          </w:p>
        </w:tc>
        <w:tc>
          <w:tcPr>
            <w:tcW w:w="858" w:type="dxa"/>
            <w:shd w:val="clear" w:color="auto" w:fill="auto"/>
          </w:tcPr>
          <w:p w:rsidR="005260E5" w:rsidRPr="004C1838" w:rsidRDefault="005260E5" w:rsidP="00F90D66">
            <w:pPr>
              <w:tabs>
                <w:tab w:val="left" w:pos="288"/>
                <w:tab w:val="left" w:pos="576"/>
                <w:tab w:val="left" w:pos="864"/>
                <w:tab w:val="left" w:pos="1152"/>
              </w:tabs>
              <w:suppressAutoHyphens/>
              <w:spacing w:before="40" w:after="80"/>
              <w:ind w:right="115"/>
              <w:jc w:val="center"/>
              <w:rPr>
                <w:strike/>
                <w:lang w:val="fr-FR"/>
              </w:rPr>
            </w:pPr>
            <w:r w:rsidRPr="004C1838">
              <w:rPr>
                <w:strike/>
                <w:lang w:val="fr-FR"/>
              </w:rPr>
              <w:t>6.3.2.5</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5260E5" w:rsidRPr="00901340" w:rsidRDefault="005260E5" w:rsidP="00CA5F23">
            <w:pPr>
              <w:tabs>
                <w:tab w:val="left" w:pos="288"/>
                <w:tab w:val="left" w:pos="576"/>
                <w:tab w:val="left" w:pos="864"/>
                <w:tab w:val="left" w:pos="1152"/>
              </w:tabs>
              <w:suppressAutoHyphens/>
              <w:spacing w:before="40" w:after="80"/>
              <w:ind w:left="43" w:right="43"/>
              <w:rPr>
                <w:spacing w:val="0"/>
                <w:lang w:val="fr-FR"/>
              </w:rPr>
            </w:pPr>
            <w:r w:rsidRPr="00901340">
              <w:rPr>
                <w:spacing w:val="0"/>
                <w:lang w:val="fr-FR"/>
              </w:rPr>
              <w:t>Résistance à la fissuration sous contrainte au sulfure</w:t>
            </w:r>
          </w:p>
        </w:tc>
        <w:tc>
          <w:tcPr>
            <w:tcW w:w="858" w:type="dxa"/>
            <w:shd w:val="clear" w:color="auto" w:fill="auto"/>
          </w:tcPr>
          <w:p w:rsidR="005260E5" w:rsidRPr="005260E5" w:rsidRDefault="001A6104" w:rsidP="00F90D66">
            <w:pPr>
              <w:tabs>
                <w:tab w:val="left" w:pos="288"/>
                <w:tab w:val="left" w:pos="576"/>
                <w:tab w:val="left" w:pos="864"/>
                <w:tab w:val="left" w:pos="1152"/>
              </w:tabs>
              <w:suppressAutoHyphens/>
              <w:spacing w:before="40" w:after="80"/>
              <w:ind w:right="115"/>
              <w:jc w:val="center"/>
              <w:rPr>
                <w:lang w:val="fr-FR"/>
              </w:rPr>
            </w:pPr>
            <w:r w:rsidRPr="004C1838">
              <w:rPr>
                <w:b/>
                <w:lang w:val="fr-FR"/>
              </w:rPr>
              <w:t>6.3.2.4</w:t>
            </w:r>
            <w:r>
              <w:rPr>
                <w:lang w:val="fr-FR"/>
              </w:rPr>
              <w:t xml:space="preserve"> </w:t>
            </w:r>
            <w:r>
              <w:rPr>
                <w:lang w:val="fr-FR"/>
              </w:rPr>
              <w:br/>
            </w:r>
            <w:r w:rsidR="005260E5" w:rsidRPr="004C1838">
              <w:rPr>
                <w:strike/>
                <w:lang w:val="fr-FR"/>
              </w:rPr>
              <w:t>6.3.2.6</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5260E5" w:rsidRPr="006035EE" w:rsidRDefault="005260E5" w:rsidP="00CA5F23">
            <w:pPr>
              <w:tabs>
                <w:tab w:val="left" w:pos="288"/>
                <w:tab w:val="left" w:pos="576"/>
                <w:tab w:val="left" w:pos="864"/>
                <w:tab w:val="left" w:pos="1152"/>
              </w:tabs>
              <w:suppressAutoHyphens/>
              <w:spacing w:before="40" w:after="80"/>
              <w:ind w:left="43" w:right="43"/>
              <w:rPr>
                <w:lang w:val="fr-FR"/>
              </w:rPr>
            </w:pPr>
            <w:r w:rsidRPr="006035EE">
              <w:rPr>
                <w:lang w:val="fr-FR"/>
              </w:rPr>
              <w:t>Résistance à la fissuration sous charge</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r w:rsidRPr="005260E5">
              <w:rPr>
                <w:lang w:val="fr-FR"/>
              </w:rPr>
              <w:t>6.3.3.3</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5260E5" w:rsidRPr="006035EE" w:rsidRDefault="005260E5" w:rsidP="00CA5F23">
            <w:pPr>
              <w:tabs>
                <w:tab w:val="left" w:pos="288"/>
                <w:tab w:val="left" w:pos="576"/>
                <w:tab w:val="left" w:pos="864"/>
                <w:tab w:val="left" w:pos="1152"/>
              </w:tabs>
              <w:suppressAutoHyphens/>
              <w:spacing w:before="40" w:after="80"/>
              <w:ind w:left="43" w:right="43"/>
              <w:rPr>
                <w:lang w:val="fr-FR"/>
              </w:rPr>
            </w:pPr>
            <w:r w:rsidRPr="006035EE">
              <w:rPr>
                <w:lang w:val="fr-FR"/>
              </w:rPr>
              <w:t xml:space="preserve">Fissuration par corrosion sous contraintes </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r w:rsidRPr="005260E5">
              <w:rPr>
                <w:lang w:val="fr-FR"/>
              </w:rPr>
              <w:t>6.3.3.2</w:t>
            </w: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5260E5" w:rsidRPr="005260E5" w:rsidRDefault="005260E5"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6035EE" w:rsidRPr="006035EE" w:rsidRDefault="006035EE" w:rsidP="00CA5F23">
            <w:pPr>
              <w:tabs>
                <w:tab w:val="left" w:pos="288"/>
                <w:tab w:val="left" w:pos="576"/>
                <w:tab w:val="left" w:pos="864"/>
                <w:tab w:val="left" w:pos="1152"/>
              </w:tabs>
              <w:suppressAutoHyphens/>
              <w:spacing w:before="40" w:after="80"/>
              <w:ind w:left="43" w:right="43"/>
              <w:rPr>
                <w:lang w:val="fr-FR"/>
              </w:rPr>
            </w:pPr>
            <w:r w:rsidRPr="006035EE">
              <w:rPr>
                <w:lang w:val="fr-FR"/>
              </w:rPr>
              <w:t xml:space="preserve">Résistance au cisaillement </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4B2125" w:rsidP="00F90D66">
            <w:pPr>
              <w:tabs>
                <w:tab w:val="left" w:pos="288"/>
                <w:tab w:val="left" w:pos="576"/>
                <w:tab w:val="left" w:pos="864"/>
                <w:tab w:val="left" w:pos="1152"/>
              </w:tabs>
              <w:suppressAutoHyphens/>
              <w:spacing w:before="40" w:after="80"/>
              <w:ind w:right="115"/>
              <w:jc w:val="center"/>
              <w:rPr>
                <w:lang w:val="fr-FR"/>
              </w:rPr>
            </w:pPr>
            <w:r>
              <w:rPr>
                <w:lang w:val="fr-FR"/>
              </w:rPr>
              <w:t>6.3.4.2</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6035EE" w:rsidRPr="001E5832" w:rsidRDefault="006035EE" w:rsidP="00CA5F23">
            <w:pPr>
              <w:tabs>
                <w:tab w:val="left" w:pos="288"/>
                <w:tab w:val="left" w:pos="576"/>
                <w:tab w:val="left" w:pos="864"/>
                <w:tab w:val="left" w:pos="1152"/>
              </w:tabs>
              <w:suppressAutoHyphens/>
              <w:spacing w:before="40" w:after="80"/>
              <w:ind w:left="43" w:right="43"/>
              <w:rPr>
                <w:lang w:val="fr-FR"/>
              </w:rPr>
            </w:pPr>
            <w:r w:rsidRPr="001E5832">
              <w:rPr>
                <w:lang w:val="fr-FR"/>
              </w:rPr>
              <w:t xml:space="preserve">Température de transition vitreuse </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4B2125" w:rsidP="00F90D66">
            <w:pPr>
              <w:tabs>
                <w:tab w:val="left" w:pos="288"/>
                <w:tab w:val="left" w:pos="576"/>
                <w:tab w:val="left" w:pos="864"/>
                <w:tab w:val="left" w:pos="1152"/>
              </w:tabs>
              <w:suppressAutoHyphens/>
              <w:spacing w:before="40" w:after="80"/>
              <w:ind w:right="115"/>
              <w:jc w:val="center"/>
              <w:rPr>
                <w:lang w:val="fr-FR"/>
              </w:rPr>
            </w:pPr>
            <w:r>
              <w:rPr>
                <w:lang w:val="fr-FR"/>
              </w:rPr>
              <w:t>6.3.4.3</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r>
      <w:tr w:rsidR="00901340" w:rsidRPr="006035EE" w:rsidTr="00901340">
        <w:tc>
          <w:tcPr>
            <w:tcW w:w="4491" w:type="dxa"/>
            <w:shd w:val="clear" w:color="auto" w:fill="auto"/>
          </w:tcPr>
          <w:p w:rsidR="006035EE" w:rsidRPr="001E5832" w:rsidRDefault="006035EE" w:rsidP="00CA5F23">
            <w:pPr>
              <w:tabs>
                <w:tab w:val="left" w:pos="288"/>
                <w:tab w:val="left" w:pos="576"/>
                <w:tab w:val="left" w:pos="864"/>
                <w:tab w:val="left" w:pos="1152"/>
              </w:tabs>
              <w:suppressAutoHyphens/>
              <w:spacing w:before="40" w:after="80"/>
              <w:ind w:left="43" w:right="43"/>
              <w:rPr>
                <w:lang w:val="fr-FR"/>
              </w:rPr>
            </w:pPr>
            <w:r w:rsidRPr="001E5832">
              <w:rPr>
                <w:lang w:val="fr-FR"/>
              </w:rPr>
              <w:t xml:space="preserve">Température de ramollissement/fusion </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6035EE" w:rsidRPr="006035EE" w:rsidRDefault="004B2125" w:rsidP="00F90D66">
            <w:pPr>
              <w:tabs>
                <w:tab w:val="left" w:pos="288"/>
                <w:tab w:val="left" w:pos="576"/>
                <w:tab w:val="left" w:pos="864"/>
                <w:tab w:val="left" w:pos="1152"/>
              </w:tabs>
              <w:suppressAutoHyphens/>
              <w:spacing w:before="40" w:after="80"/>
              <w:ind w:right="115"/>
              <w:jc w:val="center"/>
              <w:rPr>
                <w:lang w:val="fr-FR"/>
              </w:rPr>
            </w:pPr>
            <w:r>
              <w:rPr>
                <w:lang w:val="fr-FR"/>
              </w:rPr>
              <w:t>6.3.6</w:t>
            </w:r>
          </w:p>
        </w:tc>
      </w:tr>
      <w:tr w:rsidR="00901340" w:rsidRPr="006035EE" w:rsidTr="00901340">
        <w:tc>
          <w:tcPr>
            <w:tcW w:w="4491" w:type="dxa"/>
            <w:shd w:val="clear" w:color="auto" w:fill="auto"/>
          </w:tcPr>
          <w:p w:rsidR="006035EE" w:rsidRPr="001E5832" w:rsidRDefault="006035EE" w:rsidP="00CA5F23">
            <w:pPr>
              <w:tabs>
                <w:tab w:val="left" w:pos="288"/>
                <w:tab w:val="left" w:pos="576"/>
                <w:tab w:val="left" w:pos="864"/>
                <w:tab w:val="left" w:pos="1152"/>
              </w:tabs>
              <w:suppressAutoHyphens/>
              <w:spacing w:before="40" w:after="80"/>
              <w:ind w:left="43" w:right="43"/>
              <w:rPr>
                <w:lang w:val="fr-FR"/>
              </w:rPr>
            </w:pPr>
            <w:r w:rsidRPr="001E5832">
              <w:rPr>
                <w:lang w:val="fr-FR"/>
              </w:rPr>
              <w:t>Mécanique de la rupture*</w:t>
            </w:r>
          </w:p>
        </w:tc>
        <w:tc>
          <w:tcPr>
            <w:tcW w:w="858" w:type="dxa"/>
            <w:shd w:val="clear" w:color="auto" w:fill="auto"/>
          </w:tcPr>
          <w:p w:rsidR="006035EE" w:rsidRPr="006035EE" w:rsidRDefault="004B2125" w:rsidP="00F90D66">
            <w:pPr>
              <w:tabs>
                <w:tab w:val="left" w:pos="288"/>
                <w:tab w:val="left" w:pos="576"/>
                <w:tab w:val="left" w:pos="864"/>
                <w:tab w:val="left" w:pos="1152"/>
              </w:tabs>
              <w:suppressAutoHyphens/>
              <w:spacing w:before="40" w:after="80"/>
              <w:ind w:right="115"/>
              <w:jc w:val="center"/>
              <w:rPr>
                <w:lang w:val="fr-FR"/>
              </w:rPr>
            </w:pPr>
            <w:r>
              <w:rPr>
                <w:lang w:val="fr-FR"/>
              </w:rPr>
              <w:t>6.7</w:t>
            </w:r>
          </w:p>
        </w:tc>
        <w:tc>
          <w:tcPr>
            <w:tcW w:w="858" w:type="dxa"/>
            <w:shd w:val="clear" w:color="auto" w:fill="auto"/>
          </w:tcPr>
          <w:p w:rsidR="006035EE" w:rsidRPr="006035EE" w:rsidRDefault="004B2125" w:rsidP="00F90D66">
            <w:pPr>
              <w:tabs>
                <w:tab w:val="left" w:pos="288"/>
                <w:tab w:val="left" w:pos="576"/>
                <w:tab w:val="left" w:pos="864"/>
                <w:tab w:val="left" w:pos="1152"/>
              </w:tabs>
              <w:suppressAutoHyphens/>
              <w:spacing w:before="40" w:after="80"/>
              <w:ind w:right="115"/>
              <w:jc w:val="center"/>
              <w:rPr>
                <w:lang w:val="fr-FR"/>
              </w:rPr>
            </w:pPr>
            <w:r>
              <w:rPr>
                <w:lang w:val="fr-FR"/>
              </w:rPr>
              <w:t>6.7</w:t>
            </w: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8"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c>
          <w:tcPr>
            <w:tcW w:w="859" w:type="dxa"/>
            <w:shd w:val="clear" w:color="auto" w:fill="auto"/>
          </w:tcPr>
          <w:p w:rsidR="006035EE" w:rsidRPr="006035EE" w:rsidRDefault="006035EE" w:rsidP="00F90D66">
            <w:pPr>
              <w:tabs>
                <w:tab w:val="left" w:pos="288"/>
                <w:tab w:val="left" w:pos="576"/>
                <w:tab w:val="left" w:pos="864"/>
                <w:tab w:val="left" w:pos="1152"/>
              </w:tabs>
              <w:suppressAutoHyphens/>
              <w:spacing w:before="40" w:after="80"/>
              <w:ind w:right="115"/>
              <w:jc w:val="center"/>
              <w:rPr>
                <w:lang w:val="fr-FR"/>
              </w:rPr>
            </w:pPr>
          </w:p>
        </w:tc>
      </w:tr>
    </w:tbl>
    <w:p w:rsidR="006035EE" w:rsidRPr="00483B94" w:rsidRDefault="006035EE" w:rsidP="00483B94">
      <w:pPr>
        <w:pStyle w:val="SingleTxt"/>
        <w:spacing w:after="0" w:line="120" w:lineRule="exact"/>
        <w:rPr>
          <w:sz w:val="10"/>
          <w:lang w:val="fr-FR"/>
        </w:rPr>
      </w:pPr>
    </w:p>
    <w:p w:rsidR="00483B94" w:rsidRDefault="00AF4E33" w:rsidP="00352FF7">
      <w:pPr>
        <w:pStyle w:val="FootnoteText"/>
        <w:tabs>
          <w:tab w:val="right" w:pos="1476"/>
          <w:tab w:val="left" w:pos="1548"/>
          <w:tab w:val="right" w:pos="1836"/>
          <w:tab w:val="left" w:pos="1908"/>
        </w:tabs>
        <w:ind w:left="1548" w:hanging="288"/>
        <w:rPr>
          <w:lang w:val="fr-FR"/>
        </w:rPr>
      </w:pPr>
      <w:r>
        <w:rPr>
          <w:lang w:val="fr-FR"/>
        </w:rPr>
        <w:tab/>
      </w:r>
      <w:r w:rsidR="00483B94">
        <w:rPr>
          <w:lang w:val="fr-FR"/>
        </w:rPr>
        <w:t>*</w:t>
      </w:r>
      <w:r w:rsidR="00483B94">
        <w:rPr>
          <w:lang w:val="fr-FR"/>
        </w:rPr>
        <w:tab/>
      </w:r>
      <w:r w:rsidR="00483B94" w:rsidRPr="00E720A7">
        <w:rPr>
          <w:lang w:val="fr-FR"/>
        </w:rPr>
        <w:t>Non requis en cas d</w:t>
      </w:r>
      <w:r w:rsidR="00483B94">
        <w:rPr>
          <w:lang w:val="fr-FR"/>
        </w:rPr>
        <w:t>’</w:t>
      </w:r>
      <w:r w:rsidR="00483B94" w:rsidRPr="00E720A7">
        <w:rPr>
          <w:lang w:val="fr-FR"/>
        </w:rPr>
        <w:t>utilisation de la méthode d</w:t>
      </w:r>
      <w:r w:rsidR="00483B94">
        <w:rPr>
          <w:lang w:val="fr-FR"/>
        </w:rPr>
        <w:t>’</w:t>
      </w:r>
      <w:r w:rsidR="00483B94" w:rsidRPr="00E720A7">
        <w:rPr>
          <w:lang w:val="fr-FR"/>
        </w:rPr>
        <w:t>essai pour les bouteilles défec</w:t>
      </w:r>
      <w:r w:rsidR="00352FF7">
        <w:rPr>
          <w:lang w:val="fr-FR"/>
        </w:rPr>
        <w:t>tueuses présentée au paragraphe </w:t>
      </w:r>
      <w:r w:rsidR="00483B94" w:rsidRPr="00E720A7">
        <w:rPr>
          <w:lang w:val="fr-FR"/>
        </w:rPr>
        <w:t>A.7 de l</w:t>
      </w:r>
      <w:r w:rsidR="00483B94">
        <w:rPr>
          <w:lang w:val="fr-FR"/>
        </w:rPr>
        <w:t>’</w:t>
      </w:r>
      <w:r w:rsidR="00483B94" w:rsidRPr="00E720A7">
        <w:rPr>
          <w:lang w:val="fr-FR"/>
        </w:rPr>
        <w:t>appendice A.</w:t>
      </w:r>
      <w:r w:rsidR="00483B94">
        <w:rPr>
          <w:lang w:val="fr-FR"/>
        </w:rPr>
        <w:t> ».</w:t>
      </w:r>
    </w:p>
    <w:p w:rsidR="00901340" w:rsidRPr="00C63E5B" w:rsidRDefault="00901340" w:rsidP="00C63E5B">
      <w:pPr>
        <w:pStyle w:val="SingleTxt"/>
        <w:spacing w:after="0" w:line="120" w:lineRule="exact"/>
        <w:rPr>
          <w:sz w:val="10"/>
          <w:lang w:val="fr-FR"/>
        </w:rPr>
      </w:pPr>
    </w:p>
    <w:p w:rsidR="006E089F" w:rsidRPr="006E089F" w:rsidRDefault="006E089F" w:rsidP="006E089F">
      <w:pPr>
        <w:pStyle w:val="SingleTxt"/>
        <w:rPr>
          <w:i/>
          <w:lang w:val="fr-FR"/>
        </w:rPr>
      </w:pPr>
      <w:r w:rsidRPr="006E089F">
        <w:rPr>
          <w:i/>
          <w:lang w:val="fr-FR"/>
        </w:rPr>
        <w:lastRenderedPageBreak/>
        <w:t>Annexe 3A – appendice A</w:t>
      </w:r>
    </w:p>
    <w:p w:rsidR="006E089F" w:rsidRPr="006E089F" w:rsidRDefault="006E089F" w:rsidP="006E089F">
      <w:pPr>
        <w:pStyle w:val="SingleTxt"/>
        <w:rPr>
          <w:bCs/>
          <w:lang w:val="fr-FR"/>
        </w:rPr>
      </w:pPr>
      <w:r w:rsidRPr="006E089F">
        <w:rPr>
          <w:i/>
          <w:lang w:val="fr-FR"/>
        </w:rPr>
        <w:t>Paragraphes A.1 et A.2</w:t>
      </w:r>
      <w:r w:rsidRPr="006E089F">
        <w:rPr>
          <w:bCs/>
          <w:lang w:val="fr-FR"/>
        </w:rPr>
        <w:t xml:space="preserve">, </w:t>
      </w:r>
      <w:proofErr w:type="gramStart"/>
      <w:r w:rsidRPr="006E089F">
        <w:rPr>
          <w:bCs/>
          <w:lang w:val="fr-FR"/>
        </w:rPr>
        <w:t>modifier</w:t>
      </w:r>
      <w:proofErr w:type="gramEnd"/>
      <w:r w:rsidRPr="006E089F">
        <w:rPr>
          <w:bCs/>
          <w:lang w:val="fr-FR"/>
        </w:rPr>
        <w:t xml:space="preserve"> comme suit</w:t>
      </w:r>
      <w:r w:rsidR="00C63E5B">
        <w:rPr>
          <w:bCs/>
          <w:lang w:val="fr-FR"/>
        </w:rPr>
        <w:t> </w:t>
      </w:r>
      <w:r w:rsidRPr="006E089F">
        <w:rPr>
          <w:bCs/>
          <w:lang w:val="fr-FR"/>
        </w:rPr>
        <w:t>:</w:t>
      </w:r>
    </w:p>
    <w:p w:rsidR="006E089F" w:rsidRPr="006E089F" w:rsidRDefault="00C63E5B" w:rsidP="006E089F">
      <w:pPr>
        <w:pStyle w:val="SingleTxt"/>
        <w:rPr>
          <w:lang w:val="fr-FR"/>
        </w:rPr>
      </w:pPr>
      <w:r>
        <w:rPr>
          <w:bCs/>
          <w:lang w:val="fr-FR"/>
        </w:rPr>
        <w:t>« </w:t>
      </w:r>
      <w:r w:rsidR="006E089F" w:rsidRPr="006E089F">
        <w:rPr>
          <w:bCs/>
          <w:lang w:val="fr-FR"/>
        </w:rPr>
        <w:t>A.1</w:t>
      </w:r>
      <w:r w:rsidR="006E089F" w:rsidRPr="006E089F">
        <w:rPr>
          <w:bCs/>
          <w:lang w:val="fr-FR"/>
        </w:rPr>
        <w:tab/>
      </w:r>
      <w:r w:rsidR="006E089F" w:rsidRPr="006E089F">
        <w:rPr>
          <w:bCs/>
          <w:u w:val="single"/>
          <w:lang w:val="fr-FR"/>
        </w:rPr>
        <w:t>Essai de traction, acier et aluminium</w:t>
      </w:r>
    </w:p>
    <w:p w:rsidR="006E089F" w:rsidRPr="006E089F" w:rsidRDefault="006E089F" w:rsidP="00C63E5B">
      <w:pPr>
        <w:pStyle w:val="SingleTxt"/>
        <w:ind w:left="2218" w:hanging="951"/>
        <w:rPr>
          <w:lang w:val="fr-FR"/>
        </w:rPr>
      </w:pPr>
      <w:r w:rsidRPr="006E089F">
        <w:rPr>
          <w:lang w:val="fr-FR"/>
        </w:rPr>
        <w:tab/>
      </w:r>
      <w:r w:rsidR="00C63E5B">
        <w:rPr>
          <w:lang w:val="fr-FR"/>
        </w:rPr>
        <w:tab/>
      </w:r>
      <w:r w:rsidRPr="006E089F">
        <w:rPr>
          <w:lang w:val="fr-FR"/>
        </w:rPr>
        <w:t xml:space="preserve">Un essai de traction doit être effectué sur du matériau prélevé sur la partie cylindrique de la bouteille finie en utilisant une éprouvette rectangulaire conformément à la méthode décrite dans la norme ISO 9809 pour l’acier et la norme ISO 7866 pour l’aluminium. </w:t>
      </w:r>
      <w:r w:rsidRPr="00C63E5B">
        <w:rPr>
          <w:strike/>
          <w:lang w:val="fr-FR"/>
        </w:rPr>
        <w:t>Pour les bouteilles munies d’un liner en acier inoxydable soudé, un essai de traction doit aussi être effectué sur du matériau prélevé sur les soudures conformément à la méthode décrite au paragraphe 8.4 de la norme EN 13322-2.</w:t>
      </w:r>
      <w:r w:rsidRPr="006E089F">
        <w:rPr>
          <w:lang w:val="fr-FR"/>
        </w:rPr>
        <w:t xml:space="preserve"> Les deux faces de l’éprouvette, représentant les surfaces interne et externe de la bouteille, ne doivent pas être usinées. L’essai de traction doit être effectué co</w:t>
      </w:r>
      <w:r w:rsidR="00C63E5B">
        <w:rPr>
          <w:lang w:val="fr-FR"/>
        </w:rPr>
        <w:t>nformément à la norme ISO 6892.</w:t>
      </w:r>
    </w:p>
    <w:p w:rsidR="006E089F" w:rsidRPr="006E089F" w:rsidRDefault="006E089F" w:rsidP="00802571">
      <w:pPr>
        <w:pStyle w:val="SingleTxt"/>
        <w:tabs>
          <w:tab w:val="left" w:pos="6390"/>
        </w:tabs>
        <w:ind w:left="2218" w:hanging="951"/>
        <w:rPr>
          <w:lang w:val="fr-FR"/>
        </w:rPr>
      </w:pPr>
      <w:r w:rsidRPr="006E089F">
        <w:rPr>
          <w:lang w:val="fr-FR"/>
        </w:rPr>
        <w:tab/>
      </w:r>
      <w:r w:rsidR="00C63E5B">
        <w:rPr>
          <w:lang w:val="fr-FR"/>
        </w:rPr>
        <w:tab/>
      </w:r>
      <w:r w:rsidRPr="007B15C7">
        <w:rPr>
          <w:b/>
          <w:lang w:val="fr-FR"/>
        </w:rPr>
        <w:t>N</w:t>
      </w:r>
      <w:r w:rsidR="007B15C7" w:rsidRPr="007B15C7">
        <w:rPr>
          <w:b/>
          <w:lang w:val="fr-FR"/>
        </w:rPr>
        <w:t>ote</w:t>
      </w:r>
      <w:r w:rsidR="007B15C7" w:rsidRPr="007B15C7">
        <w:rPr>
          <w:lang w:val="fr-FR"/>
        </w:rPr>
        <w:t> :</w:t>
      </w:r>
      <w:r w:rsidRPr="006E089F">
        <w:rPr>
          <w:lang w:val="fr-FR"/>
        </w:rPr>
        <w:t xml:space="preserve"> Il est nécessaire de prêter attention à la méthode de mesurage de l’élongation décrite dans la norme ISO 6892, particulièrement dans les cas où l’éprouvette est conique, ce qui se traduit par un point de fracture éloigné du centre de la longueur du calibre</w:t>
      </w:r>
      <w:r w:rsidR="00C63E5B">
        <w:rPr>
          <w:lang w:val="fr-FR"/>
        </w:rPr>
        <w:t>.</w:t>
      </w:r>
    </w:p>
    <w:p w:rsidR="006E089F" w:rsidRPr="006E089F" w:rsidRDefault="006E089F" w:rsidP="006E089F">
      <w:pPr>
        <w:pStyle w:val="SingleTxt"/>
        <w:rPr>
          <w:bCs/>
          <w:u w:val="single"/>
          <w:lang w:val="fr-FR"/>
        </w:rPr>
      </w:pPr>
      <w:r w:rsidRPr="006E089F">
        <w:rPr>
          <w:bCs/>
          <w:lang w:val="fr-FR"/>
        </w:rPr>
        <w:t>A.2</w:t>
      </w:r>
      <w:r w:rsidRPr="006E089F">
        <w:rPr>
          <w:bCs/>
          <w:lang w:val="fr-FR"/>
        </w:rPr>
        <w:tab/>
      </w:r>
      <w:r w:rsidR="00C63E5B">
        <w:rPr>
          <w:bCs/>
          <w:lang w:val="fr-FR"/>
        </w:rPr>
        <w:tab/>
      </w:r>
      <w:r w:rsidRPr="006E089F">
        <w:rPr>
          <w:bCs/>
          <w:u w:val="single"/>
          <w:lang w:val="fr-FR"/>
        </w:rPr>
        <w:t>Essai au choc, bouteilles en acier et liners en acier</w:t>
      </w:r>
    </w:p>
    <w:p w:rsidR="006E089F" w:rsidRPr="006E089F" w:rsidRDefault="006E089F" w:rsidP="00614404">
      <w:pPr>
        <w:pStyle w:val="SingleTxt"/>
        <w:ind w:left="2218" w:hanging="951"/>
        <w:rPr>
          <w:lang w:val="fr-FR"/>
        </w:rPr>
      </w:pPr>
      <w:r w:rsidRPr="006E089F">
        <w:rPr>
          <w:lang w:val="fr-FR"/>
        </w:rPr>
        <w:tab/>
      </w:r>
      <w:r w:rsidR="00614404">
        <w:rPr>
          <w:lang w:val="fr-FR"/>
        </w:rPr>
        <w:tab/>
      </w:r>
      <w:r w:rsidRPr="006E089F">
        <w:rPr>
          <w:lang w:val="fr-FR"/>
        </w:rPr>
        <w:t>L’essai au choc doit être effectué sur du matériau prélevé sur la partie cylindrique de la bouteille finie, sur trois éprouvett</w:t>
      </w:r>
      <w:r w:rsidR="00C63E5B">
        <w:rPr>
          <w:lang w:val="fr-FR"/>
        </w:rPr>
        <w:t>es, conformément à la norme ISO </w:t>
      </w:r>
      <w:r w:rsidRPr="006E089F">
        <w:rPr>
          <w:lang w:val="fr-FR"/>
        </w:rPr>
        <w:t>148. Les éprouvettes d’essai doivent être prélevées dans la direction indiquée au tableau 6.2 de l’annexe 3A, sur la paroi de la bouteille.</w:t>
      </w:r>
      <w:r w:rsidRPr="006E089F">
        <w:rPr>
          <w:lang w:val="fr-CH"/>
        </w:rPr>
        <w:t xml:space="preserve"> </w:t>
      </w:r>
      <w:r w:rsidRPr="00C63E5B">
        <w:rPr>
          <w:strike/>
          <w:lang w:val="fr-FR"/>
        </w:rPr>
        <w:t xml:space="preserve">Pour les bouteilles munies d’un liner en acier inoxydable soudé, un essai au choc doit aussi être effectué sur du matériau prélevé sur les soudures conformément à la méthode décrite au paragraphe 8.6 de la norme EN 13322-2. </w:t>
      </w:r>
      <w:r w:rsidRPr="006E089F">
        <w:rPr>
          <w:lang w:val="fr-FR"/>
        </w:rPr>
        <w:t>L’entaille doit être perpendiculaire à la face de la paroi de la bouteille. Pour les essais longitudinaux, les éprouvettes doivent être entièrement usinées (sur les six faces); si l’épaisseur de la paroi ne permet pas d’obtenir une largeur finale de l’éprouvette de 10 mm, la largeur doit être la plus proche possible de l’épaisseur nominale de la paroi de la bouteille. Les éprouvettes prélevées dans la direction transversale doivent être usinées sur quatre faces seulement, les faces interne et externe de la paroi de la bouteille n’étant pas usinées.</w:t>
      </w:r>
      <w:r w:rsidR="00C63E5B">
        <w:rPr>
          <w:lang w:val="fr-FR"/>
        </w:rPr>
        <w:t> »</w:t>
      </w:r>
      <w:r w:rsidRPr="006E089F">
        <w:rPr>
          <w:lang w:val="fr-FR"/>
        </w:rPr>
        <w:t>.</w:t>
      </w:r>
    </w:p>
    <w:p w:rsidR="006E089F" w:rsidRPr="006E089F" w:rsidRDefault="006E089F" w:rsidP="006E089F">
      <w:pPr>
        <w:pStyle w:val="SingleTxt"/>
        <w:rPr>
          <w:lang w:val="fr-FR"/>
        </w:rPr>
      </w:pPr>
      <w:r w:rsidRPr="006E089F">
        <w:rPr>
          <w:i/>
          <w:lang w:val="fr-FR"/>
        </w:rPr>
        <w:t>Paragraphe A.28</w:t>
      </w:r>
      <w:r w:rsidRPr="006E089F">
        <w:rPr>
          <w:bCs/>
          <w:lang w:val="fr-FR"/>
        </w:rPr>
        <w:t xml:space="preserve">, </w:t>
      </w:r>
      <w:proofErr w:type="gramStart"/>
      <w:r w:rsidRPr="006E089F">
        <w:rPr>
          <w:bCs/>
          <w:lang w:val="fr-FR"/>
        </w:rPr>
        <w:t>supprimer</w:t>
      </w:r>
      <w:proofErr w:type="gramEnd"/>
      <w:r w:rsidRPr="006E089F">
        <w:rPr>
          <w:bCs/>
          <w:lang w:val="fr-FR"/>
        </w:rPr>
        <w:t>.</w:t>
      </w:r>
    </w:p>
    <w:p w:rsidR="00EA0EFF" w:rsidRPr="00EA0EFF" w:rsidRDefault="00EA0EFF" w:rsidP="00EA0EFF">
      <w:pPr>
        <w:pStyle w:val="SingleTxt"/>
        <w:spacing w:after="0" w:line="120" w:lineRule="exact"/>
        <w:rPr>
          <w:b/>
          <w:sz w:val="10"/>
          <w:lang w:val="fr-FR"/>
        </w:rPr>
      </w:pPr>
    </w:p>
    <w:p w:rsidR="00EA0EFF" w:rsidRPr="00EA0EFF" w:rsidRDefault="00EA0EFF" w:rsidP="00EA0EFF">
      <w:pPr>
        <w:pStyle w:val="SingleTxt"/>
        <w:spacing w:after="0" w:line="120" w:lineRule="exact"/>
        <w:rPr>
          <w:b/>
          <w:sz w:val="10"/>
          <w:lang w:val="fr-FR"/>
        </w:rPr>
      </w:pPr>
    </w:p>
    <w:p w:rsidR="006E089F" w:rsidRDefault="006E089F" w:rsidP="00EA0E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089F">
        <w:rPr>
          <w:lang w:val="fr-FR"/>
        </w:rPr>
        <w:tab/>
        <w:t>II.</w:t>
      </w:r>
      <w:r w:rsidRPr="006E089F">
        <w:rPr>
          <w:lang w:val="fr-FR"/>
        </w:rPr>
        <w:tab/>
        <w:t>Justification</w:t>
      </w:r>
    </w:p>
    <w:p w:rsidR="00EA0EFF" w:rsidRPr="00EA0EFF" w:rsidRDefault="00EA0EFF" w:rsidP="00EA0EFF">
      <w:pPr>
        <w:pStyle w:val="SingleTxt"/>
        <w:spacing w:after="0" w:line="120" w:lineRule="exact"/>
        <w:rPr>
          <w:sz w:val="10"/>
          <w:lang w:val="fr-FR"/>
        </w:rPr>
      </w:pPr>
    </w:p>
    <w:p w:rsidR="00EA0EFF" w:rsidRPr="00EA0EFF" w:rsidRDefault="00EA0EFF" w:rsidP="00EA0EFF">
      <w:pPr>
        <w:pStyle w:val="SingleTxt"/>
        <w:spacing w:after="0" w:line="120" w:lineRule="exact"/>
        <w:rPr>
          <w:sz w:val="10"/>
          <w:lang w:val="fr-FR"/>
        </w:rPr>
      </w:pPr>
    </w:p>
    <w:p w:rsidR="006E089F" w:rsidRDefault="00B2119C" w:rsidP="00B211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E089F" w:rsidRPr="006E089F">
        <w:rPr>
          <w:lang w:val="fr-FR"/>
        </w:rPr>
        <w:t>Paragraphe 2. (Références), paragraphe 8 (Spécifications applicables aux organes GNC et/ou GNL), paragraphe 8.2.2, annexe 3, paragraphe 1.1, annexe 3A, paragraphes 6.3.1, 6.3.2.4 et 6.3.2.5 et annexe 3A – appendice A, paragraphes A.1, A.2 et A.28</w:t>
      </w:r>
      <w:r>
        <w:rPr>
          <w:lang w:val="fr-FR"/>
        </w:rPr>
        <w:t> </w:t>
      </w:r>
      <w:r w:rsidR="006E089F" w:rsidRPr="00A507B9">
        <w:rPr>
          <w:i w:val="0"/>
          <w:lang w:val="fr-FR"/>
        </w:rPr>
        <w:t>:</w:t>
      </w:r>
    </w:p>
    <w:p w:rsidR="00A507B9" w:rsidRPr="00A507B9" w:rsidRDefault="00A507B9" w:rsidP="00A507B9">
      <w:pPr>
        <w:pStyle w:val="SingleTxt"/>
        <w:spacing w:after="0" w:line="120" w:lineRule="exact"/>
        <w:rPr>
          <w:sz w:val="10"/>
          <w:lang w:val="fr-FR"/>
        </w:rPr>
      </w:pPr>
    </w:p>
    <w:p w:rsidR="006E089F" w:rsidRPr="006E089F" w:rsidRDefault="006E089F" w:rsidP="00A507B9">
      <w:pPr>
        <w:pStyle w:val="SingleTxt"/>
        <w:numPr>
          <w:ilvl w:val="0"/>
          <w:numId w:val="8"/>
        </w:numPr>
        <w:tabs>
          <w:tab w:val="clear" w:pos="475"/>
          <w:tab w:val="num" w:pos="1742"/>
        </w:tabs>
        <w:ind w:left="1267"/>
        <w:rPr>
          <w:lang w:val="fr-FR"/>
        </w:rPr>
      </w:pPr>
      <w:r w:rsidRPr="006E089F">
        <w:rPr>
          <w:lang w:val="fr-FR"/>
        </w:rPr>
        <w:t xml:space="preserve">Le principal inconvénient des bouteilles métalliques soudées est lié à la fatigue. Il est très difficile d’éliminer les défauts de soudage et la technologie de contrôle ou son application peut ne pas permettre de déceler des défauts infimes dans une soudure. Comme tant la production que le contrôle de qualité des bouteilles métalliques soudées sont extrêmement difficiles, de telles bouteilles ayant une pression de service de 20 </w:t>
      </w:r>
      <w:proofErr w:type="spellStart"/>
      <w:r w:rsidRPr="006E089F">
        <w:rPr>
          <w:lang w:val="fr-FR"/>
        </w:rPr>
        <w:t>MPa</w:t>
      </w:r>
      <w:proofErr w:type="spellEnd"/>
      <w:r w:rsidRPr="006E089F">
        <w:rPr>
          <w:lang w:val="fr-FR"/>
        </w:rPr>
        <w:t xml:space="preserve"> devraient être retirées du champ d’application du Règlement </w:t>
      </w:r>
      <w:r w:rsidR="00AA524F">
        <w:rPr>
          <w:lang w:val="fr-FR"/>
        </w:rPr>
        <w:t>n</w:t>
      </w:r>
      <w:r w:rsidR="00AA524F" w:rsidRPr="00AA524F">
        <w:rPr>
          <w:vertAlign w:val="superscript"/>
          <w:lang w:val="fr-FR"/>
        </w:rPr>
        <w:t>o</w:t>
      </w:r>
      <w:r w:rsidR="00AA524F">
        <w:rPr>
          <w:lang w:val="fr-FR"/>
        </w:rPr>
        <w:t> </w:t>
      </w:r>
      <w:r w:rsidRPr="006E089F">
        <w:rPr>
          <w:lang w:val="fr-FR"/>
        </w:rPr>
        <w:t xml:space="preserve">110 pour assurer qu’aucune bouteille à GNC peu sûre de ce type n’arrive sur le marché en tant que système de stockage de carburant destinés à des véhicules, en vertu du présent amendement au Règlement </w:t>
      </w:r>
      <w:r w:rsidR="00AA524F">
        <w:rPr>
          <w:lang w:val="fr-FR"/>
        </w:rPr>
        <w:t>n</w:t>
      </w:r>
      <w:r w:rsidR="00AA524F" w:rsidRPr="00AA524F">
        <w:rPr>
          <w:vertAlign w:val="superscript"/>
          <w:lang w:val="fr-FR"/>
        </w:rPr>
        <w:t>o</w:t>
      </w:r>
      <w:r w:rsidR="00AA524F">
        <w:rPr>
          <w:lang w:val="fr-FR"/>
        </w:rPr>
        <w:t> </w:t>
      </w:r>
      <w:r w:rsidRPr="006E089F">
        <w:rPr>
          <w:lang w:val="fr-FR"/>
        </w:rPr>
        <w:t>110.</w:t>
      </w:r>
    </w:p>
    <w:p w:rsidR="00AA524F" w:rsidRDefault="006E089F" w:rsidP="006E089F">
      <w:pPr>
        <w:pStyle w:val="SingleTxt"/>
        <w:rPr>
          <w:lang w:val="fr-FR"/>
        </w:rPr>
      </w:pPr>
      <w:r w:rsidRPr="006E089F">
        <w:rPr>
          <w:lang w:val="fr-FR"/>
        </w:rPr>
        <w:lastRenderedPageBreak/>
        <w:t>2.</w:t>
      </w:r>
      <w:r w:rsidRPr="006E089F">
        <w:rPr>
          <w:lang w:val="fr-FR"/>
        </w:rPr>
        <w:tab/>
        <w:t>Selon les chercheurs japonais, il n’existe pas actuellement dans le monde de fabricant de bouteilles métalliques soudées pour des véhicules fonctionnant au GNC. Le retrait des bouteilles métalliques soudées du présent Règlement n’aurait donc aucune conséquence néfaste pour les fabricants.</w:t>
      </w:r>
    </w:p>
    <w:p w:rsidR="006E089F" w:rsidRPr="00AA524F" w:rsidRDefault="006E089F" w:rsidP="006E089F">
      <w:pPr>
        <w:pStyle w:val="SingleTxt"/>
        <w:rPr>
          <w:lang w:val="fr-FR"/>
        </w:rPr>
      </w:pPr>
      <w:r w:rsidRPr="006E089F">
        <w:rPr>
          <w:i/>
          <w:lang w:val="fr-FR"/>
        </w:rPr>
        <w:t>Annexe 3A, paragraphe 6.3.2.6</w:t>
      </w:r>
      <w:r w:rsidR="00AA524F" w:rsidRPr="00AA524F">
        <w:rPr>
          <w:lang w:val="fr-FR"/>
        </w:rPr>
        <w:t> </w:t>
      </w:r>
      <w:r w:rsidRPr="00AA524F">
        <w:rPr>
          <w:lang w:val="fr-FR"/>
        </w:rPr>
        <w:t>:</w:t>
      </w:r>
    </w:p>
    <w:p w:rsidR="006E089F" w:rsidRPr="008E1BB5" w:rsidRDefault="006E089F" w:rsidP="006E089F">
      <w:pPr>
        <w:pStyle w:val="SingleTxt"/>
        <w:rPr>
          <w:spacing w:val="2"/>
          <w:lang w:val="fr-FR"/>
        </w:rPr>
      </w:pPr>
      <w:r w:rsidRPr="008E1BB5">
        <w:rPr>
          <w:spacing w:val="2"/>
          <w:lang w:val="fr-FR"/>
        </w:rPr>
        <w:t>3.</w:t>
      </w:r>
      <w:r w:rsidRPr="008E1BB5">
        <w:rPr>
          <w:spacing w:val="2"/>
          <w:lang w:val="fr-FR"/>
        </w:rPr>
        <w:tab/>
        <w:t>La présence d’eau ou d’un taux d’humidité élevé peut amoindrir la résistance (et provoquer une rupture différée) de l’acier à haute résistance. Certains rapports indiquent que lorsqu’un tel acier présente une résistance à la traction supérieure à 1</w:t>
      </w:r>
      <w:r w:rsidR="00AA524F" w:rsidRPr="008E1BB5">
        <w:rPr>
          <w:spacing w:val="2"/>
          <w:lang w:val="fr-FR"/>
        </w:rPr>
        <w:t> </w:t>
      </w:r>
      <w:r w:rsidRPr="008E1BB5">
        <w:rPr>
          <w:spacing w:val="2"/>
          <w:lang w:val="fr-FR"/>
        </w:rPr>
        <w:t xml:space="preserve">200 </w:t>
      </w:r>
      <w:proofErr w:type="spellStart"/>
      <w:r w:rsidRPr="008E1BB5">
        <w:rPr>
          <w:spacing w:val="2"/>
          <w:lang w:val="fr-FR"/>
        </w:rPr>
        <w:t>M</w:t>
      </w:r>
      <w:r w:rsidR="00E32340" w:rsidRPr="008E1BB5">
        <w:rPr>
          <w:spacing w:val="2"/>
          <w:lang w:val="fr-FR"/>
        </w:rPr>
        <w:t>p</w:t>
      </w:r>
      <w:r w:rsidRPr="008E1BB5">
        <w:rPr>
          <w:spacing w:val="2"/>
          <w:lang w:val="fr-FR"/>
        </w:rPr>
        <w:t>a</w:t>
      </w:r>
      <w:proofErr w:type="spellEnd"/>
      <w:r w:rsidR="00E32340" w:rsidRPr="008E1BB5">
        <w:rPr>
          <w:spacing w:val="2"/>
          <w:lang w:val="fr-FR"/>
        </w:rPr>
        <w:t>,</w:t>
      </w:r>
      <w:r w:rsidRPr="008E1BB5">
        <w:rPr>
          <w:spacing w:val="2"/>
          <w:lang w:val="fr-FR"/>
        </w:rPr>
        <w:t xml:space="preserve"> il en résulte souvent une dégradation manifeste de sa résistance (voir les documents informels GRSG-107-09 et GRSG-107-37). Cela signifie que dans les régions très humides le risque de rupture s’accroît en raison de l’exposition des bouteilles à l’</w:t>
      </w:r>
      <w:r w:rsidR="00AA524F" w:rsidRPr="008E1BB5">
        <w:rPr>
          <w:spacing w:val="2"/>
          <w:lang w:val="fr-FR"/>
        </w:rPr>
        <w:t>humidité.</w:t>
      </w:r>
    </w:p>
    <w:p w:rsidR="006E089F" w:rsidRPr="006E089F" w:rsidRDefault="006E089F" w:rsidP="006E089F">
      <w:pPr>
        <w:pStyle w:val="SingleTxt"/>
        <w:rPr>
          <w:lang w:val="fr-FR"/>
        </w:rPr>
      </w:pPr>
      <w:r w:rsidRPr="006E089F">
        <w:rPr>
          <w:lang w:val="fr-FR"/>
        </w:rPr>
        <w:t>4.</w:t>
      </w:r>
      <w:r w:rsidRPr="006E089F">
        <w:rPr>
          <w:lang w:val="fr-FR"/>
        </w:rPr>
        <w:tab/>
        <w:t xml:space="preserve">Le Règlement </w:t>
      </w:r>
      <w:r w:rsidR="00AA524F">
        <w:rPr>
          <w:lang w:val="fr-FR"/>
        </w:rPr>
        <w:t>n</w:t>
      </w:r>
      <w:r w:rsidR="00AA524F" w:rsidRPr="00AA524F">
        <w:rPr>
          <w:vertAlign w:val="superscript"/>
          <w:lang w:val="fr-FR"/>
        </w:rPr>
        <w:t>o</w:t>
      </w:r>
      <w:r w:rsidR="00AA524F">
        <w:rPr>
          <w:lang w:val="fr-FR"/>
        </w:rPr>
        <w:t> </w:t>
      </w:r>
      <w:r w:rsidRPr="006E089F">
        <w:rPr>
          <w:lang w:val="fr-FR"/>
        </w:rPr>
        <w:t xml:space="preserve">110 prescrit pour les bouteilles de types GNC-1 et GNC-2 un essai de résistance à la fissuration sous contrainte au sulfure avec une résistance à la traction supérieure à 950 </w:t>
      </w:r>
      <w:proofErr w:type="spellStart"/>
      <w:r w:rsidRPr="006E089F">
        <w:rPr>
          <w:lang w:val="fr-FR"/>
        </w:rPr>
        <w:t>MPa</w:t>
      </w:r>
      <w:proofErr w:type="spellEnd"/>
      <w:r w:rsidRPr="006E089F">
        <w:rPr>
          <w:lang w:val="fr-FR"/>
        </w:rPr>
        <w:t>. Mais aucune limite supérieure n’est prescrite en ce qui concerne cette résistance à la traction.</w:t>
      </w:r>
    </w:p>
    <w:p w:rsidR="006E089F" w:rsidRPr="006E089F" w:rsidRDefault="006E089F" w:rsidP="006E089F">
      <w:pPr>
        <w:pStyle w:val="SingleTxt"/>
        <w:rPr>
          <w:lang w:val="fr-FR"/>
        </w:rPr>
      </w:pPr>
      <w:r w:rsidRPr="006E089F">
        <w:rPr>
          <w:lang w:val="fr-FR"/>
        </w:rPr>
        <w:t>5.</w:t>
      </w:r>
      <w:r w:rsidRPr="006E089F">
        <w:rPr>
          <w:lang w:val="fr-FR"/>
        </w:rPr>
        <w:tab/>
        <w:t>Pour les bouteilles en acier (bouteille de type GNC-1) et les liners métalliques (bouteille de type GNC-2) construits en acier à haute résistance, il faudrait fixer une limite supérieure de résistance à la traction pour assurer leur sécurité et les rendre utilisables dans d</w:t>
      </w:r>
      <w:r w:rsidR="00AA524F">
        <w:rPr>
          <w:lang w:val="fr-FR"/>
        </w:rPr>
        <w:t>es environnements très humides.</w:t>
      </w:r>
    </w:p>
    <w:p w:rsidR="006E089F" w:rsidRPr="006E089F" w:rsidRDefault="006E089F" w:rsidP="006E089F">
      <w:pPr>
        <w:pStyle w:val="SingleTxt"/>
        <w:rPr>
          <w:i/>
          <w:lang w:val="fr-FR"/>
        </w:rPr>
      </w:pPr>
      <w:r w:rsidRPr="006E089F">
        <w:rPr>
          <w:i/>
          <w:lang w:val="fr-FR"/>
        </w:rPr>
        <w:t>Paragraphes 6.3, 6.4, 6.5, 6.6 et 18.1.8.4</w:t>
      </w:r>
      <w:r w:rsidR="00AA524F">
        <w:rPr>
          <w:lang w:val="fr-FR"/>
        </w:rPr>
        <w:t> :</w:t>
      </w:r>
    </w:p>
    <w:p w:rsidR="006E089F" w:rsidRPr="0074043F" w:rsidRDefault="006E089F" w:rsidP="006E089F">
      <w:pPr>
        <w:pStyle w:val="SingleTxt"/>
        <w:rPr>
          <w:lang w:val="fr-CH"/>
        </w:rPr>
      </w:pPr>
      <w:r w:rsidRPr="006E089F">
        <w:rPr>
          <w:lang w:val="fr-FR"/>
        </w:rPr>
        <w:t>6.</w:t>
      </w:r>
      <w:r w:rsidRPr="006E089F">
        <w:rPr>
          <w:lang w:val="fr-FR"/>
        </w:rPr>
        <w:tab/>
        <w:t>Un accident ayant fait un mort et un blessé grave s’est produit au Japon en septembre 2012 lors de la mise au rebut d’une bouteille de GNC. Cette bouteille avait été déplacée par le tsunami provoqué par le grand séisme survenu dans l’est du Japon.</w:t>
      </w:r>
    </w:p>
    <w:p w:rsidR="006E089F" w:rsidRPr="006E089F" w:rsidRDefault="006E089F" w:rsidP="006E089F">
      <w:pPr>
        <w:pStyle w:val="SingleTxt"/>
        <w:rPr>
          <w:lang w:val="fr-FR"/>
        </w:rPr>
      </w:pPr>
      <w:r w:rsidRPr="006E089F">
        <w:rPr>
          <w:lang w:val="fr-FR"/>
        </w:rPr>
        <w:t>7.</w:t>
      </w:r>
      <w:r w:rsidRPr="006E089F">
        <w:rPr>
          <w:lang w:val="fr-FR"/>
        </w:rPr>
        <w:tab/>
        <w:t>Avec l’expansion du marché des véhicules fonctionnant au gaz naturel, le nombre de bouteilles mises au rebut est appelé à augmenter à l’avenir. Des mesures de marquage s’imposent donc pour faciliter l’identification de ce type de bouteilles à gaz et pour permettre aux travailleurs de prendre toutes les précautions susceptibles de prévenir accidents et blessures.</w:t>
      </w:r>
    </w:p>
    <w:p w:rsidR="00AA524F" w:rsidRPr="006E089F" w:rsidRDefault="006E089F" w:rsidP="006E089F">
      <w:pPr>
        <w:pStyle w:val="SingleTxt"/>
        <w:rPr>
          <w:lang w:val="fr-FR"/>
        </w:rPr>
      </w:pPr>
      <w:r w:rsidRPr="006E089F">
        <w:rPr>
          <w:lang w:val="fr-FR"/>
        </w:rPr>
        <w:t>8.</w:t>
      </w:r>
      <w:r w:rsidRPr="006E089F">
        <w:rPr>
          <w:lang w:val="fr-FR"/>
        </w:rPr>
        <w:tab/>
        <w:t>Le nombre d’accessoires de bouteilles à hydrogène gazeux comprimé va également augmenter à l’avenir. Afin d’éviter que les accessoires utilisés pour le GNC soient fixés convenablement aux bouteilles d’hydrogène gazeux comprimé, il conviendrait de les marquer en indiquant un minimum de données importantes. Il devrait en aller de même pour les accessoires des réservoirs à GNL.</w:t>
      </w:r>
    </w:p>
    <w:p w:rsidR="006E089F" w:rsidRPr="006E089F" w:rsidRDefault="006E089F" w:rsidP="006E089F">
      <w:pPr>
        <w:pStyle w:val="SingleTxt"/>
        <w:rPr>
          <w:lang w:val="fr-FR"/>
        </w:rPr>
      </w:pPr>
      <w:r w:rsidRPr="006E089F">
        <w:rPr>
          <w:lang w:val="fr-FR"/>
        </w:rPr>
        <w:t>9.</w:t>
      </w:r>
      <w:r w:rsidRPr="006E089F">
        <w:rPr>
          <w:lang w:val="fr-FR"/>
        </w:rPr>
        <w:tab/>
        <w:t>Au Japon, tous les réservoirs et bouteilles, tous les accessoires qui y sont fixés et tous les récipients doivent porter les informations suivantes</w:t>
      </w:r>
      <w:r w:rsidR="00AA524F">
        <w:rPr>
          <w:lang w:val="fr-FR"/>
        </w:rPr>
        <w:t> </w:t>
      </w:r>
      <w:r w:rsidRPr="006E089F">
        <w:rPr>
          <w:lang w:val="fr-FR"/>
        </w:rPr>
        <w:t>:</w:t>
      </w:r>
    </w:p>
    <w:p w:rsidR="006E089F" w:rsidRPr="006E089F" w:rsidRDefault="006E089F" w:rsidP="006E089F">
      <w:pPr>
        <w:pStyle w:val="SingleTxt"/>
        <w:rPr>
          <w:lang w:val="fr-FR"/>
        </w:rPr>
      </w:pPr>
      <w:r w:rsidRPr="006E089F">
        <w:rPr>
          <w:lang w:val="fr-FR"/>
        </w:rPr>
        <w:t>Bouteille/réservoir (</w:t>
      </w:r>
      <w:proofErr w:type="spellStart"/>
      <w:r w:rsidRPr="006E089F">
        <w:rPr>
          <w:lang w:val="fr-FR"/>
        </w:rPr>
        <w:t>Gravage</w:t>
      </w:r>
      <w:proofErr w:type="spellEnd"/>
      <w:r w:rsidRPr="006E089F">
        <w:rPr>
          <w:lang w:val="fr-FR"/>
        </w:rPr>
        <w:t xml:space="preserve"> et données suivantes)</w:t>
      </w:r>
      <w:r w:rsidR="00AA524F">
        <w:rPr>
          <w:lang w:val="fr-FR"/>
        </w:rPr>
        <w:t> </w:t>
      </w:r>
      <w:r w:rsidRPr="006E089F">
        <w:rPr>
          <w:lang w:val="fr-FR"/>
        </w:rPr>
        <w:t>:</w:t>
      </w:r>
    </w:p>
    <w:p w:rsidR="006E089F" w:rsidRPr="006E089F" w:rsidRDefault="006E089F" w:rsidP="006E089F">
      <w:pPr>
        <w:pStyle w:val="SingleTxt"/>
        <w:rPr>
          <w:lang w:val="fr-FR"/>
        </w:rPr>
      </w:pPr>
      <w:r w:rsidRPr="006E089F">
        <w:rPr>
          <w:lang w:val="fr-FR"/>
        </w:rPr>
        <w:tab/>
        <w:t>a)</w:t>
      </w:r>
      <w:r w:rsidRPr="006E089F">
        <w:rPr>
          <w:lang w:val="fr-FR"/>
        </w:rPr>
        <w:tab/>
        <w:t>Marque d’identification “GNC” et/ou “GNL”;</w:t>
      </w:r>
    </w:p>
    <w:p w:rsidR="006E089F" w:rsidRPr="006E089F" w:rsidRDefault="006E089F" w:rsidP="006E089F">
      <w:pPr>
        <w:pStyle w:val="SingleTxt"/>
        <w:rPr>
          <w:lang w:val="fr-FR"/>
        </w:rPr>
      </w:pPr>
      <w:r w:rsidRPr="006E089F">
        <w:rPr>
          <w:lang w:val="fr-FR"/>
        </w:rPr>
        <w:tab/>
        <w:t>b)</w:t>
      </w:r>
      <w:r w:rsidRPr="006E089F">
        <w:rPr>
          <w:lang w:val="fr-FR"/>
        </w:rPr>
        <w:tab/>
        <w:t>Pression;</w:t>
      </w:r>
    </w:p>
    <w:p w:rsidR="006E089F" w:rsidRPr="006E089F" w:rsidRDefault="006E089F" w:rsidP="006E089F">
      <w:pPr>
        <w:pStyle w:val="SingleTxt"/>
        <w:rPr>
          <w:lang w:val="fr-FR"/>
        </w:rPr>
      </w:pPr>
      <w:r w:rsidRPr="006E089F">
        <w:rPr>
          <w:lang w:val="fr-FR"/>
        </w:rPr>
        <w:tab/>
      </w:r>
      <w:r w:rsidRPr="006E089F">
        <w:rPr>
          <w:lang w:val="fr-FR"/>
        </w:rPr>
        <w:tab/>
        <w:t>GNC</w:t>
      </w:r>
      <w:r w:rsidR="00AA524F">
        <w:rPr>
          <w:lang w:val="fr-FR"/>
        </w:rPr>
        <w:t> </w:t>
      </w:r>
      <w:r w:rsidRPr="006E089F">
        <w:rPr>
          <w:lang w:val="fr-FR"/>
        </w:rPr>
        <w:t>: Pression de service [</w:t>
      </w:r>
      <w:proofErr w:type="spellStart"/>
      <w:r w:rsidRPr="006E089F">
        <w:rPr>
          <w:lang w:val="fr-FR"/>
        </w:rPr>
        <w:t>MPa</w:t>
      </w:r>
      <w:proofErr w:type="spellEnd"/>
      <w:r w:rsidRPr="006E089F">
        <w:rPr>
          <w:lang w:val="fr-FR"/>
        </w:rPr>
        <w:t>]</w:t>
      </w:r>
    </w:p>
    <w:p w:rsidR="006E089F" w:rsidRPr="006E089F" w:rsidRDefault="006E089F" w:rsidP="006E089F">
      <w:pPr>
        <w:pStyle w:val="SingleTxt"/>
        <w:rPr>
          <w:lang w:val="fr-FR"/>
        </w:rPr>
      </w:pPr>
      <w:r w:rsidRPr="006E089F">
        <w:rPr>
          <w:lang w:val="fr-FR"/>
        </w:rPr>
        <w:tab/>
      </w:r>
      <w:r w:rsidRPr="006E089F">
        <w:rPr>
          <w:lang w:val="fr-FR"/>
        </w:rPr>
        <w:tab/>
        <w:t>GNL</w:t>
      </w:r>
      <w:r w:rsidR="00AA524F">
        <w:rPr>
          <w:lang w:val="fr-FR"/>
        </w:rPr>
        <w:t> </w:t>
      </w:r>
      <w:r w:rsidRPr="006E089F">
        <w:rPr>
          <w:lang w:val="fr-FR"/>
        </w:rPr>
        <w:t>: Pression d’essai [</w:t>
      </w:r>
      <w:proofErr w:type="spellStart"/>
      <w:r w:rsidRPr="006E089F">
        <w:rPr>
          <w:lang w:val="fr-FR"/>
        </w:rPr>
        <w:t>MPa</w:t>
      </w:r>
      <w:proofErr w:type="spellEnd"/>
      <w:r w:rsidRPr="006E089F">
        <w:rPr>
          <w:lang w:val="fr-FR"/>
        </w:rPr>
        <w:t>]</w:t>
      </w:r>
    </w:p>
    <w:p w:rsidR="006E089F" w:rsidRPr="006E089F" w:rsidRDefault="006E089F" w:rsidP="006E089F">
      <w:pPr>
        <w:pStyle w:val="SingleTxt"/>
        <w:rPr>
          <w:lang w:val="fr-FR"/>
        </w:rPr>
      </w:pPr>
      <w:r w:rsidRPr="006E089F">
        <w:rPr>
          <w:lang w:val="fr-FR"/>
        </w:rPr>
        <w:tab/>
        <w:t>c)</w:t>
      </w:r>
      <w:r w:rsidRPr="006E089F">
        <w:rPr>
          <w:lang w:val="fr-FR"/>
        </w:rPr>
        <w:tab/>
        <w:t>Symbole pour le nom de l’organisme d’inspection;</w:t>
      </w:r>
    </w:p>
    <w:p w:rsidR="006E089F" w:rsidRPr="006E089F" w:rsidRDefault="006E089F" w:rsidP="006E089F">
      <w:pPr>
        <w:pStyle w:val="SingleTxt"/>
        <w:rPr>
          <w:lang w:val="fr-FR"/>
        </w:rPr>
      </w:pPr>
      <w:r w:rsidRPr="006E089F">
        <w:rPr>
          <w:lang w:val="fr-FR"/>
        </w:rPr>
        <w:tab/>
        <w:t>d)</w:t>
      </w:r>
      <w:r w:rsidRPr="006E089F">
        <w:rPr>
          <w:lang w:val="fr-FR"/>
        </w:rPr>
        <w:tab/>
        <w:t>Nom ou symbole du fabricant;</w:t>
      </w:r>
    </w:p>
    <w:p w:rsidR="006E089F" w:rsidRPr="006E089F" w:rsidRDefault="006E089F" w:rsidP="006E089F">
      <w:pPr>
        <w:pStyle w:val="SingleTxt"/>
        <w:rPr>
          <w:lang w:val="fr-FR"/>
        </w:rPr>
      </w:pPr>
      <w:r w:rsidRPr="006E089F">
        <w:rPr>
          <w:lang w:val="fr-FR"/>
        </w:rPr>
        <w:tab/>
        <w:t>e)</w:t>
      </w:r>
      <w:r w:rsidRPr="006E089F">
        <w:rPr>
          <w:lang w:val="fr-FR"/>
        </w:rPr>
        <w:tab/>
        <w:t>Type de bouteille/de réservoir;</w:t>
      </w:r>
    </w:p>
    <w:p w:rsidR="006E089F" w:rsidRPr="0074043F" w:rsidRDefault="006E089F" w:rsidP="006E089F">
      <w:pPr>
        <w:pStyle w:val="SingleTxt"/>
        <w:rPr>
          <w:lang w:val="fr-CH"/>
        </w:rPr>
      </w:pPr>
      <w:r w:rsidRPr="006E089F">
        <w:rPr>
          <w:lang w:val="fr-FR"/>
        </w:rPr>
        <w:tab/>
      </w:r>
      <w:r w:rsidRPr="006E089F">
        <w:rPr>
          <w:lang w:val="fr-FR"/>
        </w:rPr>
        <w:tab/>
      </w:r>
      <w:r w:rsidRPr="0074043F">
        <w:rPr>
          <w:lang w:val="fr-CH"/>
        </w:rPr>
        <w:t>GNC</w:t>
      </w:r>
      <w:r w:rsidR="00AA524F" w:rsidRPr="0074043F">
        <w:rPr>
          <w:lang w:val="fr-CH"/>
        </w:rPr>
        <w:t> </w:t>
      </w:r>
      <w:r w:rsidRPr="0074043F">
        <w:rPr>
          <w:lang w:val="fr-CH"/>
        </w:rPr>
        <w:t>: V1, V2, V3 ou V4</w:t>
      </w:r>
    </w:p>
    <w:p w:rsidR="006E089F" w:rsidRPr="0074043F" w:rsidRDefault="006E089F" w:rsidP="006E089F">
      <w:pPr>
        <w:pStyle w:val="SingleTxt"/>
        <w:rPr>
          <w:lang w:val="fr-CH"/>
        </w:rPr>
      </w:pPr>
      <w:r w:rsidRPr="0074043F">
        <w:rPr>
          <w:lang w:val="fr-CH"/>
        </w:rPr>
        <w:tab/>
      </w:r>
      <w:r w:rsidRPr="0074043F">
        <w:rPr>
          <w:lang w:val="fr-CH"/>
        </w:rPr>
        <w:tab/>
        <w:t>LNG</w:t>
      </w:r>
      <w:r w:rsidR="00AA524F" w:rsidRPr="0074043F">
        <w:rPr>
          <w:lang w:val="fr-CH"/>
        </w:rPr>
        <w:t> </w:t>
      </w:r>
      <w:r w:rsidRPr="0074043F">
        <w:rPr>
          <w:lang w:val="fr-CH"/>
        </w:rPr>
        <w:t>: VL</w:t>
      </w:r>
    </w:p>
    <w:p w:rsidR="006E089F" w:rsidRPr="006E089F" w:rsidRDefault="006E089F" w:rsidP="006E089F">
      <w:pPr>
        <w:pStyle w:val="SingleTxt"/>
        <w:rPr>
          <w:lang w:val="fr-FR"/>
        </w:rPr>
      </w:pPr>
      <w:r w:rsidRPr="0074043F">
        <w:rPr>
          <w:lang w:val="fr-CH"/>
        </w:rPr>
        <w:lastRenderedPageBreak/>
        <w:tab/>
      </w:r>
      <w:r w:rsidRPr="006E089F">
        <w:rPr>
          <w:lang w:val="fr-FR"/>
        </w:rPr>
        <w:t>f)</w:t>
      </w:r>
      <w:r w:rsidRPr="006E089F">
        <w:rPr>
          <w:lang w:val="fr-FR"/>
        </w:rPr>
        <w:tab/>
        <w:t>Numéro du modèle et numéro de série;</w:t>
      </w:r>
    </w:p>
    <w:p w:rsidR="006E089F" w:rsidRPr="0074043F" w:rsidRDefault="006E089F" w:rsidP="006E089F">
      <w:pPr>
        <w:pStyle w:val="SingleTxt"/>
        <w:rPr>
          <w:lang w:val="fr-CH"/>
        </w:rPr>
      </w:pPr>
      <w:r w:rsidRPr="006E089F">
        <w:rPr>
          <w:lang w:val="fr-FR"/>
        </w:rPr>
        <w:tab/>
      </w:r>
      <w:r w:rsidRPr="0074043F">
        <w:rPr>
          <w:lang w:val="fr-CH"/>
        </w:rPr>
        <w:t>g)</w:t>
      </w:r>
      <w:r w:rsidRPr="0074043F">
        <w:rPr>
          <w:lang w:val="fr-CH"/>
        </w:rPr>
        <w:tab/>
        <w:t>Volume intérieur [L];</w:t>
      </w:r>
    </w:p>
    <w:p w:rsidR="006E089F" w:rsidRPr="006E089F" w:rsidRDefault="006E089F" w:rsidP="006E089F">
      <w:pPr>
        <w:pStyle w:val="SingleTxt"/>
        <w:rPr>
          <w:lang w:val="fr-FR"/>
        </w:rPr>
      </w:pPr>
      <w:r w:rsidRPr="0074043F">
        <w:rPr>
          <w:lang w:val="fr-CH"/>
        </w:rPr>
        <w:tab/>
      </w:r>
      <w:r w:rsidRPr="006E089F">
        <w:rPr>
          <w:lang w:val="fr-FR"/>
        </w:rPr>
        <w:t>h)</w:t>
      </w:r>
      <w:r w:rsidRPr="006E089F">
        <w:rPr>
          <w:lang w:val="fr-FR"/>
        </w:rPr>
        <w:tab/>
        <w:t>Date de l’inspection;</w:t>
      </w:r>
    </w:p>
    <w:p w:rsidR="006E089F" w:rsidRPr="006E089F" w:rsidRDefault="006E089F" w:rsidP="006E089F">
      <w:pPr>
        <w:pStyle w:val="SingleTxt"/>
        <w:rPr>
          <w:lang w:val="fr-FR"/>
        </w:rPr>
      </w:pPr>
      <w:r w:rsidRPr="006E089F">
        <w:rPr>
          <w:lang w:val="fr-FR"/>
        </w:rPr>
        <w:tab/>
        <w:t>i)</w:t>
      </w:r>
      <w:r w:rsidRPr="006E089F">
        <w:rPr>
          <w:lang w:val="fr-FR"/>
        </w:rPr>
        <w:tab/>
        <w:t>Date de la mise hors service;</w:t>
      </w:r>
    </w:p>
    <w:p w:rsidR="006E089F" w:rsidRPr="006E089F" w:rsidRDefault="006E089F" w:rsidP="006E089F">
      <w:pPr>
        <w:pStyle w:val="SingleTxt"/>
        <w:rPr>
          <w:lang w:val="fr-FR"/>
        </w:rPr>
      </w:pPr>
      <w:r w:rsidRPr="006E089F">
        <w:rPr>
          <w:lang w:val="fr-FR"/>
        </w:rPr>
        <w:tab/>
        <w:t>j)</w:t>
      </w:r>
      <w:r w:rsidRPr="006E089F">
        <w:rPr>
          <w:lang w:val="fr-FR"/>
        </w:rPr>
        <w:tab/>
        <w:t>(Bouteille composite) Profondeur de la bouteille (DC) [mm];</w:t>
      </w:r>
    </w:p>
    <w:p w:rsidR="006E089F" w:rsidRPr="006E089F" w:rsidRDefault="006E089F" w:rsidP="006E089F">
      <w:pPr>
        <w:pStyle w:val="SingleTxt"/>
        <w:rPr>
          <w:lang w:val="fr-FR"/>
        </w:rPr>
      </w:pPr>
      <w:r w:rsidRPr="006E089F">
        <w:rPr>
          <w:lang w:val="fr-FR"/>
        </w:rPr>
        <w:tab/>
        <w:t>k)</w:t>
      </w:r>
      <w:r w:rsidRPr="006E089F">
        <w:rPr>
          <w:lang w:val="fr-FR"/>
        </w:rPr>
        <w:tab/>
        <w:t>(Bouteille composite) Profondeur de l’ogive (DD) [mm];</w:t>
      </w:r>
    </w:p>
    <w:p w:rsidR="006E089F" w:rsidRPr="006E089F" w:rsidRDefault="006E089F" w:rsidP="006E089F">
      <w:pPr>
        <w:pStyle w:val="SingleTxt"/>
        <w:rPr>
          <w:lang w:val="fr-FR"/>
        </w:rPr>
      </w:pPr>
      <w:r w:rsidRPr="006E089F">
        <w:rPr>
          <w:lang w:val="fr-FR"/>
        </w:rPr>
        <w:tab/>
        <w:t>l)</w:t>
      </w:r>
      <w:r w:rsidRPr="006E089F">
        <w:rPr>
          <w:lang w:val="fr-FR"/>
        </w:rPr>
        <w:tab/>
        <w:t>Nom de la personne qui a procédé à l’installation;</w:t>
      </w:r>
    </w:p>
    <w:p w:rsidR="006E089F" w:rsidRPr="006E089F" w:rsidRDefault="006E089F" w:rsidP="006E089F">
      <w:pPr>
        <w:pStyle w:val="SingleTxt"/>
        <w:rPr>
          <w:lang w:val="fr-FR"/>
        </w:rPr>
      </w:pPr>
      <w:r w:rsidRPr="006E089F">
        <w:rPr>
          <w:lang w:val="fr-FR"/>
        </w:rPr>
        <w:tab/>
        <w:t>m)</w:t>
      </w:r>
      <w:r w:rsidRPr="006E089F">
        <w:rPr>
          <w:lang w:val="fr-FR"/>
        </w:rPr>
        <w:tab/>
        <w:t>Jour de l’installation;</w:t>
      </w:r>
    </w:p>
    <w:p w:rsidR="006E089F" w:rsidRPr="006E089F" w:rsidRDefault="006E089F" w:rsidP="006E089F">
      <w:pPr>
        <w:pStyle w:val="SingleTxt"/>
        <w:rPr>
          <w:lang w:val="fr-FR"/>
        </w:rPr>
      </w:pPr>
      <w:r w:rsidRPr="006E089F">
        <w:rPr>
          <w:lang w:val="fr-FR"/>
        </w:rPr>
        <w:tab/>
        <w:t>n)</w:t>
      </w:r>
      <w:r w:rsidRPr="006E089F">
        <w:rPr>
          <w:lang w:val="fr-FR"/>
        </w:rPr>
        <w:tab/>
        <w:t>Numéro de série du véhicule.</w:t>
      </w:r>
    </w:p>
    <w:p w:rsidR="006E089F" w:rsidRPr="006E089F" w:rsidRDefault="006E089F" w:rsidP="006E089F">
      <w:pPr>
        <w:pStyle w:val="SingleTxt"/>
        <w:rPr>
          <w:lang w:val="fr-FR"/>
        </w:rPr>
      </w:pPr>
      <w:r w:rsidRPr="006E089F">
        <w:rPr>
          <w:lang w:val="fr-FR"/>
        </w:rPr>
        <w:t>Accessoires fixes à la bouteille/au réservoir (</w:t>
      </w:r>
      <w:proofErr w:type="spellStart"/>
      <w:r w:rsidRPr="006E089F">
        <w:rPr>
          <w:lang w:val="fr-FR"/>
        </w:rPr>
        <w:t>Gravage</w:t>
      </w:r>
      <w:proofErr w:type="spellEnd"/>
      <w:r w:rsidRPr="006E089F">
        <w:rPr>
          <w:lang w:val="fr-FR"/>
        </w:rPr>
        <w:t xml:space="preserve"> et données suivantes)</w:t>
      </w:r>
      <w:r w:rsidR="00AA524F">
        <w:rPr>
          <w:lang w:val="fr-FR"/>
        </w:rPr>
        <w:t> </w:t>
      </w:r>
      <w:r w:rsidRPr="006E089F">
        <w:rPr>
          <w:lang w:val="fr-FR"/>
        </w:rPr>
        <w:t>:</w:t>
      </w:r>
    </w:p>
    <w:p w:rsidR="006E089F" w:rsidRPr="006E089F" w:rsidRDefault="006E089F" w:rsidP="006E089F">
      <w:pPr>
        <w:pStyle w:val="SingleTxt"/>
        <w:rPr>
          <w:lang w:val="fr-FR"/>
        </w:rPr>
      </w:pPr>
      <w:r w:rsidRPr="006E089F">
        <w:rPr>
          <w:lang w:val="fr-FR"/>
        </w:rPr>
        <w:tab/>
        <w:t>a)</w:t>
      </w:r>
      <w:r w:rsidRPr="006E089F">
        <w:rPr>
          <w:lang w:val="fr-FR"/>
        </w:rPr>
        <w:tab/>
        <w:t>Marque d’identification “GNC” et/ou “GNL”;</w:t>
      </w:r>
    </w:p>
    <w:p w:rsidR="006E089F" w:rsidRPr="006E089F" w:rsidRDefault="006E089F" w:rsidP="006E089F">
      <w:pPr>
        <w:pStyle w:val="SingleTxt"/>
        <w:rPr>
          <w:lang w:val="fr-FR"/>
        </w:rPr>
      </w:pPr>
      <w:r w:rsidRPr="006E089F">
        <w:rPr>
          <w:lang w:val="fr-FR"/>
        </w:rPr>
        <w:tab/>
        <w:t>b)</w:t>
      </w:r>
      <w:r w:rsidRPr="006E089F">
        <w:rPr>
          <w:lang w:val="fr-FR"/>
        </w:rPr>
        <w:tab/>
        <w:t>Pression;</w:t>
      </w:r>
    </w:p>
    <w:p w:rsidR="006E089F" w:rsidRPr="006E089F" w:rsidRDefault="006E089F" w:rsidP="006E089F">
      <w:pPr>
        <w:pStyle w:val="SingleTxt"/>
        <w:rPr>
          <w:lang w:val="fr-FR"/>
        </w:rPr>
      </w:pPr>
      <w:r w:rsidRPr="006E089F">
        <w:rPr>
          <w:lang w:val="fr-FR"/>
        </w:rPr>
        <w:tab/>
      </w:r>
      <w:r w:rsidRPr="006E089F">
        <w:rPr>
          <w:lang w:val="fr-FR"/>
        </w:rPr>
        <w:tab/>
        <w:t>GNC</w:t>
      </w:r>
      <w:r w:rsidR="009B1C34">
        <w:rPr>
          <w:lang w:val="fr-FR"/>
        </w:rPr>
        <w:t> </w:t>
      </w:r>
      <w:r w:rsidRPr="006E089F">
        <w:rPr>
          <w:lang w:val="fr-FR"/>
        </w:rPr>
        <w:t>: Pression de service [</w:t>
      </w:r>
      <w:proofErr w:type="spellStart"/>
      <w:r w:rsidRPr="006E089F">
        <w:rPr>
          <w:lang w:val="fr-FR"/>
        </w:rPr>
        <w:t>MPa</w:t>
      </w:r>
      <w:proofErr w:type="spellEnd"/>
      <w:r w:rsidRPr="006E089F">
        <w:rPr>
          <w:lang w:val="fr-FR"/>
        </w:rPr>
        <w:t>]</w:t>
      </w:r>
    </w:p>
    <w:p w:rsidR="006E089F" w:rsidRPr="006E089F" w:rsidRDefault="006E089F" w:rsidP="006E089F">
      <w:pPr>
        <w:pStyle w:val="SingleTxt"/>
        <w:rPr>
          <w:lang w:val="fr-FR"/>
        </w:rPr>
      </w:pPr>
      <w:r w:rsidRPr="006E089F">
        <w:rPr>
          <w:lang w:val="fr-FR"/>
        </w:rPr>
        <w:tab/>
      </w:r>
      <w:r w:rsidRPr="006E089F">
        <w:rPr>
          <w:lang w:val="fr-FR"/>
        </w:rPr>
        <w:tab/>
        <w:t>GNL</w:t>
      </w:r>
      <w:r w:rsidR="009B1C34">
        <w:rPr>
          <w:lang w:val="fr-FR"/>
        </w:rPr>
        <w:t> </w:t>
      </w:r>
      <w:r w:rsidRPr="006E089F">
        <w:rPr>
          <w:lang w:val="fr-FR"/>
        </w:rPr>
        <w:t>: Pression d’essai [</w:t>
      </w:r>
      <w:proofErr w:type="spellStart"/>
      <w:r w:rsidRPr="006E089F">
        <w:rPr>
          <w:lang w:val="fr-FR"/>
        </w:rPr>
        <w:t>MPa</w:t>
      </w:r>
      <w:proofErr w:type="spellEnd"/>
      <w:r w:rsidRPr="006E089F">
        <w:rPr>
          <w:lang w:val="fr-FR"/>
        </w:rPr>
        <w:t>]</w:t>
      </w:r>
    </w:p>
    <w:p w:rsidR="006E089F" w:rsidRPr="006E089F" w:rsidRDefault="006E089F" w:rsidP="006E089F">
      <w:pPr>
        <w:pStyle w:val="SingleTxt"/>
        <w:rPr>
          <w:lang w:val="fr-FR"/>
        </w:rPr>
      </w:pPr>
      <w:r w:rsidRPr="006E089F">
        <w:rPr>
          <w:lang w:val="fr-FR"/>
        </w:rPr>
        <w:tab/>
        <w:t>c)</w:t>
      </w:r>
      <w:r w:rsidRPr="006E089F">
        <w:rPr>
          <w:lang w:val="fr-FR"/>
        </w:rPr>
        <w:tab/>
        <w:t>Date de l’inspection;</w:t>
      </w:r>
    </w:p>
    <w:p w:rsidR="006E089F" w:rsidRPr="006E089F" w:rsidRDefault="006E089F" w:rsidP="006E089F">
      <w:pPr>
        <w:pStyle w:val="SingleTxt"/>
        <w:rPr>
          <w:lang w:val="fr-FR"/>
        </w:rPr>
      </w:pPr>
      <w:r w:rsidRPr="006E089F">
        <w:rPr>
          <w:lang w:val="fr-FR"/>
        </w:rPr>
        <w:tab/>
        <w:t>d)</w:t>
      </w:r>
      <w:r w:rsidRPr="006E089F">
        <w:rPr>
          <w:lang w:val="fr-FR"/>
        </w:rPr>
        <w:tab/>
        <w:t>Symbole pour le nom de l’organisme d’inspection;</w:t>
      </w:r>
    </w:p>
    <w:p w:rsidR="006E089F" w:rsidRPr="006E089F" w:rsidRDefault="006E089F" w:rsidP="006E089F">
      <w:pPr>
        <w:pStyle w:val="SingleTxt"/>
        <w:rPr>
          <w:lang w:val="fr-FR"/>
        </w:rPr>
      </w:pPr>
      <w:r w:rsidRPr="006E089F">
        <w:rPr>
          <w:lang w:val="fr-FR"/>
        </w:rPr>
        <w:tab/>
        <w:t>e)</w:t>
      </w:r>
      <w:r w:rsidRPr="006E089F">
        <w:rPr>
          <w:lang w:val="fr-FR"/>
        </w:rPr>
        <w:tab/>
        <w:t>Nom ou symbole du fabricant;</w:t>
      </w:r>
    </w:p>
    <w:p w:rsidR="006E089F" w:rsidRPr="006E089F" w:rsidRDefault="006E089F" w:rsidP="006E089F">
      <w:pPr>
        <w:pStyle w:val="SingleTxt"/>
        <w:rPr>
          <w:lang w:val="fr-FR"/>
        </w:rPr>
      </w:pPr>
      <w:r w:rsidRPr="006E089F">
        <w:rPr>
          <w:lang w:val="fr-FR"/>
        </w:rPr>
        <w:tab/>
        <w:t>f)</w:t>
      </w:r>
      <w:r w:rsidRPr="006E089F">
        <w:rPr>
          <w:lang w:val="fr-FR"/>
        </w:rPr>
        <w:tab/>
        <w:t>Numéro du modèle et numéro de série;</w:t>
      </w:r>
    </w:p>
    <w:p w:rsidR="006E089F" w:rsidRPr="0074043F" w:rsidRDefault="006E089F" w:rsidP="006E089F">
      <w:pPr>
        <w:pStyle w:val="SingleTxt"/>
        <w:rPr>
          <w:lang w:val="fr-CH"/>
        </w:rPr>
      </w:pPr>
      <w:r w:rsidRPr="006E089F">
        <w:rPr>
          <w:lang w:val="fr-FR"/>
        </w:rPr>
        <w:tab/>
      </w:r>
      <w:r w:rsidRPr="0074043F">
        <w:rPr>
          <w:lang w:val="fr-CH"/>
        </w:rPr>
        <w:t>g)</w:t>
      </w:r>
      <w:r w:rsidRPr="0074043F">
        <w:rPr>
          <w:lang w:val="fr-CH"/>
        </w:rPr>
        <w:tab/>
        <w:t>Masse [kg];</w:t>
      </w:r>
    </w:p>
    <w:p w:rsidR="006E089F" w:rsidRPr="0074043F" w:rsidRDefault="006E089F" w:rsidP="006E089F">
      <w:pPr>
        <w:pStyle w:val="SingleTxt"/>
        <w:rPr>
          <w:lang w:val="fr-CH"/>
        </w:rPr>
      </w:pPr>
      <w:r w:rsidRPr="0074043F">
        <w:rPr>
          <w:lang w:val="fr-CH"/>
        </w:rPr>
        <w:tab/>
        <w:t>h)</w:t>
      </w:r>
      <w:r w:rsidRPr="0074043F">
        <w:rPr>
          <w:lang w:val="fr-CH"/>
        </w:rPr>
        <w:tab/>
        <w:t>Pression d’essai [MPa];</w:t>
      </w:r>
    </w:p>
    <w:p w:rsidR="006E089F" w:rsidRPr="0074043F" w:rsidRDefault="006E089F" w:rsidP="006E089F">
      <w:pPr>
        <w:pStyle w:val="SingleTxt"/>
        <w:rPr>
          <w:lang w:val="fr-CH"/>
        </w:rPr>
      </w:pPr>
      <w:r w:rsidRPr="0074043F">
        <w:rPr>
          <w:lang w:val="fr-CH"/>
        </w:rPr>
        <w:tab/>
        <w:t>i)</w:t>
      </w:r>
      <w:r w:rsidRPr="0074043F">
        <w:rPr>
          <w:lang w:val="fr-CH"/>
        </w:rPr>
        <w:tab/>
        <w:t>Type d’accessoires;</w:t>
      </w:r>
    </w:p>
    <w:p w:rsidR="006E089F" w:rsidRPr="0074043F" w:rsidRDefault="006E089F" w:rsidP="006E089F">
      <w:pPr>
        <w:pStyle w:val="SingleTxt"/>
        <w:rPr>
          <w:lang w:val="fr-CH"/>
        </w:rPr>
      </w:pPr>
      <w:r w:rsidRPr="0074043F">
        <w:rPr>
          <w:lang w:val="fr-CH"/>
        </w:rPr>
        <w:tab/>
      </w:r>
      <w:r w:rsidRPr="0074043F">
        <w:rPr>
          <w:lang w:val="fr-CH"/>
        </w:rPr>
        <w:tab/>
        <w:t>GNC</w:t>
      </w:r>
      <w:r w:rsidR="00AA524F" w:rsidRPr="0074043F">
        <w:rPr>
          <w:lang w:val="fr-CH"/>
        </w:rPr>
        <w:t> </w:t>
      </w:r>
      <w:r w:rsidRPr="0074043F">
        <w:rPr>
          <w:lang w:val="fr-CH"/>
        </w:rPr>
        <w:t>: GNCV</w:t>
      </w:r>
    </w:p>
    <w:p w:rsidR="006E089F" w:rsidRPr="0074043F" w:rsidRDefault="006E089F" w:rsidP="006E089F">
      <w:pPr>
        <w:pStyle w:val="SingleTxt"/>
        <w:rPr>
          <w:lang w:val="fr-CH"/>
        </w:rPr>
      </w:pPr>
      <w:r w:rsidRPr="0074043F">
        <w:rPr>
          <w:lang w:val="fr-CH"/>
        </w:rPr>
        <w:tab/>
      </w:r>
      <w:r w:rsidRPr="0074043F">
        <w:rPr>
          <w:lang w:val="fr-CH"/>
        </w:rPr>
        <w:tab/>
        <w:t>LNG</w:t>
      </w:r>
      <w:r w:rsidR="00AA524F" w:rsidRPr="0074043F">
        <w:rPr>
          <w:lang w:val="fr-CH"/>
        </w:rPr>
        <w:t> </w:t>
      </w:r>
      <w:r w:rsidRPr="0074043F">
        <w:rPr>
          <w:lang w:val="fr-CH"/>
        </w:rPr>
        <w:t>: LNGV</w:t>
      </w:r>
    </w:p>
    <w:p w:rsidR="006E089F" w:rsidRPr="006E089F" w:rsidRDefault="006E089F" w:rsidP="006E089F">
      <w:pPr>
        <w:pStyle w:val="SingleTxt"/>
        <w:rPr>
          <w:lang w:val="fr-FR"/>
        </w:rPr>
      </w:pPr>
      <w:r w:rsidRPr="006E089F">
        <w:rPr>
          <w:lang w:val="fr-FR"/>
        </w:rPr>
        <w:t>Réceptacle de remplissage</w:t>
      </w:r>
      <w:r w:rsidR="009B1C34">
        <w:rPr>
          <w:lang w:val="fr-FR"/>
        </w:rPr>
        <w:t> </w:t>
      </w:r>
      <w:r w:rsidRPr="006E089F">
        <w:rPr>
          <w:lang w:val="fr-FR"/>
        </w:rPr>
        <w:t>:</w:t>
      </w:r>
    </w:p>
    <w:p w:rsidR="006E089F" w:rsidRPr="006E089F" w:rsidRDefault="006E089F" w:rsidP="006E089F">
      <w:pPr>
        <w:pStyle w:val="SingleTxt"/>
        <w:rPr>
          <w:lang w:val="fr-FR"/>
        </w:rPr>
      </w:pPr>
      <w:r w:rsidRPr="006E089F">
        <w:rPr>
          <w:lang w:val="fr-FR"/>
        </w:rPr>
        <w:tab/>
        <w:t>a)</w:t>
      </w:r>
      <w:r w:rsidRPr="006E089F">
        <w:rPr>
          <w:lang w:val="fr-FR"/>
        </w:rPr>
        <w:tab/>
        <w:t>Marque d’identification “GNC” et/ou “GNL”;</w:t>
      </w:r>
    </w:p>
    <w:p w:rsidR="006E089F" w:rsidRPr="006E089F" w:rsidRDefault="006E089F" w:rsidP="006E089F">
      <w:pPr>
        <w:pStyle w:val="SingleTxt"/>
        <w:rPr>
          <w:lang w:val="fr-FR"/>
        </w:rPr>
      </w:pPr>
      <w:r w:rsidRPr="006E089F">
        <w:rPr>
          <w:lang w:val="fr-FR"/>
        </w:rPr>
        <w:tab/>
        <w:t>b)</w:t>
      </w:r>
      <w:r w:rsidRPr="006E089F">
        <w:rPr>
          <w:lang w:val="fr-FR"/>
        </w:rPr>
        <w:tab/>
        <w:t>Numéro de la bouteille/du réservoir installé(e);</w:t>
      </w:r>
    </w:p>
    <w:p w:rsidR="006E089F" w:rsidRPr="006E089F" w:rsidRDefault="006E089F" w:rsidP="006E089F">
      <w:pPr>
        <w:pStyle w:val="SingleTxt"/>
        <w:rPr>
          <w:lang w:val="fr-FR"/>
        </w:rPr>
      </w:pPr>
      <w:r w:rsidRPr="006E089F">
        <w:rPr>
          <w:lang w:val="fr-FR"/>
        </w:rPr>
        <w:tab/>
        <w:t>c)</w:t>
      </w:r>
      <w:r w:rsidRPr="006E089F">
        <w:rPr>
          <w:lang w:val="fr-FR"/>
        </w:rPr>
        <w:tab/>
        <w:t>Date de la mise hors service;</w:t>
      </w:r>
    </w:p>
    <w:p w:rsidR="006E089F" w:rsidRPr="006E089F" w:rsidRDefault="006E089F" w:rsidP="006E089F">
      <w:pPr>
        <w:pStyle w:val="SingleTxt"/>
        <w:rPr>
          <w:lang w:val="fr-FR"/>
        </w:rPr>
      </w:pPr>
      <w:r w:rsidRPr="006E089F">
        <w:rPr>
          <w:lang w:val="fr-FR"/>
        </w:rPr>
        <w:tab/>
        <w:t>d)</w:t>
      </w:r>
      <w:r w:rsidRPr="006E089F">
        <w:rPr>
          <w:lang w:val="fr-FR"/>
        </w:rPr>
        <w:tab/>
        <w:t>Période de validité de l’inspection;</w:t>
      </w:r>
    </w:p>
    <w:p w:rsidR="006E089F" w:rsidRPr="006E089F" w:rsidRDefault="006E089F" w:rsidP="006E089F">
      <w:pPr>
        <w:pStyle w:val="SingleTxt"/>
        <w:rPr>
          <w:lang w:val="fr-FR"/>
        </w:rPr>
      </w:pPr>
      <w:r w:rsidRPr="006E089F">
        <w:rPr>
          <w:lang w:val="fr-FR"/>
        </w:rPr>
        <w:tab/>
        <w:t>e)</w:t>
      </w:r>
      <w:r w:rsidRPr="006E089F">
        <w:rPr>
          <w:lang w:val="fr-FR"/>
        </w:rPr>
        <w:tab/>
        <w:t>Pression;</w:t>
      </w:r>
    </w:p>
    <w:p w:rsidR="006E089F" w:rsidRPr="006E089F" w:rsidRDefault="006E089F" w:rsidP="006E089F">
      <w:pPr>
        <w:pStyle w:val="SingleTxt"/>
        <w:rPr>
          <w:lang w:val="fr-FR"/>
        </w:rPr>
      </w:pPr>
      <w:r w:rsidRPr="006E089F">
        <w:rPr>
          <w:lang w:val="fr-FR"/>
        </w:rPr>
        <w:tab/>
      </w:r>
      <w:r w:rsidRPr="006E089F">
        <w:rPr>
          <w:lang w:val="fr-FR"/>
        </w:rPr>
        <w:tab/>
        <w:t>GNC</w:t>
      </w:r>
      <w:r w:rsidR="00AA524F">
        <w:rPr>
          <w:lang w:val="fr-FR"/>
        </w:rPr>
        <w:t> </w:t>
      </w:r>
      <w:r w:rsidRPr="006E089F">
        <w:rPr>
          <w:lang w:val="fr-FR"/>
        </w:rPr>
        <w:t>: Pression de service [</w:t>
      </w:r>
      <w:proofErr w:type="spellStart"/>
      <w:r w:rsidRPr="006E089F">
        <w:rPr>
          <w:lang w:val="fr-FR"/>
        </w:rPr>
        <w:t>MPa</w:t>
      </w:r>
      <w:proofErr w:type="spellEnd"/>
      <w:r w:rsidRPr="006E089F">
        <w:rPr>
          <w:lang w:val="fr-FR"/>
        </w:rPr>
        <w:t>]</w:t>
      </w:r>
    </w:p>
    <w:p w:rsidR="006E089F" w:rsidRPr="0074043F" w:rsidRDefault="006E089F" w:rsidP="006E089F">
      <w:pPr>
        <w:pStyle w:val="SingleTxt"/>
        <w:rPr>
          <w:lang w:val="fr-CH"/>
        </w:rPr>
      </w:pPr>
      <w:r w:rsidRPr="006E089F">
        <w:rPr>
          <w:lang w:val="fr-FR"/>
        </w:rPr>
        <w:tab/>
      </w:r>
      <w:r w:rsidRPr="006E089F">
        <w:rPr>
          <w:lang w:val="fr-FR"/>
        </w:rPr>
        <w:tab/>
        <w:t>GNL</w:t>
      </w:r>
      <w:r w:rsidR="00AA524F">
        <w:rPr>
          <w:lang w:val="fr-FR"/>
        </w:rPr>
        <w:t> </w:t>
      </w:r>
      <w:r w:rsidRPr="006E089F">
        <w:rPr>
          <w:lang w:val="fr-FR"/>
        </w:rPr>
        <w:t>: Pression d’essai [</w:t>
      </w:r>
      <w:proofErr w:type="spellStart"/>
      <w:r w:rsidRPr="006E089F">
        <w:rPr>
          <w:lang w:val="fr-FR"/>
        </w:rPr>
        <w:t>MPa</w:t>
      </w:r>
      <w:proofErr w:type="spellEnd"/>
      <w:r w:rsidRPr="006E089F">
        <w:rPr>
          <w:lang w:val="fr-FR"/>
        </w:rPr>
        <w:t>]</w:t>
      </w:r>
    </w:p>
    <w:p w:rsidR="00702AD5" w:rsidRDefault="006E089F" w:rsidP="006E089F">
      <w:pPr>
        <w:pStyle w:val="SingleTxt"/>
        <w:rPr>
          <w:lang w:val="fr-FR"/>
        </w:rPr>
      </w:pPr>
      <w:r w:rsidRPr="0074043F">
        <w:rPr>
          <w:lang w:val="fr-CH"/>
        </w:rPr>
        <w:tab/>
      </w:r>
      <w:r w:rsidRPr="006E089F">
        <w:rPr>
          <w:lang w:val="fr-FR"/>
        </w:rPr>
        <w:t>f)</w:t>
      </w:r>
      <w:r w:rsidRPr="006E089F">
        <w:rPr>
          <w:lang w:val="fr-FR"/>
        </w:rPr>
        <w:tab/>
        <w:t>Numéro de série du véhicule.</w:t>
      </w:r>
    </w:p>
    <w:p w:rsidR="006E089F" w:rsidRPr="006E089F" w:rsidRDefault="006E089F" w:rsidP="006E089F">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E089F" w:rsidRPr="006E089F" w:rsidSect="000C674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4T15:24:00Z" w:initials="Start">
    <w:p w:rsidR="000C674C" w:rsidRPr="0074043F" w:rsidRDefault="000C674C">
      <w:pPr>
        <w:pStyle w:val="CommentText"/>
        <w:rPr>
          <w:lang w:val="en-GB"/>
        </w:rPr>
      </w:pPr>
      <w:r>
        <w:fldChar w:fldCharType="begin"/>
      </w:r>
      <w:r w:rsidRPr="0074043F">
        <w:rPr>
          <w:rStyle w:val="CommentReference"/>
          <w:lang w:val="en-GB"/>
        </w:rPr>
        <w:instrText xml:space="preserve"> </w:instrText>
      </w:r>
      <w:r w:rsidRPr="0074043F">
        <w:rPr>
          <w:lang w:val="en-GB"/>
        </w:rPr>
        <w:instrText>PAGE \# "'Page: '#'</w:instrText>
      </w:r>
      <w:r w:rsidRPr="0074043F">
        <w:rPr>
          <w:lang w:val="en-GB"/>
        </w:rPr>
        <w:br/>
        <w:instrText>'"</w:instrText>
      </w:r>
      <w:r w:rsidRPr="0074043F">
        <w:rPr>
          <w:rStyle w:val="CommentReference"/>
          <w:lang w:val="en-GB"/>
        </w:rPr>
        <w:instrText xml:space="preserve"> </w:instrText>
      </w:r>
      <w:r>
        <w:fldChar w:fldCharType="end"/>
      </w:r>
      <w:r>
        <w:rPr>
          <w:rStyle w:val="CommentReference"/>
        </w:rPr>
        <w:annotationRef/>
      </w:r>
      <w:r w:rsidRPr="0074043F">
        <w:rPr>
          <w:lang w:val="en-GB"/>
        </w:rPr>
        <w:t>&lt;&lt;ODS JOB NO&gt;&gt;N1515363F&lt;&lt;ODS JOB NO&gt;&gt;</w:t>
      </w:r>
    </w:p>
    <w:p w:rsidR="000C674C" w:rsidRDefault="000C674C">
      <w:pPr>
        <w:pStyle w:val="CommentText"/>
      </w:pPr>
      <w:r>
        <w:t>&lt;&lt;ODS DOC SYMBOL1&gt;&gt;ECE/TRANS/WP.29/GRSG/2015/27&lt;&lt;ODS DOC SYMBOL1&gt;&gt;</w:t>
      </w:r>
    </w:p>
    <w:p w:rsidR="000C674C" w:rsidRDefault="000C674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40" w:rsidRDefault="008A4840" w:rsidP="00F3330B">
      <w:pPr>
        <w:spacing w:line="240" w:lineRule="auto"/>
      </w:pPr>
      <w:r>
        <w:separator/>
      </w:r>
    </w:p>
  </w:endnote>
  <w:endnote w:type="continuationSeparator" w:id="0">
    <w:p w:rsidR="008A4840" w:rsidRDefault="008A484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674C" w:rsidTr="000C674C">
      <w:trPr>
        <w:jc w:val="center"/>
      </w:trPr>
      <w:tc>
        <w:tcPr>
          <w:tcW w:w="5126" w:type="dxa"/>
          <w:shd w:val="clear" w:color="auto" w:fill="auto"/>
        </w:tcPr>
        <w:p w:rsidR="000C674C" w:rsidRPr="000C674C" w:rsidRDefault="000C674C" w:rsidP="000C674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11C1">
            <w:rPr>
              <w:b w:val="0"/>
              <w:w w:val="103"/>
              <w:sz w:val="14"/>
            </w:rPr>
            <w:t>GE.15-11532</w:t>
          </w:r>
          <w:r>
            <w:rPr>
              <w:b w:val="0"/>
              <w:w w:val="103"/>
              <w:sz w:val="14"/>
            </w:rPr>
            <w:fldChar w:fldCharType="end"/>
          </w:r>
        </w:p>
      </w:tc>
      <w:tc>
        <w:tcPr>
          <w:tcW w:w="5127" w:type="dxa"/>
          <w:shd w:val="clear" w:color="auto" w:fill="auto"/>
        </w:tcPr>
        <w:p w:rsidR="000C674C" w:rsidRPr="000C674C" w:rsidRDefault="000C674C" w:rsidP="000C674C">
          <w:pPr>
            <w:pStyle w:val="Footer"/>
            <w:rPr>
              <w:w w:val="103"/>
            </w:rPr>
          </w:pPr>
          <w:r>
            <w:rPr>
              <w:w w:val="103"/>
            </w:rPr>
            <w:fldChar w:fldCharType="begin"/>
          </w:r>
          <w:r>
            <w:rPr>
              <w:w w:val="103"/>
            </w:rPr>
            <w:instrText xml:space="preserve"> PAGE  \* Arabic  \* MERGEFORMAT </w:instrText>
          </w:r>
          <w:r>
            <w:rPr>
              <w:w w:val="103"/>
            </w:rPr>
            <w:fldChar w:fldCharType="separate"/>
          </w:r>
          <w:r w:rsidR="0074043F">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043F">
            <w:rPr>
              <w:noProof/>
              <w:w w:val="103"/>
            </w:rPr>
            <w:t>8</w:t>
          </w:r>
          <w:r>
            <w:rPr>
              <w:w w:val="103"/>
            </w:rPr>
            <w:fldChar w:fldCharType="end"/>
          </w:r>
        </w:p>
      </w:tc>
    </w:tr>
  </w:tbl>
  <w:p w:rsidR="000C674C" w:rsidRPr="000C674C" w:rsidRDefault="000C674C" w:rsidP="000C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674C" w:rsidTr="000C674C">
      <w:trPr>
        <w:jc w:val="center"/>
      </w:trPr>
      <w:tc>
        <w:tcPr>
          <w:tcW w:w="5126" w:type="dxa"/>
          <w:shd w:val="clear" w:color="auto" w:fill="auto"/>
        </w:tcPr>
        <w:p w:rsidR="000C674C" w:rsidRPr="000C674C" w:rsidRDefault="000C674C" w:rsidP="000C674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043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043F">
            <w:rPr>
              <w:noProof/>
              <w:w w:val="103"/>
            </w:rPr>
            <w:t>9</w:t>
          </w:r>
          <w:r>
            <w:rPr>
              <w:w w:val="103"/>
            </w:rPr>
            <w:fldChar w:fldCharType="end"/>
          </w:r>
        </w:p>
      </w:tc>
      <w:tc>
        <w:tcPr>
          <w:tcW w:w="5127" w:type="dxa"/>
          <w:shd w:val="clear" w:color="auto" w:fill="auto"/>
        </w:tcPr>
        <w:p w:rsidR="000C674C" w:rsidRPr="000C674C" w:rsidRDefault="000C674C" w:rsidP="000C674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11C1">
            <w:rPr>
              <w:b w:val="0"/>
              <w:w w:val="103"/>
              <w:sz w:val="14"/>
            </w:rPr>
            <w:t>GE.15-11532</w:t>
          </w:r>
          <w:r>
            <w:rPr>
              <w:b w:val="0"/>
              <w:w w:val="103"/>
              <w:sz w:val="14"/>
            </w:rPr>
            <w:fldChar w:fldCharType="end"/>
          </w:r>
        </w:p>
      </w:tc>
    </w:tr>
  </w:tbl>
  <w:p w:rsidR="000C674C" w:rsidRPr="000C674C" w:rsidRDefault="000C674C" w:rsidP="000C6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4C" w:rsidRDefault="000C674C">
    <w:pPr>
      <w:pStyle w:val="Footer"/>
    </w:pPr>
    <w:r>
      <w:rPr>
        <w:noProof/>
        <w:lang w:val="en-GB" w:eastAsia="en-GB"/>
      </w:rPr>
      <w:drawing>
        <wp:anchor distT="0" distB="0" distL="114300" distR="114300" simplePos="0" relativeHeight="251658240" behindDoc="0" locked="0" layoutInCell="1" allowOverlap="1" wp14:anchorId="257C30B2" wp14:editId="2864EFD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2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C674C" w:rsidTr="000C674C">
      <w:tc>
        <w:tcPr>
          <w:tcW w:w="3859" w:type="dxa"/>
        </w:tcPr>
        <w:p w:rsidR="000C674C" w:rsidRDefault="000C674C" w:rsidP="000C674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A11C1">
            <w:rPr>
              <w:b w:val="0"/>
              <w:sz w:val="20"/>
            </w:rPr>
            <w:t>GE.15-11532 (F)</w:t>
          </w:r>
          <w:r>
            <w:rPr>
              <w:b w:val="0"/>
              <w:sz w:val="20"/>
            </w:rPr>
            <w:fldChar w:fldCharType="end"/>
          </w:r>
          <w:r w:rsidR="000F313F">
            <w:rPr>
              <w:b w:val="0"/>
              <w:sz w:val="20"/>
            </w:rPr>
            <w:t xml:space="preserve">    240815    25</w:t>
          </w:r>
          <w:r>
            <w:rPr>
              <w:b w:val="0"/>
              <w:sz w:val="20"/>
            </w:rPr>
            <w:t>0815</w:t>
          </w:r>
        </w:p>
        <w:p w:rsidR="000C674C" w:rsidRPr="000C674C" w:rsidRDefault="000C674C" w:rsidP="000C674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A11C1">
            <w:rPr>
              <w:rFonts w:ascii="Barcode 3 of 9 by request" w:hAnsi="Barcode 3 of 9 by request"/>
              <w:b w:val="0"/>
              <w:spacing w:val="0"/>
              <w:w w:val="100"/>
              <w:sz w:val="24"/>
            </w:rPr>
            <w:t>*1511532*</w:t>
          </w:r>
          <w:r>
            <w:rPr>
              <w:rFonts w:ascii="Barcode 3 of 9 by request" w:hAnsi="Barcode 3 of 9 by request"/>
              <w:b w:val="0"/>
              <w:spacing w:val="0"/>
              <w:w w:val="100"/>
              <w:sz w:val="24"/>
            </w:rPr>
            <w:fldChar w:fldCharType="end"/>
          </w:r>
        </w:p>
      </w:tc>
      <w:tc>
        <w:tcPr>
          <w:tcW w:w="5127" w:type="dxa"/>
        </w:tcPr>
        <w:p w:rsidR="000C674C" w:rsidRDefault="000C674C" w:rsidP="000C674C">
          <w:pPr>
            <w:pStyle w:val="Footer"/>
            <w:spacing w:line="240" w:lineRule="atLeast"/>
            <w:jc w:val="right"/>
            <w:rPr>
              <w:b w:val="0"/>
              <w:sz w:val="20"/>
            </w:rPr>
          </w:pPr>
          <w:r>
            <w:rPr>
              <w:b w:val="0"/>
              <w:noProof/>
              <w:sz w:val="20"/>
              <w:lang w:val="en-GB" w:eastAsia="en-GB"/>
            </w:rPr>
            <w:drawing>
              <wp:inline distT="0" distB="0" distL="0" distR="0" wp14:anchorId="4351B00C" wp14:editId="2FDB84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C674C" w:rsidRPr="000C674C" w:rsidRDefault="000C674C" w:rsidP="000C674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40" w:rsidRPr="00CF18CE" w:rsidRDefault="00CF18CE" w:rsidP="00CF18CE">
      <w:pPr>
        <w:pStyle w:val="Footer"/>
        <w:spacing w:after="80"/>
        <w:ind w:left="792"/>
        <w:rPr>
          <w:sz w:val="16"/>
        </w:rPr>
      </w:pPr>
      <w:r w:rsidRPr="00CF18CE">
        <w:rPr>
          <w:sz w:val="16"/>
        </w:rPr>
        <w:t>__________________</w:t>
      </w:r>
    </w:p>
  </w:footnote>
  <w:footnote w:type="continuationSeparator" w:id="0">
    <w:p w:rsidR="008A4840" w:rsidRPr="00CF18CE" w:rsidRDefault="00CF18CE" w:rsidP="00CF18CE">
      <w:pPr>
        <w:pStyle w:val="Footer"/>
        <w:spacing w:after="80"/>
        <w:ind w:left="792"/>
        <w:rPr>
          <w:sz w:val="16"/>
        </w:rPr>
      </w:pPr>
      <w:r w:rsidRPr="00CF18CE">
        <w:rPr>
          <w:sz w:val="16"/>
        </w:rPr>
        <w:t>__________________</w:t>
      </w:r>
    </w:p>
  </w:footnote>
  <w:footnote w:id="1">
    <w:p w:rsidR="00C57CC8" w:rsidRPr="00C57CC8" w:rsidRDefault="00C57CC8" w:rsidP="00CF18CE">
      <w:pPr>
        <w:pStyle w:val="FootnoteText"/>
        <w:tabs>
          <w:tab w:val="right" w:pos="1195"/>
          <w:tab w:val="left" w:pos="1267"/>
          <w:tab w:val="left" w:pos="1742"/>
          <w:tab w:val="left" w:pos="2218"/>
          <w:tab w:val="left" w:pos="2693"/>
        </w:tabs>
        <w:ind w:left="1267" w:right="1260" w:hanging="432"/>
        <w:rPr>
          <w:lang w:val="fr-CH"/>
        </w:rPr>
      </w:pPr>
      <w:r>
        <w:tab/>
      </w:r>
      <w:r w:rsidRPr="00C57CC8">
        <w:rPr>
          <w:rStyle w:val="FootnoteReference"/>
          <w:color w:val="auto"/>
          <w:vertAlign w:val="baseline"/>
        </w:rPr>
        <w:t>*</w:t>
      </w:r>
      <w:r>
        <w:tab/>
      </w:r>
      <w:r w:rsidRPr="00FE5117">
        <w:rPr>
          <w:lang w:val="fr-FR"/>
        </w:rPr>
        <w:t>Conformément au programme de travail du Comité des transports intérieurs pour la période</w:t>
      </w:r>
      <w:r w:rsidR="00FC3798">
        <w:rPr>
          <w:lang w:val="fr-FR"/>
        </w:rPr>
        <w:t xml:space="preserve"> 2012-2016 (ECE/TRANS/224, par. </w:t>
      </w:r>
      <w:r w:rsidRPr="00FE5117">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674C" w:rsidTr="000C674C">
      <w:trPr>
        <w:trHeight w:hRule="exact" w:val="864"/>
        <w:jc w:val="center"/>
      </w:trPr>
      <w:tc>
        <w:tcPr>
          <w:tcW w:w="4882" w:type="dxa"/>
          <w:shd w:val="clear" w:color="auto" w:fill="auto"/>
          <w:vAlign w:val="bottom"/>
        </w:tcPr>
        <w:p w:rsidR="000C674C" w:rsidRPr="000C674C" w:rsidRDefault="000C674C" w:rsidP="000C674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11C1">
            <w:rPr>
              <w:b/>
              <w:color w:val="000000"/>
            </w:rPr>
            <w:t>ECE/TRANS/WP.29/GRSG/2015/27</w:t>
          </w:r>
          <w:r>
            <w:rPr>
              <w:b/>
              <w:color w:val="000000"/>
            </w:rPr>
            <w:fldChar w:fldCharType="end"/>
          </w:r>
        </w:p>
      </w:tc>
      <w:tc>
        <w:tcPr>
          <w:tcW w:w="5127" w:type="dxa"/>
          <w:shd w:val="clear" w:color="auto" w:fill="auto"/>
          <w:vAlign w:val="bottom"/>
        </w:tcPr>
        <w:p w:rsidR="000C674C" w:rsidRDefault="000C674C" w:rsidP="000C674C">
          <w:pPr>
            <w:pStyle w:val="Header"/>
          </w:pPr>
        </w:p>
      </w:tc>
    </w:tr>
  </w:tbl>
  <w:p w:rsidR="000C674C" w:rsidRPr="000C674C" w:rsidRDefault="000C674C" w:rsidP="000C674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674C" w:rsidTr="000C674C">
      <w:trPr>
        <w:trHeight w:hRule="exact" w:val="864"/>
        <w:jc w:val="center"/>
      </w:trPr>
      <w:tc>
        <w:tcPr>
          <w:tcW w:w="4882" w:type="dxa"/>
          <w:shd w:val="clear" w:color="auto" w:fill="auto"/>
          <w:vAlign w:val="bottom"/>
        </w:tcPr>
        <w:p w:rsidR="000C674C" w:rsidRDefault="000C674C" w:rsidP="000C674C">
          <w:pPr>
            <w:pStyle w:val="Header"/>
          </w:pPr>
        </w:p>
      </w:tc>
      <w:tc>
        <w:tcPr>
          <w:tcW w:w="5127" w:type="dxa"/>
          <w:shd w:val="clear" w:color="auto" w:fill="auto"/>
          <w:vAlign w:val="bottom"/>
        </w:tcPr>
        <w:p w:rsidR="000C674C" w:rsidRPr="000C674C" w:rsidRDefault="000C674C" w:rsidP="000C674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11C1">
            <w:rPr>
              <w:b/>
              <w:color w:val="000000"/>
            </w:rPr>
            <w:t>ECE/TRANS/WP.29/GRSG/2015/27</w:t>
          </w:r>
          <w:r>
            <w:rPr>
              <w:b/>
              <w:color w:val="000000"/>
            </w:rPr>
            <w:fldChar w:fldCharType="end"/>
          </w:r>
        </w:p>
      </w:tc>
    </w:tr>
  </w:tbl>
  <w:p w:rsidR="000C674C" w:rsidRPr="000C674C" w:rsidRDefault="000C674C" w:rsidP="000C674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C674C" w:rsidTr="000C674C">
      <w:trPr>
        <w:trHeight w:hRule="exact" w:val="864"/>
      </w:trPr>
      <w:tc>
        <w:tcPr>
          <w:tcW w:w="1267" w:type="dxa"/>
          <w:tcBorders>
            <w:bottom w:val="single" w:sz="4" w:space="0" w:color="auto"/>
          </w:tcBorders>
          <w:shd w:val="clear" w:color="auto" w:fill="auto"/>
          <w:vAlign w:val="bottom"/>
        </w:tcPr>
        <w:p w:rsidR="000C674C" w:rsidRDefault="000C674C" w:rsidP="000C674C">
          <w:pPr>
            <w:pStyle w:val="Header"/>
            <w:spacing w:after="120"/>
          </w:pPr>
        </w:p>
      </w:tc>
      <w:tc>
        <w:tcPr>
          <w:tcW w:w="2059" w:type="dxa"/>
          <w:tcBorders>
            <w:bottom w:val="single" w:sz="4" w:space="0" w:color="auto"/>
          </w:tcBorders>
          <w:shd w:val="clear" w:color="auto" w:fill="auto"/>
          <w:vAlign w:val="bottom"/>
        </w:tcPr>
        <w:p w:rsidR="000C674C" w:rsidRPr="000C674C" w:rsidRDefault="000C674C" w:rsidP="000C674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C674C" w:rsidRDefault="000C674C" w:rsidP="000C674C">
          <w:pPr>
            <w:pStyle w:val="Header"/>
            <w:spacing w:after="120"/>
          </w:pPr>
        </w:p>
      </w:tc>
      <w:tc>
        <w:tcPr>
          <w:tcW w:w="6653" w:type="dxa"/>
          <w:gridSpan w:val="4"/>
          <w:tcBorders>
            <w:bottom w:val="single" w:sz="4" w:space="0" w:color="auto"/>
          </w:tcBorders>
          <w:shd w:val="clear" w:color="auto" w:fill="auto"/>
          <w:vAlign w:val="bottom"/>
        </w:tcPr>
        <w:p w:rsidR="000C674C" w:rsidRPr="000C674C" w:rsidRDefault="000C674C" w:rsidP="000C674C">
          <w:pPr>
            <w:spacing w:after="80" w:line="240" w:lineRule="auto"/>
            <w:jc w:val="right"/>
            <w:rPr>
              <w:position w:val="-4"/>
            </w:rPr>
          </w:pPr>
          <w:r>
            <w:rPr>
              <w:position w:val="-4"/>
              <w:sz w:val="40"/>
            </w:rPr>
            <w:t>ECE</w:t>
          </w:r>
          <w:r>
            <w:rPr>
              <w:position w:val="-4"/>
            </w:rPr>
            <w:t>/TRANS/WP.29/GRSG/2015/27</w:t>
          </w:r>
        </w:p>
      </w:tc>
    </w:tr>
    <w:tr w:rsidR="000C674C" w:rsidRPr="000C674C" w:rsidTr="000C674C">
      <w:trPr>
        <w:gridAfter w:val="1"/>
        <w:wAfter w:w="18" w:type="dxa"/>
        <w:trHeight w:hRule="exact" w:val="2880"/>
      </w:trPr>
      <w:tc>
        <w:tcPr>
          <w:tcW w:w="1267" w:type="dxa"/>
          <w:tcBorders>
            <w:top w:val="single" w:sz="4" w:space="0" w:color="auto"/>
            <w:bottom w:val="single" w:sz="12" w:space="0" w:color="auto"/>
          </w:tcBorders>
          <w:shd w:val="clear" w:color="auto" w:fill="auto"/>
        </w:tcPr>
        <w:p w:rsidR="000C674C" w:rsidRPr="000C674C" w:rsidRDefault="000C674C" w:rsidP="009F090D">
          <w:pPr>
            <w:pStyle w:val="Header"/>
            <w:spacing w:before="120" w:line="240" w:lineRule="auto"/>
            <w:ind w:left="-72"/>
            <w:jc w:val="center"/>
          </w:pPr>
          <w:r>
            <w:rPr>
              <w:noProof/>
              <w:lang w:val="en-GB" w:eastAsia="en-GB"/>
            </w:rPr>
            <w:drawing>
              <wp:inline distT="0" distB="0" distL="0" distR="0" wp14:anchorId="446E6C08" wp14:editId="5B335B0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674C" w:rsidRPr="000C674C" w:rsidRDefault="000C674C" w:rsidP="000C674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C674C" w:rsidRPr="000C674C" w:rsidRDefault="000C674C" w:rsidP="000C674C">
          <w:pPr>
            <w:pStyle w:val="Header"/>
            <w:spacing w:before="109"/>
          </w:pPr>
        </w:p>
      </w:tc>
      <w:tc>
        <w:tcPr>
          <w:tcW w:w="3280" w:type="dxa"/>
          <w:tcBorders>
            <w:top w:val="single" w:sz="4" w:space="0" w:color="auto"/>
            <w:bottom w:val="single" w:sz="12" w:space="0" w:color="auto"/>
          </w:tcBorders>
          <w:shd w:val="clear" w:color="auto" w:fill="auto"/>
        </w:tcPr>
        <w:p w:rsidR="000C674C" w:rsidRPr="0074043F" w:rsidRDefault="000C674C" w:rsidP="000C674C">
          <w:pPr>
            <w:pStyle w:val="Distribution"/>
            <w:rPr>
              <w:color w:val="000000"/>
              <w:lang w:val="fr-CH"/>
            </w:rPr>
          </w:pPr>
          <w:proofErr w:type="spellStart"/>
          <w:r w:rsidRPr="0074043F">
            <w:rPr>
              <w:color w:val="000000"/>
              <w:lang w:val="fr-CH"/>
            </w:rPr>
            <w:t>Distr</w:t>
          </w:r>
          <w:proofErr w:type="spellEnd"/>
          <w:r w:rsidRPr="0074043F">
            <w:rPr>
              <w:color w:val="000000"/>
              <w:lang w:val="fr-CH"/>
            </w:rPr>
            <w:t>. générale</w:t>
          </w:r>
        </w:p>
        <w:p w:rsidR="000C674C" w:rsidRPr="0074043F" w:rsidRDefault="00E93EE6" w:rsidP="000C674C">
          <w:pPr>
            <w:pStyle w:val="Publication"/>
            <w:rPr>
              <w:color w:val="000000"/>
              <w:lang w:val="fr-CH"/>
            </w:rPr>
          </w:pPr>
          <w:r w:rsidRPr="0074043F">
            <w:rPr>
              <w:color w:val="000000"/>
              <w:lang w:val="fr-CH"/>
            </w:rPr>
            <w:t>10 juillet</w:t>
          </w:r>
          <w:r w:rsidR="000C674C" w:rsidRPr="0074043F">
            <w:rPr>
              <w:color w:val="000000"/>
              <w:lang w:val="fr-CH"/>
            </w:rPr>
            <w:t xml:space="preserve"> 2015</w:t>
          </w:r>
        </w:p>
        <w:p w:rsidR="000C674C" w:rsidRPr="0074043F" w:rsidRDefault="000C674C" w:rsidP="000C674C">
          <w:pPr>
            <w:rPr>
              <w:lang w:val="fr-CH"/>
            </w:rPr>
          </w:pPr>
          <w:r w:rsidRPr="0074043F">
            <w:rPr>
              <w:lang w:val="fr-CH"/>
            </w:rPr>
            <w:t>Français</w:t>
          </w:r>
        </w:p>
        <w:p w:rsidR="000C674C" w:rsidRPr="0074043F" w:rsidRDefault="000C674C" w:rsidP="000C674C">
          <w:pPr>
            <w:pStyle w:val="Original"/>
            <w:rPr>
              <w:color w:val="000000"/>
              <w:lang w:val="fr-CH"/>
            </w:rPr>
          </w:pPr>
          <w:r w:rsidRPr="0074043F">
            <w:rPr>
              <w:color w:val="000000"/>
              <w:lang w:val="fr-CH"/>
            </w:rPr>
            <w:t>Original : anglais</w:t>
          </w:r>
        </w:p>
      </w:tc>
    </w:tr>
  </w:tbl>
  <w:p w:rsidR="000C674C" w:rsidRPr="0074043F" w:rsidRDefault="000C674C" w:rsidP="000C674C">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5321005"/>
    <w:multiLevelType w:val="singleLevel"/>
    <w:tmpl w:val="518A6DDE"/>
    <w:lvl w:ilvl="0">
      <w:start w:val="1"/>
      <w:numFmt w:val="decimal"/>
      <w:lvlRestart w:val="0"/>
      <w:lvlText w:val="%1."/>
      <w:lvlJc w:val="left"/>
      <w:pPr>
        <w:tabs>
          <w:tab w:val="num" w:pos="475"/>
        </w:tabs>
        <w:ind w:left="0"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B2886"/>
    <w:multiLevelType w:val="hybridMultilevel"/>
    <w:tmpl w:val="470CF3E2"/>
    <w:lvl w:ilvl="0" w:tplc="8A9CE4E8">
      <w:start w:val="1"/>
      <w:numFmt w:val="decimal"/>
      <w:lvlText w:val="%1."/>
      <w:lvlJc w:val="left"/>
      <w:pPr>
        <w:ind w:left="1689"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32*"/>
    <w:docVar w:name="CreationDt" w:val="8/24/2015 3:24: PM"/>
    <w:docVar w:name="DocCategory" w:val="Doc"/>
    <w:docVar w:name="DocType" w:val="Final"/>
    <w:docVar w:name="DutyStation" w:val="Geneva"/>
    <w:docVar w:name="FooterJN" w:val="GE.15-11532"/>
    <w:docVar w:name="jobn" w:val="GE.15-11532 (F)"/>
    <w:docVar w:name="jobnDT" w:val="GE.15-11532 (F)   240815"/>
    <w:docVar w:name="jobnDTDT" w:val="GE.15-11532 (F)   240815   240815"/>
    <w:docVar w:name="JobNo" w:val="GE.1511532F"/>
    <w:docVar w:name="JobNo2" w:val="GE.1515363F"/>
    <w:docVar w:name="LocalDrive" w:val="0"/>
    <w:docVar w:name="OandT" w:val="M. Deschamps"/>
    <w:docVar w:name="PaperSize" w:val="A4"/>
    <w:docVar w:name="sss1" w:val="ECE/TRANS/WP.29/GRSG/2015/27"/>
    <w:docVar w:name="sss2" w:val="-"/>
    <w:docVar w:name="Symbol1" w:val="ECE/TRANS/WP.29/GRSG/2015/27"/>
    <w:docVar w:name="Symbol2" w:val="-"/>
  </w:docVars>
  <w:rsids>
    <w:rsidRoot w:val="008A484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626F"/>
    <w:rsid w:val="000776CA"/>
    <w:rsid w:val="00077CC4"/>
    <w:rsid w:val="00083D89"/>
    <w:rsid w:val="00085112"/>
    <w:rsid w:val="0008708F"/>
    <w:rsid w:val="00091BC1"/>
    <w:rsid w:val="00091DBD"/>
    <w:rsid w:val="00097E5A"/>
    <w:rsid w:val="000A18B6"/>
    <w:rsid w:val="000A19DE"/>
    <w:rsid w:val="000A24DE"/>
    <w:rsid w:val="000A2612"/>
    <w:rsid w:val="000A3AB1"/>
    <w:rsid w:val="000A4A47"/>
    <w:rsid w:val="000A74D1"/>
    <w:rsid w:val="000B0E9A"/>
    <w:rsid w:val="000B1A18"/>
    <w:rsid w:val="000B2CD0"/>
    <w:rsid w:val="000B2E3A"/>
    <w:rsid w:val="000B3ED4"/>
    <w:rsid w:val="000B5AF0"/>
    <w:rsid w:val="000B6B84"/>
    <w:rsid w:val="000B7004"/>
    <w:rsid w:val="000C085A"/>
    <w:rsid w:val="000C349B"/>
    <w:rsid w:val="000C674C"/>
    <w:rsid w:val="000C683C"/>
    <w:rsid w:val="000D44E3"/>
    <w:rsid w:val="000D5D82"/>
    <w:rsid w:val="000D66AC"/>
    <w:rsid w:val="000D7ED4"/>
    <w:rsid w:val="000D7F76"/>
    <w:rsid w:val="000E1550"/>
    <w:rsid w:val="000E1ABE"/>
    <w:rsid w:val="000F04A8"/>
    <w:rsid w:val="000F1B8A"/>
    <w:rsid w:val="000F299A"/>
    <w:rsid w:val="000F313F"/>
    <w:rsid w:val="000F36A0"/>
    <w:rsid w:val="000F53E9"/>
    <w:rsid w:val="000F6A05"/>
    <w:rsid w:val="000F6E7D"/>
    <w:rsid w:val="000F6F6B"/>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EFF"/>
    <w:rsid w:val="00180387"/>
    <w:rsid w:val="00183EBF"/>
    <w:rsid w:val="00186793"/>
    <w:rsid w:val="0019082C"/>
    <w:rsid w:val="00192D05"/>
    <w:rsid w:val="00193A8C"/>
    <w:rsid w:val="001A2E2D"/>
    <w:rsid w:val="001A4214"/>
    <w:rsid w:val="001A4BAA"/>
    <w:rsid w:val="001A4F4E"/>
    <w:rsid w:val="001A57F6"/>
    <w:rsid w:val="001A6104"/>
    <w:rsid w:val="001A76F3"/>
    <w:rsid w:val="001B5583"/>
    <w:rsid w:val="001B5A24"/>
    <w:rsid w:val="001C0599"/>
    <w:rsid w:val="001C3C57"/>
    <w:rsid w:val="001C4664"/>
    <w:rsid w:val="001C4EBE"/>
    <w:rsid w:val="001C5B90"/>
    <w:rsid w:val="001D0E60"/>
    <w:rsid w:val="001D272D"/>
    <w:rsid w:val="001D280C"/>
    <w:rsid w:val="001D294E"/>
    <w:rsid w:val="001D3DC5"/>
    <w:rsid w:val="001E44F3"/>
    <w:rsid w:val="001E5832"/>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1879"/>
    <w:rsid w:val="00252402"/>
    <w:rsid w:val="00254656"/>
    <w:rsid w:val="0025545A"/>
    <w:rsid w:val="00261E82"/>
    <w:rsid w:val="0026332C"/>
    <w:rsid w:val="0026552F"/>
    <w:rsid w:val="0026565F"/>
    <w:rsid w:val="002660B8"/>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025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37405"/>
    <w:rsid w:val="003406CA"/>
    <w:rsid w:val="00340736"/>
    <w:rsid w:val="00343F8A"/>
    <w:rsid w:val="003441A5"/>
    <w:rsid w:val="00347E5F"/>
    <w:rsid w:val="003506F1"/>
    <w:rsid w:val="00352FF7"/>
    <w:rsid w:val="003555DE"/>
    <w:rsid w:val="00355810"/>
    <w:rsid w:val="003559A7"/>
    <w:rsid w:val="00356B67"/>
    <w:rsid w:val="00362737"/>
    <w:rsid w:val="00362F57"/>
    <w:rsid w:val="003640A0"/>
    <w:rsid w:val="00365932"/>
    <w:rsid w:val="003738C0"/>
    <w:rsid w:val="00373984"/>
    <w:rsid w:val="003810FF"/>
    <w:rsid w:val="003824F9"/>
    <w:rsid w:val="00383E9C"/>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3B94"/>
    <w:rsid w:val="00487428"/>
    <w:rsid w:val="004909A6"/>
    <w:rsid w:val="00491CD5"/>
    <w:rsid w:val="00492510"/>
    <w:rsid w:val="00492DC3"/>
    <w:rsid w:val="004973EC"/>
    <w:rsid w:val="004A0AA6"/>
    <w:rsid w:val="004A1763"/>
    <w:rsid w:val="004A186E"/>
    <w:rsid w:val="004A2319"/>
    <w:rsid w:val="004A2455"/>
    <w:rsid w:val="004A698E"/>
    <w:rsid w:val="004A7606"/>
    <w:rsid w:val="004B2125"/>
    <w:rsid w:val="004B7E99"/>
    <w:rsid w:val="004C1838"/>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60E5"/>
    <w:rsid w:val="00527615"/>
    <w:rsid w:val="00527DD0"/>
    <w:rsid w:val="00533905"/>
    <w:rsid w:val="00535873"/>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4F1D"/>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982"/>
    <w:rsid w:val="005D7CA9"/>
    <w:rsid w:val="005F12E0"/>
    <w:rsid w:val="005F221E"/>
    <w:rsid w:val="005F2726"/>
    <w:rsid w:val="005F2A30"/>
    <w:rsid w:val="005F2FA6"/>
    <w:rsid w:val="005F3016"/>
    <w:rsid w:val="005F34E2"/>
    <w:rsid w:val="005F35C5"/>
    <w:rsid w:val="005F4EBE"/>
    <w:rsid w:val="005F6A9F"/>
    <w:rsid w:val="005F6E3F"/>
    <w:rsid w:val="0060033F"/>
    <w:rsid w:val="006026BD"/>
    <w:rsid w:val="00603211"/>
    <w:rsid w:val="006035EE"/>
    <w:rsid w:val="0060375B"/>
    <w:rsid w:val="00606A0C"/>
    <w:rsid w:val="00607448"/>
    <w:rsid w:val="0060792E"/>
    <w:rsid w:val="00611860"/>
    <w:rsid w:val="00611DA0"/>
    <w:rsid w:val="00612407"/>
    <w:rsid w:val="006125AC"/>
    <w:rsid w:val="00614404"/>
    <w:rsid w:val="00617EBE"/>
    <w:rsid w:val="00620F53"/>
    <w:rsid w:val="0062117B"/>
    <w:rsid w:val="00622055"/>
    <w:rsid w:val="00626344"/>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38B8"/>
    <w:rsid w:val="00665605"/>
    <w:rsid w:val="00665692"/>
    <w:rsid w:val="00665E2E"/>
    <w:rsid w:val="006660B5"/>
    <w:rsid w:val="00671687"/>
    <w:rsid w:val="00673F2C"/>
    <w:rsid w:val="00675A53"/>
    <w:rsid w:val="006770E8"/>
    <w:rsid w:val="006803F5"/>
    <w:rsid w:val="006817AB"/>
    <w:rsid w:val="006853D8"/>
    <w:rsid w:val="006866E8"/>
    <w:rsid w:val="00687FB1"/>
    <w:rsid w:val="0069534E"/>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089F"/>
    <w:rsid w:val="006E215F"/>
    <w:rsid w:val="006E3D5C"/>
    <w:rsid w:val="006E4078"/>
    <w:rsid w:val="006E4E12"/>
    <w:rsid w:val="006E5649"/>
    <w:rsid w:val="006F41DD"/>
    <w:rsid w:val="006F5A33"/>
    <w:rsid w:val="006F6787"/>
    <w:rsid w:val="006F6EDD"/>
    <w:rsid w:val="00702AD5"/>
    <w:rsid w:val="007033D2"/>
    <w:rsid w:val="00704AF5"/>
    <w:rsid w:val="0070555E"/>
    <w:rsid w:val="00707DF8"/>
    <w:rsid w:val="00711F00"/>
    <w:rsid w:val="0071328D"/>
    <w:rsid w:val="00721866"/>
    <w:rsid w:val="0072436A"/>
    <w:rsid w:val="00735F3A"/>
    <w:rsid w:val="00735FB1"/>
    <w:rsid w:val="007367E1"/>
    <w:rsid w:val="007379A0"/>
    <w:rsid w:val="007401D3"/>
    <w:rsid w:val="0074041D"/>
    <w:rsid w:val="0074043F"/>
    <w:rsid w:val="00743131"/>
    <w:rsid w:val="0074339E"/>
    <w:rsid w:val="00743E2C"/>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2C8"/>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50D7"/>
    <w:rsid w:val="007A78C2"/>
    <w:rsid w:val="007B05E9"/>
    <w:rsid w:val="007B15C7"/>
    <w:rsid w:val="007B19E7"/>
    <w:rsid w:val="007B1E17"/>
    <w:rsid w:val="007C0C1F"/>
    <w:rsid w:val="007C206E"/>
    <w:rsid w:val="007C2936"/>
    <w:rsid w:val="007C662A"/>
    <w:rsid w:val="007C7D7F"/>
    <w:rsid w:val="007D33BA"/>
    <w:rsid w:val="007D6FCB"/>
    <w:rsid w:val="007D7FD4"/>
    <w:rsid w:val="007E2FEB"/>
    <w:rsid w:val="007E6B4F"/>
    <w:rsid w:val="007E74E9"/>
    <w:rsid w:val="007F0ED6"/>
    <w:rsid w:val="007F3DCC"/>
    <w:rsid w:val="007F4696"/>
    <w:rsid w:val="007F49BD"/>
    <w:rsid w:val="007F6F95"/>
    <w:rsid w:val="007F77CB"/>
    <w:rsid w:val="00800903"/>
    <w:rsid w:val="00802571"/>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24D"/>
    <w:rsid w:val="00862E29"/>
    <w:rsid w:val="00863E44"/>
    <w:rsid w:val="0086499F"/>
    <w:rsid w:val="00865A5F"/>
    <w:rsid w:val="00867D33"/>
    <w:rsid w:val="00867F04"/>
    <w:rsid w:val="008703DB"/>
    <w:rsid w:val="008710A1"/>
    <w:rsid w:val="0087489F"/>
    <w:rsid w:val="00875E49"/>
    <w:rsid w:val="0088158E"/>
    <w:rsid w:val="00881C8E"/>
    <w:rsid w:val="0088258D"/>
    <w:rsid w:val="008829F3"/>
    <w:rsid w:val="00882D4B"/>
    <w:rsid w:val="00887256"/>
    <w:rsid w:val="00890102"/>
    <w:rsid w:val="00890BEA"/>
    <w:rsid w:val="00890EF0"/>
    <w:rsid w:val="00891ADA"/>
    <w:rsid w:val="008962D4"/>
    <w:rsid w:val="008A3ABC"/>
    <w:rsid w:val="008A4840"/>
    <w:rsid w:val="008A4C0E"/>
    <w:rsid w:val="008A5334"/>
    <w:rsid w:val="008A630B"/>
    <w:rsid w:val="008A734B"/>
    <w:rsid w:val="008B24ED"/>
    <w:rsid w:val="008B58A1"/>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BB5"/>
    <w:rsid w:val="008E1E88"/>
    <w:rsid w:val="008E4FFA"/>
    <w:rsid w:val="008E5CC1"/>
    <w:rsid w:val="008E6532"/>
    <w:rsid w:val="008E7FF5"/>
    <w:rsid w:val="008F125F"/>
    <w:rsid w:val="008F3DAE"/>
    <w:rsid w:val="008F4727"/>
    <w:rsid w:val="008F6630"/>
    <w:rsid w:val="008F7622"/>
    <w:rsid w:val="00901340"/>
    <w:rsid w:val="0090311E"/>
    <w:rsid w:val="0090438E"/>
    <w:rsid w:val="0090704E"/>
    <w:rsid w:val="00911CA2"/>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1C1"/>
    <w:rsid w:val="009A142A"/>
    <w:rsid w:val="009A17F4"/>
    <w:rsid w:val="009A325B"/>
    <w:rsid w:val="009A3FE3"/>
    <w:rsid w:val="009A4787"/>
    <w:rsid w:val="009A7DEC"/>
    <w:rsid w:val="009B0AF7"/>
    <w:rsid w:val="009B0BFB"/>
    <w:rsid w:val="009B1C34"/>
    <w:rsid w:val="009B4398"/>
    <w:rsid w:val="009B4EEC"/>
    <w:rsid w:val="009C1815"/>
    <w:rsid w:val="009C5249"/>
    <w:rsid w:val="009C70D0"/>
    <w:rsid w:val="009C7F1B"/>
    <w:rsid w:val="009D5A2E"/>
    <w:rsid w:val="009D702B"/>
    <w:rsid w:val="009E0573"/>
    <w:rsid w:val="009E06DE"/>
    <w:rsid w:val="009E246F"/>
    <w:rsid w:val="009E76A1"/>
    <w:rsid w:val="009F004A"/>
    <w:rsid w:val="009F090D"/>
    <w:rsid w:val="009F235E"/>
    <w:rsid w:val="009F29EB"/>
    <w:rsid w:val="009F2D3B"/>
    <w:rsid w:val="009F3C78"/>
    <w:rsid w:val="009F5207"/>
    <w:rsid w:val="009F5ACE"/>
    <w:rsid w:val="009F7FE9"/>
    <w:rsid w:val="00A00A92"/>
    <w:rsid w:val="00A02426"/>
    <w:rsid w:val="00A0589C"/>
    <w:rsid w:val="00A06CAB"/>
    <w:rsid w:val="00A12A69"/>
    <w:rsid w:val="00A12DBB"/>
    <w:rsid w:val="00A150A7"/>
    <w:rsid w:val="00A151B8"/>
    <w:rsid w:val="00A157E7"/>
    <w:rsid w:val="00A210DD"/>
    <w:rsid w:val="00A21443"/>
    <w:rsid w:val="00A21F6B"/>
    <w:rsid w:val="00A22ED0"/>
    <w:rsid w:val="00A24099"/>
    <w:rsid w:val="00A264B0"/>
    <w:rsid w:val="00A2768E"/>
    <w:rsid w:val="00A33E3C"/>
    <w:rsid w:val="00A3426E"/>
    <w:rsid w:val="00A353ED"/>
    <w:rsid w:val="00A375D9"/>
    <w:rsid w:val="00A37FBB"/>
    <w:rsid w:val="00A4236C"/>
    <w:rsid w:val="00A43CAC"/>
    <w:rsid w:val="00A45E20"/>
    <w:rsid w:val="00A46DB8"/>
    <w:rsid w:val="00A507B9"/>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1164"/>
    <w:rsid w:val="00AA260F"/>
    <w:rsid w:val="00AA321E"/>
    <w:rsid w:val="00AA524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7E0"/>
    <w:rsid w:val="00AF4DD3"/>
    <w:rsid w:val="00AF4E33"/>
    <w:rsid w:val="00AF6B78"/>
    <w:rsid w:val="00B01631"/>
    <w:rsid w:val="00B01D80"/>
    <w:rsid w:val="00B05198"/>
    <w:rsid w:val="00B0544B"/>
    <w:rsid w:val="00B06C4C"/>
    <w:rsid w:val="00B10BF5"/>
    <w:rsid w:val="00B145B5"/>
    <w:rsid w:val="00B152AC"/>
    <w:rsid w:val="00B16C8B"/>
    <w:rsid w:val="00B20969"/>
    <w:rsid w:val="00B2119C"/>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6CEC"/>
    <w:rsid w:val="00B5798F"/>
    <w:rsid w:val="00B57EB0"/>
    <w:rsid w:val="00B61CB4"/>
    <w:rsid w:val="00B65DB9"/>
    <w:rsid w:val="00B66644"/>
    <w:rsid w:val="00B67756"/>
    <w:rsid w:val="00B70DA9"/>
    <w:rsid w:val="00B712B0"/>
    <w:rsid w:val="00B71802"/>
    <w:rsid w:val="00B7200B"/>
    <w:rsid w:val="00B762BB"/>
    <w:rsid w:val="00B77EB8"/>
    <w:rsid w:val="00B81A2A"/>
    <w:rsid w:val="00B84109"/>
    <w:rsid w:val="00B85BDA"/>
    <w:rsid w:val="00B870D6"/>
    <w:rsid w:val="00B874A9"/>
    <w:rsid w:val="00B912B6"/>
    <w:rsid w:val="00B932C8"/>
    <w:rsid w:val="00B93B31"/>
    <w:rsid w:val="00B9457F"/>
    <w:rsid w:val="00B965BF"/>
    <w:rsid w:val="00B96EE3"/>
    <w:rsid w:val="00BA06B1"/>
    <w:rsid w:val="00BA3125"/>
    <w:rsid w:val="00BA3654"/>
    <w:rsid w:val="00BA600B"/>
    <w:rsid w:val="00BC0F9A"/>
    <w:rsid w:val="00BC43E2"/>
    <w:rsid w:val="00BC7C1E"/>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074F4"/>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CC8"/>
    <w:rsid w:val="00C57F00"/>
    <w:rsid w:val="00C60C0B"/>
    <w:rsid w:val="00C63E5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5F23"/>
    <w:rsid w:val="00CA67AB"/>
    <w:rsid w:val="00CA789C"/>
    <w:rsid w:val="00CB016F"/>
    <w:rsid w:val="00CB0CBE"/>
    <w:rsid w:val="00CB1C6D"/>
    <w:rsid w:val="00CB2393"/>
    <w:rsid w:val="00CB5956"/>
    <w:rsid w:val="00CB60A9"/>
    <w:rsid w:val="00CC292B"/>
    <w:rsid w:val="00CC2F77"/>
    <w:rsid w:val="00CC3EAA"/>
    <w:rsid w:val="00CD4A8B"/>
    <w:rsid w:val="00CE3799"/>
    <w:rsid w:val="00CE4AA9"/>
    <w:rsid w:val="00CE5477"/>
    <w:rsid w:val="00CE7ADD"/>
    <w:rsid w:val="00CF18CE"/>
    <w:rsid w:val="00CF5E7B"/>
    <w:rsid w:val="00CF7A75"/>
    <w:rsid w:val="00D00362"/>
    <w:rsid w:val="00D01153"/>
    <w:rsid w:val="00D01927"/>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370"/>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2340"/>
    <w:rsid w:val="00E345BF"/>
    <w:rsid w:val="00E34D59"/>
    <w:rsid w:val="00E35C78"/>
    <w:rsid w:val="00E400AD"/>
    <w:rsid w:val="00E405EA"/>
    <w:rsid w:val="00E40877"/>
    <w:rsid w:val="00E4240E"/>
    <w:rsid w:val="00E42CF4"/>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EE6"/>
    <w:rsid w:val="00E952EF"/>
    <w:rsid w:val="00E96437"/>
    <w:rsid w:val="00E968A0"/>
    <w:rsid w:val="00E97145"/>
    <w:rsid w:val="00EA0EFF"/>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4625"/>
    <w:rsid w:val="00F03AFB"/>
    <w:rsid w:val="00F03CB2"/>
    <w:rsid w:val="00F13DC7"/>
    <w:rsid w:val="00F14729"/>
    <w:rsid w:val="00F14ED7"/>
    <w:rsid w:val="00F150D6"/>
    <w:rsid w:val="00F17670"/>
    <w:rsid w:val="00F17A90"/>
    <w:rsid w:val="00F2031D"/>
    <w:rsid w:val="00F25C9A"/>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55B27"/>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135"/>
    <w:rsid w:val="00F877CE"/>
    <w:rsid w:val="00F90614"/>
    <w:rsid w:val="00F90A2F"/>
    <w:rsid w:val="00F90D66"/>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14B2"/>
    <w:rsid w:val="00FB3AA4"/>
    <w:rsid w:val="00FB3C35"/>
    <w:rsid w:val="00FB4627"/>
    <w:rsid w:val="00FC0F57"/>
    <w:rsid w:val="00FC1BC9"/>
    <w:rsid w:val="00FC3798"/>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C674C"/>
    <w:rPr>
      <w:sz w:val="16"/>
      <w:szCs w:val="16"/>
    </w:rPr>
  </w:style>
  <w:style w:type="paragraph" w:styleId="CommentText">
    <w:name w:val="annotation text"/>
    <w:basedOn w:val="Normal"/>
    <w:link w:val="CommentTextChar"/>
    <w:uiPriority w:val="99"/>
    <w:semiHidden/>
    <w:unhideWhenUsed/>
    <w:rsid w:val="000C674C"/>
    <w:pPr>
      <w:spacing w:line="240" w:lineRule="auto"/>
    </w:pPr>
    <w:rPr>
      <w:szCs w:val="20"/>
    </w:rPr>
  </w:style>
  <w:style w:type="character" w:customStyle="1" w:styleId="CommentTextChar">
    <w:name w:val="Comment Text Char"/>
    <w:basedOn w:val="DefaultParagraphFont"/>
    <w:link w:val="CommentText"/>
    <w:uiPriority w:val="99"/>
    <w:semiHidden/>
    <w:rsid w:val="000C674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C674C"/>
    <w:rPr>
      <w:b/>
      <w:bCs/>
    </w:rPr>
  </w:style>
  <w:style w:type="character" w:customStyle="1" w:styleId="CommentSubjectChar">
    <w:name w:val="Comment Subject Char"/>
    <w:basedOn w:val="CommentTextChar"/>
    <w:link w:val="CommentSubject"/>
    <w:uiPriority w:val="99"/>
    <w:semiHidden/>
    <w:rsid w:val="000C674C"/>
    <w:rPr>
      <w:rFonts w:ascii="Times New Roman" w:hAnsi="Times New Roman"/>
      <w:b/>
      <w:bCs/>
      <w:spacing w:val="4"/>
      <w:w w:val="103"/>
      <w:kern w:val="14"/>
      <w:lang w:val="fr-CA"/>
    </w:rPr>
  </w:style>
  <w:style w:type="paragraph" w:styleId="ListNumber">
    <w:name w:val="List Number"/>
    <w:basedOn w:val="H1"/>
    <w:next w:val="Normal"/>
    <w:uiPriority w:val="99"/>
    <w:rsid w:val="00F25C9A"/>
    <w:pPr>
      <w:keepNext w:val="0"/>
      <w:keepLines w:val="0"/>
      <w:numPr>
        <w:numId w:val="6"/>
      </w:numPr>
      <w:contextualSpacing/>
    </w:pPr>
    <w:rPr>
      <w:rFonts w:eastAsiaTheme="minorEastAsia"/>
      <w:lang w:val="ru-RU" w:eastAsia="zh-CN"/>
    </w:rPr>
  </w:style>
  <w:style w:type="table" w:styleId="TableGrid">
    <w:name w:val="Table Grid"/>
    <w:basedOn w:val="TableNormal"/>
    <w:uiPriority w:val="59"/>
    <w:rsid w:val="00F25C9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C674C"/>
    <w:rPr>
      <w:sz w:val="16"/>
      <w:szCs w:val="16"/>
    </w:rPr>
  </w:style>
  <w:style w:type="paragraph" w:styleId="CommentText">
    <w:name w:val="annotation text"/>
    <w:basedOn w:val="Normal"/>
    <w:link w:val="CommentTextChar"/>
    <w:uiPriority w:val="99"/>
    <w:semiHidden/>
    <w:unhideWhenUsed/>
    <w:rsid w:val="000C674C"/>
    <w:pPr>
      <w:spacing w:line="240" w:lineRule="auto"/>
    </w:pPr>
    <w:rPr>
      <w:szCs w:val="20"/>
    </w:rPr>
  </w:style>
  <w:style w:type="character" w:customStyle="1" w:styleId="CommentTextChar">
    <w:name w:val="Comment Text Char"/>
    <w:basedOn w:val="DefaultParagraphFont"/>
    <w:link w:val="CommentText"/>
    <w:uiPriority w:val="99"/>
    <w:semiHidden/>
    <w:rsid w:val="000C674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C674C"/>
    <w:rPr>
      <w:b/>
      <w:bCs/>
    </w:rPr>
  </w:style>
  <w:style w:type="character" w:customStyle="1" w:styleId="CommentSubjectChar">
    <w:name w:val="Comment Subject Char"/>
    <w:basedOn w:val="CommentTextChar"/>
    <w:link w:val="CommentSubject"/>
    <w:uiPriority w:val="99"/>
    <w:semiHidden/>
    <w:rsid w:val="000C674C"/>
    <w:rPr>
      <w:rFonts w:ascii="Times New Roman" w:hAnsi="Times New Roman"/>
      <w:b/>
      <w:bCs/>
      <w:spacing w:val="4"/>
      <w:w w:val="103"/>
      <w:kern w:val="14"/>
      <w:lang w:val="fr-CA"/>
    </w:rPr>
  </w:style>
  <w:style w:type="paragraph" w:styleId="ListNumber">
    <w:name w:val="List Number"/>
    <w:basedOn w:val="H1"/>
    <w:next w:val="Normal"/>
    <w:uiPriority w:val="99"/>
    <w:rsid w:val="00F25C9A"/>
    <w:pPr>
      <w:keepNext w:val="0"/>
      <w:keepLines w:val="0"/>
      <w:numPr>
        <w:numId w:val="6"/>
      </w:numPr>
      <w:contextualSpacing/>
    </w:pPr>
    <w:rPr>
      <w:rFonts w:eastAsiaTheme="minorEastAsia"/>
      <w:lang w:val="ru-RU" w:eastAsia="zh-CN"/>
    </w:rPr>
  </w:style>
  <w:style w:type="table" w:styleId="TableGrid">
    <w:name w:val="Table Grid"/>
    <w:basedOn w:val="TableNormal"/>
    <w:uiPriority w:val="59"/>
    <w:rsid w:val="00F25C9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1056-53BD-43E3-884E-EF9B4C6E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dcterms:created xsi:type="dcterms:W3CDTF">2015-08-25T11:54:00Z</dcterms:created>
  <dcterms:modified xsi:type="dcterms:W3CDTF">2015-08-25T11:54:00Z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1511532F</vt:lpwstr>
  </property>
  <property fmtid="{D5CDD505-2E9C-101B-9397-08002B2CF9AE}" pid="3" name="ODSRefJobNo">
    <vt:lpwstr>1515363F</vt:lpwstr>
  </property>
  <property fmtid="{D5CDD505-2E9C-101B-9397-08002B2CF9AE}" pid="4" name="Symbol1">
    <vt:lpwstr>ECE/TRANS/WP.29/GRSG/2015/27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240815</vt:lpwstr>
  </property>
</Properties>
</file>