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6C" w:rsidRPr="00C36150" w:rsidRDefault="0019786C" w:rsidP="0019786C">
      <w:pPr>
        <w:spacing w:line="240" w:lineRule="auto"/>
        <w:rPr>
          <w:sz w:val="2"/>
          <w:lang w:val="fr-CH"/>
        </w:rPr>
        <w:sectPr w:rsidR="0019786C" w:rsidRPr="00C36150" w:rsidSect="0019786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C36150">
        <w:rPr>
          <w:rStyle w:val="CommentReference"/>
          <w:lang w:val="fr-CH"/>
        </w:rPr>
        <w:commentReference w:id="0"/>
      </w:r>
      <w:bookmarkStart w:id="1" w:name="_GoBack"/>
      <w:bookmarkEnd w:id="1"/>
    </w:p>
    <w:p w:rsidR="0019786C" w:rsidRPr="00C36150" w:rsidRDefault="0019786C" w:rsidP="0019786C">
      <w:pPr>
        <w:pStyle w:val="H1"/>
        <w:spacing w:after="120"/>
        <w:rPr>
          <w:sz w:val="28"/>
          <w:lang w:val="fr-CH"/>
        </w:rPr>
      </w:pPr>
      <w:r w:rsidRPr="00C36150">
        <w:rPr>
          <w:sz w:val="28"/>
          <w:lang w:val="fr-CH"/>
        </w:rPr>
        <w:lastRenderedPageBreak/>
        <w:t>Commission économique pour l’Europe</w:t>
      </w:r>
    </w:p>
    <w:p w:rsidR="0019786C" w:rsidRPr="00C36150" w:rsidRDefault="0019786C" w:rsidP="0019786C">
      <w:pPr>
        <w:pStyle w:val="H1"/>
        <w:spacing w:after="120" w:line="300" w:lineRule="exact"/>
        <w:rPr>
          <w:b w:val="0"/>
          <w:sz w:val="28"/>
          <w:lang w:val="fr-CH"/>
        </w:rPr>
      </w:pPr>
      <w:r w:rsidRPr="00C36150">
        <w:rPr>
          <w:b w:val="0"/>
          <w:sz w:val="28"/>
          <w:lang w:val="fr-CH"/>
        </w:rPr>
        <w:t>Comité des transports intérieurs</w:t>
      </w:r>
    </w:p>
    <w:p w:rsidR="00AA4880" w:rsidRDefault="00AA4880" w:rsidP="00AA48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C36150">
        <w:rPr>
          <w:lang w:val="fr-CH"/>
        </w:rPr>
        <w:t xml:space="preserve">Forum mondial de l’harmonisation des Règlements </w:t>
      </w:r>
      <w:r w:rsidRPr="00C36150">
        <w:rPr>
          <w:lang w:val="fr-CH"/>
        </w:rPr>
        <w:br/>
        <w:t>concernant les véhicules</w:t>
      </w:r>
    </w:p>
    <w:p w:rsidR="00FE0087" w:rsidRPr="00FE0087" w:rsidRDefault="00FE0087" w:rsidP="00FE008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FE0087" w:rsidRDefault="00FE0087" w:rsidP="00FE008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des dispositions générales de sécurité</w:t>
      </w:r>
    </w:p>
    <w:p w:rsidR="00AA4880" w:rsidRPr="00C36150" w:rsidRDefault="00AA4880" w:rsidP="00AA4880">
      <w:pPr>
        <w:pStyle w:val="SingleTxt"/>
        <w:spacing w:after="0" w:line="120" w:lineRule="exact"/>
        <w:ind w:left="0"/>
        <w:rPr>
          <w:sz w:val="10"/>
          <w:lang w:val="fr-CH"/>
        </w:rPr>
      </w:pPr>
    </w:p>
    <w:p w:rsidR="00AA4880" w:rsidRPr="00C36150" w:rsidRDefault="00AA4880" w:rsidP="00AA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109</w:t>
      </w:r>
      <w:r w:rsidRPr="00C36150">
        <w:rPr>
          <w:vertAlign w:val="superscript"/>
          <w:lang w:val="fr-CH"/>
        </w:rPr>
        <w:t>e</w:t>
      </w:r>
      <w:r w:rsidRPr="00C36150">
        <w:rPr>
          <w:lang w:val="fr-CH"/>
        </w:rPr>
        <w:t xml:space="preserve"> session</w:t>
      </w:r>
    </w:p>
    <w:p w:rsidR="00AA4880" w:rsidRPr="00C36150" w:rsidRDefault="00AA4880" w:rsidP="00AA488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36150">
        <w:rPr>
          <w:lang w:val="fr-CH"/>
        </w:rPr>
        <w:t>Genève, 29 septembre</w:t>
      </w:r>
      <w:r w:rsidR="00F83E21" w:rsidRPr="00C36150">
        <w:rPr>
          <w:lang w:val="fr-CH"/>
        </w:rPr>
        <w:t>-</w:t>
      </w:r>
      <w:r w:rsidRPr="00C36150">
        <w:rPr>
          <w:lang w:val="fr-CH"/>
        </w:rPr>
        <w:t>2 octobre 2015</w:t>
      </w:r>
    </w:p>
    <w:p w:rsidR="00AA4880" w:rsidRPr="00C36150" w:rsidRDefault="00AA4880" w:rsidP="00AA488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36150">
        <w:rPr>
          <w:lang w:val="fr-CH"/>
        </w:rPr>
        <w:t>Point 1 de l’ordre du jour provisoire</w:t>
      </w:r>
    </w:p>
    <w:p w:rsidR="00AA4880" w:rsidRPr="00C36150" w:rsidRDefault="00AA4880" w:rsidP="00AA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Adoption de l’ordre du jour</w:t>
      </w:r>
    </w:p>
    <w:p w:rsidR="00AA4880" w:rsidRPr="00C36150" w:rsidRDefault="00AA4880" w:rsidP="00AA4880">
      <w:pPr>
        <w:pStyle w:val="SingleTxt"/>
        <w:spacing w:after="0" w:line="120" w:lineRule="exact"/>
        <w:ind w:left="0"/>
        <w:rPr>
          <w:sz w:val="10"/>
          <w:lang w:val="fr-CH"/>
        </w:rPr>
      </w:pPr>
    </w:p>
    <w:p w:rsidR="00AA4880" w:rsidRPr="00C36150" w:rsidRDefault="00AA4880" w:rsidP="00AA4880">
      <w:pPr>
        <w:pStyle w:val="SingleTxt"/>
        <w:spacing w:after="0" w:line="120" w:lineRule="exact"/>
        <w:ind w:left="0"/>
        <w:rPr>
          <w:sz w:val="10"/>
          <w:lang w:val="fr-CH"/>
        </w:rPr>
      </w:pPr>
    </w:p>
    <w:p w:rsidR="00AA4880" w:rsidRPr="00C36150" w:rsidRDefault="00AA4880" w:rsidP="00AA4880">
      <w:pPr>
        <w:pStyle w:val="SingleTxt"/>
        <w:spacing w:after="0" w:line="120" w:lineRule="exact"/>
        <w:ind w:left="0"/>
        <w:rPr>
          <w:sz w:val="10"/>
          <w:lang w:val="fr-CH"/>
        </w:rPr>
      </w:pPr>
    </w:p>
    <w:p w:rsidR="00AA4880" w:rsidRPr="00C36150" w:rsidRDefault="00AA4880" w:rsidP="00AA48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Pr="00C36150">
        <w:rPr>
          <w:lang w:val="fr-CH"/>
        </w:rPr>
        <w:tab/>
        <w:t>Ordre du jour provisoire de la 109</w:t>
      </w:r>
      <w:r w:rsidRPr="00C36150">
        <w:rPr>
          <w:vertAlign w:val="superscript"/>
          <w:lang w:val="fr-CH"/>
        </w:rPr>
        <w:t>e</w:t>
      </w:r>
      <w:r w:rsidR="00AF1CA8" w:rsidRPr="00C36150">
        <w:rPr>
          <w:lang w:val="fr-CH"/>
        </w:rPr>
        <w:t> </w:t>
      </w:r>
      <w:r w:rsidRPr="00C36150">
        <w:rPr>
          <w:lang w:val="fr-CH"/>
        </w:rPr>
        <w:t xml:space="preserve">session </w:t>
      </w:r>
    </w:p>
    <w:p w:rsidR="00AA4880" w:rsidRPr="00C36150" w:rsidRDefault="00AA4880" w:rsidP="00AA4880">
      <w:pPr>
        <w:pStyle w:val="SingleTxt"/>
        <w:spacing w:after="0" w:line="120" w:lineRule="exact"/>
        <w:rPr>
          <w:sz w:val="10"/>
          <w:lang w:val="fr-CH"/>
        </w:rPr>
      </w:pPr>
    </w:p>
    <w:p w:rsidR="00AA4880" w:rsidRPr="00C36150" w:rsidRDefault="00AA4880" w:rsidP="00AA4880">
      <w:pPr>
        <w:pStyle w:val="SingleTxt"/>
        <w:spacing w:after="0" w:line="120" w:lineRule="exact"/>
        <w:rPr>
          <w:sz w:val="10"/>
          <w:lang w:val="fr-CH"/>
        </w:rPr>
      </w:pPr>
    </w:p>
    <w:p w:rsidR="00AA4880" w:rsidRPr="00C36150" w:rsidRDefault="00AA4880" w:rsidP="00AA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Pr="00C36150">
        <w:rPr>
          <w:lang w:val="fr-CH"/>
        </w:rPr>
        <w:tab/>
        <w:t>Additif</w:t>
      </w:r>
    </w:p>
    <w:p w:rsidR="00AA4880" w:rsidRPr="00C36150" w:rsidRDefault="00AA4880" w:rsidP="00F83E21">
      <w:pPr>
        <w:pStyle w:val="SingleTxt"/>
        <w:spacing w:after="0" w:line="120" w:lineRule="exact"/>
        <w:rPr>
          <w:sz w:val="10"/>
          <w:lang w:val="fr-CH"/>
        </w:rPr>
      </w:pPr>
    </w:p>
    <w:p w:rsidR="00F83E21" w:rsidRPr="00C36150" w:rsidRDefault="00F83E21" w:rsidP="00AA4880">
      <w:pPr>
        <w:pStyle w:val="SingleTxt"/>
        <w:spacing w:after="0" w:line="120" w:lineRule="exact"/>
        <w:rPr>
          <w:sz w:val="10"/>
          <w:lang w:val="fr-CH"/>
        </w:rPr>
      </w:pPr>
    </w:p>
    <w:p w:rsidR="00AA4880" w:rsidRPr="00C36150" w:rsidRDefault="00AA4880" w:rsidP="00AA48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Pr="00C36150">
        <w:rPr>
          <w:lang w:val="fr-CH"/>
        </w:rPr>
        <w:tab/>
        <w:t>Annotations</w:t>
      </w:r>
    </w:p>
    <w:p w:rsidR="00AA4880" w:rsidRPr="00C36150" w:rsidRDefault="00AA4880" w:rsidP="00AA4880">
      <w:pPr>
        <w:pStyle w:val="SingleTxt"/>
        <w:spacing w:after="0" w:line="120" w:lineRule="exact"/>
        <w:rPr>
          <w:sz w:val="10"/>
          <w:lang w:val="fr-CH"/>
        </w:rPr>
      </w:pPr>
    </w:p>
    <w:p w:rsidR="00AA4880" w:rsidRPr="00C36150" w:rsidRDefault="00AA4880" w:rsidP="00AA4880">
      <w:pPr>
        <w:pStyle w:val="SingleTxt"/>
        <w:spacing w:after="0" w:line="120" w:lineRule="exact"/>
        <w:rPr>
          <w:sz w:val="10"/>
          <w:lang w:val="fr-CH"/>
        </w:rPr>
      </w:pPr>
    </w:p>
    <w:p w:rsidR="00AA4880" w:rsidRPr="00C36150" w:rsidRDefault="00AA4880" w:rsidP="00AA48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36150">
        <w:rPr>
          <w:lang w:val="fr-CH"/>
        </w:rPr>
        <w:tab/>
        <w:t>1.</w:t>
      </w:r>
      <w:r w:rsidRPr="00C36150">
        <w:rPr>
          <w:lang w:val="fr-CH"/>
        </w:rPr>
        <w:tab/>
        <w:t>Adoption de l’ordre du jour</w:t>
      </w:r>
    </w:p>
    <w:p w:rsidR="00AA4880" w:rsidRPr="00C36150" w:rsidRDefault="00AA4880" w:rsidP="00F83E21">
      <w:pPr>
        <w:pStyle w:val="SingleTxt"/>
        <w:spacing w:after="0" w:line="120" w:lineRule="exact"/>
        <w:rPr>
          <w:sz w:val="10"/>
          <w:lang w:val="fr-CH"/>
        </w:rPr>
      </w:pPr>
    </w:p>
    <w:p w:rsidR="00F83E21" w:rsidRPr="00C36150" w:rsidRDefault="00F83E21" w:rsidP="00AA4880">
      <w:pPr>
        <w:pStyle w:val="SingleTxt"/>
        <w:spacing w:after="0" w:line="120" w:lineRule="exact"/>
        <w:rPr>
          <w:sz w:val="10"/>
          <w:lang w:val="fr-CH"/>
        </w:rPr>
      </w:pPr>
    </w:p>
    <w:p w:rsidR="00AA4880" w:rsidRPr="00C36150" w:rsidRDefault="00AA4880" w:rsidP="00AA4880">
      <w:pPr>
        <w:pStyle w:val="SingleTxt"/>
        <w:rPr>
          <w:lang w:val="fr-CH"/>
        </w:rPr>
      </w:pPr>
      <w:r w:rsidRPr="00C36150">
        <w:rPr>
          <w:lang w:val="fr-CH"/>
        </w:rPr>
        <w:tab/>
        <w:t>Conformément à l’article 7 du chapitre III du Règlement intérieur (TRANS/WP.29/690, Amend.1 et Amend.2) du Forum mondial de l’harmonisation des Règlements concernant les véhicules (WP.29), le premier point de l’ordre du jour provisoire est l’adoption de l’ordre du jour.</w:t>
      </w:r>
    </w:p>
    <w:p w:rsidR="00AA4880" w:rsidRPr="00C36150" w:rsidRDefault="00AA4880" w:rsidP="00897C9E">
      <w:pPr>
        <w:pStyle w:val="SingleTxt"/>
        <w:ind w:left="2693" w:hanging="1426"/>
        <w:jc w:val="left"/>
        <w:rPr>
          <w:lang w:val="fr-CH"/>
        </w:rPr>
      </w:pPr>
      <w:r w:rsidRPr="00C36150">
        <w:rPr>
          <w:i/>
          <w:lang w:val="fr-CH"/>
        </w:rPr>
        <w:t>Documents</w:t>
      </w:r>
      <w:r w:rsidR="00F83E21" w:rsidRPr="00C36150">
        <w:rPr>
          <w:i/>
          <w:lang w:val="fr-CH"/>
        </w:rPr>
        <w:t> </w:t>
      </w:r>
      <w:r w:rsidR="00F83E21" w:rsidRPr="00C36150">
        <w:rPr>
          <w:lang w:val="fr-CH"/>
        </w:rPr>
        <w:t>:</w:t>
      </w:r>
      <w:r w:rsidRPr="00C36150">
        <w:rPr>
          <w:i/>
          <w:lang w:val="fr-CH"/>
        </w:rPr>
        <w:tab/>
      </w:r>
      <w:r w:rsidRPr="00C36150">
        <w:rPr>
          <w:lang w:val="fr-CH"/>
        </w:rPr>
        <w:t>ECE/TRANS/WP.29/GRSG/2015/19 et Add.1</w:t>
      </w:r>
      <w:r w:rsidR="00F83E21" w:rsidRPr="00C36150">
        <w:rPr>
          <w:lang w:val="fr-CH"/>
        </w:rPr>
        <w:t>;</w:t>
      </w:r>
      <w:r w:rsidR="00897C9E" w:rsidRPr="00C36150">
        <w:rPr>
          <w:lang w:val="fr-CH"/>
        </w:rPr>
        <w:t xml:space="preserve"> </w:t>
      </w:r>
      <w:r w:rsidR="00897C9E" w:rsidRPr="00C36150">
        <w:rPr>
          <w:lang w:val="fr-CH"/>
        </w:rPr>
        <w:br/>
      </w:r>
      <w:r w:rsidRPr="00C36150">
        <w:rPr>
          <w:lang w:val="fr-CH"/>
        </w:rPr>
        <w:t>Document informel GRSG-109-01</w:t>
      </w:r>
      <w:r w:rsidR="00C06929" w:rsidRPr="00C36150">
        <w:rPr>
          <w:lang w:val="fr-CH"/>
        </w:rPr>
        <w:t>.</w:t>
      </w:r>
    </w:p>
    <w:p w:rsidR="00AA4880" w:rsidRPr="00C36150" w:rsidRDefault="00AA4880" w:rsidP="00AA48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AA4880" w:rsidRPr="00C36150" w:rsidRDefault="00AA4880" w:rsidP="00AA48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AA4880" w:rsidRPr="00C36150" w:rsidRDefault="00AA4880" w:rsidP="00AA48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t>2.</w:t>
      </w:r>
      <w:r w:rsidRPr="00C36150">
        <w:rPr>
          <w:lang w:val="fr-CH"/>
        </w:rPr>
        <w:tab/>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Pr="00C36150">
        <w:rPr>
          <w:lang w:val="fr-CH"/>
        </w:rPr>
        <w:t>107 (véhicules des catégories M</w:t>
      </w:r>
      <w:r w:rsidRPr="00C36150">
        <w:rPr>
          <w:vertAlign w:val="subscript"/>
          <w:lang w:val="fr-CH"/>
        </w:rPr>
        <w:t>2</w:t>
      </w:r>
      <w:r w:rsidRPr="00C36150">
        <w:rPr>
          <w:lang w:val="fr-CH"/>
        </w:rPr>
        <w:t xml:space="preserve"> et M</w:t>
      </w:r>
      <w:r w:rsidRPr="00C36150">
        <w:rPr>
          <w:vertAlign w:val="subscript"/>
          <w:lang w:val="fr-CH"/>
        </w:rPr>
        <w:t>3</w:t>
      </w:r>
      <w:r w:rsidRPr="00C36150">
        <w:rPr>
          <w:lang w:val="fr-CH"/>
        </w:rPr>
        <w:t>)</w:t>
      </w:r>
    </w:p>
    <w:p w:rsidR="00AA4880" w:rsidRPr="00C36150" w:rsidRDefault="00AA4880" w:rsidP="00AA4880">
      <w:pPr>
        <w:pStyle w:val="SingleTxt"/>
        <w:spacing w:after="0" w:line="120" w:lineRule="exact"/>
        <w:rPr>
          <w:b/>
          <w:sz w:val="10"/>
          <w:lang w:val="fr-CH"/>
        </w:rPr>
      </w:pPr>
    </w:p>
    <w:p w:rsidR="00AA4880" w:rsidRPr="00C36150" w:rsidRDefault="00AA4880" w:rsidP="00AA4880">
      <w:pPr>
        <w:pStyle w:val="SingleTxt"/>
        <w:spacing w:after="0" w:line="120" w:lineRule="exact"/>
        <w:rPr>
          <w:b/>
          <w:sz w:val="10"/>
          <w:lang w:val="fr-CH"/>
        </w:rPr>
      </w:pPr>
    </w:p>
    <w:p w:rsidR="00AA4880" w:rsidRPr="00C36150" w:rsidRDefault="00AA4880" w:rsidP="00AA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CH"/>
        </w:rPr>
      </w:pPr>
      <w:r w:rsidRPr="00C36150">
        <w:rPr>
          <w:lang w:val="fr-CH"/>
        </w:rPr>
        <w:tab/>
        <w:t>a)</w:t>
      </w:r>
      <w:r w:rsidRPr="00C36150">
        <w:rPr>
          <w:lang w:val="fr-CH"/>
        </w:rPr>
        <w:tab/>
        <w:t>Propositions de nouveaux amendements</w:t>
      </w:r>
    </w:p>
    <w:p w:rsidR="00AA4880" w:rsidRPr="00C36150" w:rsidRDefault="00AA4880" w:rsidP="00AA4880">
      <w:pPr>
        <w:pStyle w:val="SingleTxt"/>
        <w:spacing w:after="0" w:line="120" w:lineRule="exact"/>
        <w:rPr>
          <w:sz w:val="10"/>
          <w:lang w:val="fr-CH"/>
        </w:rPr>
      </w:pPr>
    </w:p>
    <w:p w:rsidR="00AA4880" w:rsidRPr="00C36150" w:rsidRDefault="00AA4880" w:rsidP="00AA4880">
      <w:pPr>
        <w:pStyle w:val="SingleTxt"/>
        <w:rPr>
          <w:lang w:val="fr-CH"/>
        </w:rPr>
      </w:pPr>
      <w:r w:rsidRPr="00C36150">
        <w:rPr>
          <w:lang w:val="fr-CH"/>
        </w:rPr>
        <w:tab/>
        <w:t>À la suite de l’adoption du document ECE/TRANS/WP.29/GRSG/2014/6/Rev.1 lors de la sess</w:t>
      </w:r>
      <w:bookmarkStart w:id="2" w:name="insstart"/>
      <w:bookmarkEnd w:id="2"/>
      <w:r w:rsidRPr="00C36150">
        <w:rPr>
          <w:lang w:val="fr-CH"/>
        </w:rPr>
        <w:t>ion précédente, le GRSG s’est engagé à revoir les dispositions relatives aux extincteurs automatiques afin de parvenir à un accord concernant l’installation obligatoire de tels système sur les véhicules des classes I et II. Le Groupe de travail devrait donc examiner le document ECE/TRANS/WP.29/GRSG/2015/32 proposé par l’Organisation internationale des constructeurs d’automobiles (OICA). Le GRSG souhaitera peut-être examiner une autre proposition de l’OICA qui vise à modifier les prescriptions concernant l’activation des systèmes avertisseurs d’incendie (ECE/TRANS/WP.29/GRSG/2015/33).</w:t>
      </w:r>
    </w:p>
    <w:p w:rsidR="00AA4880" w:rsidRPr="00C36150" w:rsidRDefault="00AA4880" w:rsidP="00884166">
      <w:pPr>
        <w:pStyle w:val="SingleTxt"/>
        <w:keepNext/>
        <w:rPr>
          <w:lang w:val="fr-CH"/>
        </w:rPr>
      </w:pPr>
      <w:r w:rsidRPr="00C36150">
        <w:rPr>
          <w:lang w:val="fr-CH"/>
        </w:rPr>
        <w:lastRenderedPageBreak/>
        <w:tab/>
        <w:t>Le GRSG a décidé de reprendre l’examen de propositions de l’Allemagne qui visent à modifier les dispositions relatives à la hauteur des marches d’accès dans les véhicules qui remplissent les conditions de l’annexe 8 (ECE/TRANS/WP.29/GRSG/</w:t>
      </w:r>
      <w:r w:rsidR="00884166" w:rsidRPr="00C36150">
        <w:rPr>
          <w:lang w:val="fr-CH"/>
        </w:rPr>
        <w:br/>
      </w:r>
      <w:r w:rsidRPr="00C36150">
        <w:rPr>
          <w:lang w:val="fr-CH"/>
        </w:rPr>
        <w:t xml:space="preserve">2015/20) ainsi qu’à corriger une erreur dans le texte du Règlement </w:t>
      </w:r>
      <w:r w:rsidR="00F83E21" w:rsidRPr="00C36150">
        <w:rPr>
          <w:lang w:val="fr-CH"/>
        </w:rPr>
        <w:t>n</w:t>
      </w:r>
      <w:r w:rsidR="00F83E21" w:rsidRPr="00C36150">
        <w:rPr>
          <w:vertAlign w:val="superscript"/>
          <w:lang w:val="fr-CH"/>
        </w:rPr>
        <w:t>o</w:t>
      </w:r>
      <w:r w:rsidR="00F83E21" w:rsidRPr="00C36150">
        <w:rPr>
          <w:lang w:val="fr-CH"/>
        </w:rPr>
        <w:t> </w:t>
      </w:r>
      <w:r w:rsidR="00AF1CA8" w:rsidRPr="00C36150">
        <w:rPr>
          <w:lang w:val="fr-CH"/>
        </w:rPr>
        <w:t>107 (ECE/TRANS/WP.29/GRSG/</w:t>
      </w:r>
      <w:r w:rsidRPr="00C36150">
        <w:rPr>
          <w:lang w:val="fr-CH"/>
        </w:rPr>
        <w:t>2015/31).</w:t>
      </w:r>
    </w:p>
    <w:p w:rsidR="00AA4880" w:rsidRPr="00C36150" w:rsidRDefault="00AA4880" w:rsidP="00AA4880">
      <w:pPr>
        <w:pStyle w:val="SingleTxt"/>
        <w:rPr>
          <w:spacing w:val="2"/>
          <w:w w:val="101"/>
          <w:lang w:val="fr-CH"/>
        </w:rPr>
      </w:pPr>
      <w:r w:rsidRPr="00C36150">
        <w:rPr>
          <w:spacing w:val="2"/>
          <w:w w:val="101"/>
          <w:lang w:val="fr-CH"/>
        </w:rPr>
        <w:tab/>
        <w:t>Le Groupe de travail examinera une proposition de la Roumanie visant à clarifier les prescriptions relatives à l’espacement des sièges (ECE/TRANS/WP.29/GRSG/2015/21).</w:t>
      </w:r>
    </w:p>
    <w:p w:rsidR="00AA4880" w:rsidRPr="00C36150" w:rsidRDefault="00AA4880" w:rsidP="00AA4880">
      <w:pPr>
        <w:pStyle w:val="SingleTxt"/>
        <w:rPr>
          <w:lang w:val="fr-CH"/>
        </w:rPr>
      </w:pPr>
      <w:r w:rsidRPr="00C36150">
        <w:rPr>
          <w:lang w:val="fr-CH"/>
        </w:rPr>
        <w:tab/>
        <w:t>Le GRSG devrait examiner une proposition du Royaume-Uni visant à modifier les prescriptions de sécurité pour les autobus et les autocars afin que tous les occupants des sièges exposés et pas seulement ceux qui risquent d’être projetés en avant dans une cage d’escalier, disposent de moyens de protection (ECE/TRANS/WP.29/GRSG/2015/34).</w:t>
      </w:r>
    </w:p>
    <w:p w:rsidR="00AA4880" w:rsidRPr="00C36150" w:rsidRDefault="00AA4880" w:rsidP="00897C9E">
      <w:pPr>
        <w:pStyle w:val="SingleTxt"/>
        <w:ind w:left="2693" w:hanging="1426"/>
        <w:rPr>
          <w:lang w:val="fr-CH"/>
        </w:rPr>
      </w:pPr>
      <w:r w:rsidRPr="00C36150">
        <w:rPr>
          <w:i/>
          <w:lang w:val="fr-CH"/>
        </w:rPr>
        <w:t>Documents</w:t>
      </w:r>
      <w:r w:rsidR="00F83E21" w:rsidRPr="00C36150">
        <w:rPr>
          <w:i/>
          <w:lang w:val="fr-CH"/>
        </w:rPr>
        <w:t> </w:t>
      </w:r>
      <w:r w:rsidR="00F83E21" w:rsidRPr="00C36150">
        <w:rPr>
          <w:lang w:val="fr-CH"/>
        </w:rPr>
        <w:t>:</w:t>
      </w:r>
      <w:r w:rsidRPr="00C36150">
        <w:rPr>
          <w:i/>
          <w:lang w:val="fr-CH"/>
        </w:rPr>
        <w:tab/>
      </w:r>
      <w:r w:rsidRPr="00C36150">
        <w:rPr>
          <w:lang w:val="fr-CH"/>
        </w:rPr>
        <w:t>ECE/TRANS/WP.29/GRSG/2015/20</w:t>
      </w:r>
      <w:r w:rsidR="000A4F65" w:rsidRPr="00C36150">
        <w:rPr>
          <w:lang w:val="fr-CH"/>
        </w:rPr>
        <w:t>,</w:t>
      </w:r>
      <w:r w:rsidR="00897C9E" w:rsidRPr="00C36150">
        <w:rPr>
          <w:lang w:val="fr-CH"/>
        </w:rPr>
        <w:t xml:space="preserve"> </w:t>
      </w:r>
      <w:r w:rsidRPr="00C36150">
        <w:rPr>
          <w:lang w:val="fr-CH"/>
        </w:rPr>
        <w:t>ECE/TRANS/WP.29/GRSG/2015/21</w:t>
      </w:r>
      <w:r w:rsidR="000A4F65" w:rsidRPr="00C36150">
        <w:rPr>
          <w:lang w:val="fr-CH"/>
        </w:rPr>
        <w:t>,</w:t>
      </w:r>
      <w:r w:rsidR="00897C9E" w:rsidRPr="00C36150">
        <w:rPr>
          <w:lang w:val="fr-CH"/>
        </w:rPr>
        <w:t xml:space="preserve"> </w:t>
      </w:r>
      <w:r w:rsidRPr="00C36150">
        <w:rPr>
          <w:lang w:val="fr-CH"/>
        </w:rPr>
        <w:t>ECE/TRANS/WP.29/GRSG/2015/31</w:t>
      </w:r>
      <w:r w:rsidR="000A4F65" w:rsidRPr="00C36150">
        <w:rPr>
          <w:lang w:val="fr-CH"/>
        </w:rPr>
        <w:t>,</w:t>
      </w:r>
      <w:r w:rsidR="00897C9E" w:rsidRPr="00C36150">
        <w:rPr>
          <w:lang w:val="fr-CH"/>
        </w:rPr>
        <w:t xml:space="preserve"> </w:t>
      </w:r>
      <w:r w:rsidRPr="00C36150">
        <w:rPr>
          <w:lang w:val="fr-CH"/>
        </w:rPr>
        <w:t>ECE/TRANS/WP.29/GRSG/2015/32</w:t>
      </w:r>
      <w:r w:rsidR="000A4F65" w:rsidRPr="00C36150">
        <w:rPr>
          <w:lang w:val="fr-CH"/>
        </w:rPr>
        <w:t>,</w:t>
      </w:r>
      <w:r w:rsidR="00897C9E" w:rsidRPr="00C36150">
        <w:rPr>
          <w:lang w:val="fr-CH"/>
        </w:rPr>
        <w:t xml:space="preserve"> </w:t>
      </w:r>
      <w:r w:rsidRPr="00C36150">
        <w:rPr>
          <w:lang w:val="fr-CH"/>
        </w:rPr>
        <w:t>ECE/TRANS/WP.29/GRSG/2015/33</w:t>
      </w:r>
      <w:r w:rsidR="000A4F65" w:rsidRPr="00C36150">
        <w:rPr>
          <w:lang w:val="fr-CH"/>
        </w:rPr>
        <w:t>,</w:t>
      </w:r>
      <w:r w:rsidR="00897C9E" w:rsidRPr="00C36150">
        <w:rPr>
          <w:lang w:val="fr-CH"/>
        </w:rPr>
        <w:t xml:space="preserve"> </w:t>
      </w:r>
      <w:r w:rsidRPr="00C36150">
        <w:rPr>
          <w:lang w:val="fr-CH"/>
        </w:rPr>
        <w:t>ECE/TRANS/WP.29/GRSG/2015/34</w:t>
      </w:r>
      <w:r w:rsidR="00897C9E" w:rsidRPr="00C36150">
        <w:rPr>
          <w:lang w:val="fr-CH"/>
        </w:rPr>
        <w:t>.</w:t>
      </w:r>
    </w:p>
    <w:p w:rsidR="00897C9E" w:rsidRPr="00C36150" w:rsidRDefault="00897C9E" w:rsidP="00897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AA4880" w:rsidRPr="00C36150" w:rsidRDefault="00AA4880" w:rsidP="00897C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t>b)</w:t>
      </w:r>
      <w:r w:rsidRPr="00C36150">
        <w:rPr>
          <w:lang w:val="fr-CH"/>
        </w:rPr>
        <w:tab/>
        <w:t xml:space="preserve">Prescriptions concernant les portes de service, les fenêtres </w:t>
      </w:r>
      <w:r w:rsidR="000A4F65" w:rsidRPr="00C36150">
        <w:rPr>
          <w:lang w:val="fr-CH"/>
        </w:rPr>
        <w:br/>
      </w:r>
      <w:r w:rsidRPr="00C36150">
        <w:rPr>
          <w:lang w:val="fr-CH"/>
        </w:rPr>
        <w:t xml:space="preserve">et les issues de secours </w:t>
      </w:r>
    </w:p>
    <w:p w:rsidR="00897C9E" w:rsidRPr="00C36150" w:rsidRDefault="00897C9E" w:rsidP="00897C9E">
      <w:pPr>
        <w:pStyle w:val="SingleTxt"/>
        <w:spacing w:after="0" w:line="120" w:lineRule="exact"/>
        <w:rPr>
          <w:sz w:val="10"/>
          <w:lang w:val="fr-CH"/>
        </w:rPr>
      </w:pPr>
    </w:p>
    <w:p w:rsidR="00AA4880" w:rsidRPr="00C36150" w:rsidRDefault="00897C9E" w:rsidP="00AA4880">
      <w:pPr>
        <w:pStyle w:val="SingleTxt"/>
        <w:rPr>
          <w:lang w:val="fr-CH"/>
        </w:rPr>
      </w:pPr>
      <w:r w:rsidRPr="00C36150">
        <w:rPr>
          <w:lang w:val="fr-CH"/>
        </w:rPr>
        <w:tab/>
      </w:r>
      <w:r w:rsidR="00AA4880" w:rsidRPr="00C36150">
        <w:rPr>
          <w:lang w:val="fr-CH"/>
        </w:rPr>
        <w:t>Le Groupe de travail souhaitera peut-être examiner une proposition révisée de l’Allemagne à ce sujet, si elle est disponible.</w:t>
      </w:r>
    </w:p>
    <w:p w:rsidR="00AA4880" w:rsidRPr="00C36150" w:rsidRDefault="00AA4880" w:rsidP="00AA4880">
      <w:pPr>
        <w:pStyle w:val="SingleTxt"/>
        <w:rPr>
          <w:lang w:val="fr-CH"/>
        </w:rPr>
      </w:pPr>
      <w:r w:rsidRPr="00C36150">
        <w:rPr>
          <w:i/>
          <w:lang w:val="fr-CH"/>
        </w:rPr>
        <w:t>Document</w:t>
      </w:r>
      <w:r w:rsidR="00F83E21" w:rsidRPr="00C36150">
        <w:rPr>
          <w:i/>
          <w:lang w:val="fr-CH"/>
        </w:rPr>
        <w:t> </w:t>
      </w:r>
      <w:r w:rsidR="00F83E21" w:rsidRPr="00C36150">
        <w:rPr>
          <w:lang w:val="fr-CH"/>
        </w:rPr>
        <w:t>:</w:t>
      </w:r>
      <w:r w:rsidRPr="00C36150">
        <w:rPr>
          <w:i/>
          <w:lang w:val="fr-CH"/>
        </w:rPr>
        <w:tab/>
      </w:r>
      <w:r w:rsidRPr="00C36150">
        <w:rPr>
          <w:lang w:val="fr-CH"/>
        </w:rPr>
        <w:t>(ECE/TRANS/WP.29/GRSG/2015/18)</w:t>
      </w:r>
      <w:r w:rsidR="000A4F65" w:rsidRPr="00C36150">
        <w:rPr>
          <w:lang w:val="fr-CH"/>
        </w:rPr>
        <w:t>.</w:t>
      </w:r>
    </w:p>
    <w:p w:rsidR="00897C9E" w:rsidRPr="00C36150" w:rsidRDefault="00897C9E" w:rsidP="00897C9E">
      <w:pPr>
        <w:pStyle w:val="SingleTxt"/>
        <w:spacing w:after="0" w:line="120" w:lineRule="exact"/>
        <w:rPr>
          <w:sz w:val="10"/>
          <w:lang w:val="fr-CH"/>
        </w:rPr>
      </w:pPr>
    </w:p>
    <w:p w:rsidR="00897C9E" w:rsidRPr="00C36150" w:rsidRDefault="00897C9E" w:rsidP="00897C9E">
      <w:pPr>
        <w:pStyle w:val="SingleTxt"/>
        <w:spacing w:after="0" w:line="120" w:lineRule="exact"/>
        <w:rPr>
          <w:sz w:val="10"/>
          <w:lang w:val="fr-CH"/>
        </w:rPr>
      </w:pPr>
    </w:p>
    <w:p w:rsidR="00AA4880" w:rsidRPr="00C36150" w:rsidRDefault="00897C9E" w:rsidP="00897C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t>3.</w:t>
      </w:r>
      <w:r w:rsidRPr="00C36150">
        <w:rPr>
          <w:lang w:val="fr-CH"/>
        </w:rPr>
        <w:tab/>
      </w:r>
      <w:r w:rsidR="00AA4880" w:rsidRPr="00C36150">
        <w:rPr>
          <w:lang w:val="fr-CH"/>
        </w:rPr>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34 (Prévention des risques d’incendie)</w:t>
      </w:r>
    </w:p>
    <w:p w:rsidR="00897C9E" w:rsidRPr="00C36150" w:rsidRDefault="00897C9E" w:rsidP="00897C9E">
      <w:pPr>
        <w:pStyle w:val="SingleTxt"/>
        <w:spacing w:after="0" w:line="120" w:lineRule="exact"/>
        <w:rPr>
          <w:sz w:val="10"/>
          <w:lang w:val="fr-CH"/>
        </w:rPr>
      </w:pPr>
    </w:p>
    <w:p w:rsidR="00897C9E" w:rsidRPr="00C36150" w:rsidRDefault="00897C9E" w:rsidP="00897C9E">
      <w:pPr>
        <w:pStyle w:val="SingleTxt"/>
        <w:spacing w:after="0" w:line="120" w:lineRule="exact"/>
        <w:rPr>
          <w:sz w:val="10"/>
          <w:lang w:val="fr-CH"/>
        </w:rPr>
      </w:pPr>
    </w:p>
    <w:p w:rsidR="00AA4880" w:rsidRPr="00C36150" w:rsidRDefault="00897C9E" w:rsidP="00AA4880">
      <w:pPr>
        <w:pStyle w:val="SingleTxt"/>
        <w:rPr>
          <w:lang w:val="fr-CH"/>
        </w:rPr>
      </w:pPr>
      <w:r w:rsidRPr="00C36150">
        <w:rPr>
          <w:lang w:val="fr-CH"/>
        </w:rPr>
        <w:tab/>
      </w:r>
      <w:r w:rsidR="00AA4880" w:rsidRPr="00C36150">
        <w:rPr>
          <w:lang w:val="fr-CH"/>
        </w:rPr>
        <w:t xml:space="preserve">Le Groupe de travail a décidé de reprendre l’examen du document ECE/TRANS/WP.29/GRSG/2015/25 soumis par le Japon afin de prévenir les risques d’incendie dans certaines conditions en cas de choc arrière. </w:t>
      </w:r>
    </w:p>
    <w:p w:rsidR="00AA4880" w:rsidRPr="00C36150" w:rsidRDefault="00897C9E" w:rsidP="00AA4880">
      <w:pPr>
        <w:pStyle w:val="SingleTxt"/>
        <w:rPr>
          <w:lang w:val="fr-CH"/>
        </w:rPr>
      </w:pPr>
      <w:r w:rsidRPr="00C36150">
        <w:rPr>
          <w:lang w:val="fr-CH"/>
        </w:rPr>
        <w:tab/>
      </w:r>
      <w:r w:rsidR="00AA4880" w:rsidRPr="00C36150">
        <w:rPr>
          <w:lang w:val="fr-CH"/>
        </w:rPr>
        <w:t>Le GRSG examiner</w:t>
      </w:r>
      <w:r w:rsidR="000A4F65" w:rsidRPr="00C36150">
        <w:rPr>
          <w:lang w:val="fr-CH"/>
        </w:rPr>
        <w:t>a</w:t>
      </w:r>
      <w:r w:rsidR="00AA4880" w:rsidRPr="00C36150">
        <w:rPr>
          <w:lang w:val="fr-CH"/>
        </w:rPr>
        <w:t xml:space="preserve"> une proposition de l’Inde (ECE/TRANS/WP.29/GRSG/</w:t>
      </w:r>
      <w:r w:rsidR="00AF1CA8" w:rsidRPr="00C36150">
        <w:rPr>
          <w:lang w:val="fr-CH"/>
        </w:rPr>
        <w:br/>
      </w:r>
      <w:r w:rsidR="00AA4880" w:rsidRPr="00C36150">
        <w:rPr>
          <w:lang w:val="fr-CH"/>
        </w:rPr>
        <w:t>2015/26) visant à harmoniser le champ d’action du Règlement en ce qui concerne la masse maximale autorisée.</w:t>
      </w:r>
    </w:p>
    <w:p w:rsidR="00AA4880" w:rsidRPr="00C36150" w:rsidRDefault="00AA4880" w:rsidP="00897C9E">
      <w:pPr>
        <w:pStyle w:val="SingleTxt"/>
        <w:ind w:left="2693" w:hanging="1426"/>
        <w:rPr>
          <w:lang w:val="fr-CH"/>
        </w:rPr>
      </w:pPr>
      <w:r w:rsidRPr="00C36150">
        <w:rPr>
          <w:i/>
          <w:lang w:val="fr-CH"/>
        </w:rPr>
        <w:t>Documents</w:t>
      </w:r>
      <w:r w:rsidR="00F83E21" w:rsidRPr="00C36150">
        <w:rPr>
          <w:i/>
          <w:lang w:val="fr-CH"/>
        </w:rPr>
        <w:t> </w:t>
      </w:r>
      <w:r w:rsidR="00F83E21" w:rsidRPr="00C36150">
        <w:rPr>
          <w:lang w:val="fr-CH"/>
        </w:rPr>
        <w:t>:</w:t>
      </w:r>
      <w:r w:rsidRPr="00C36150">
        <w:rPr>
          <w:i/>
          <w:lang w:val="fr-CH"/>
        </w:rPr>
        <w:tab/>
      </w:r>
      <w:r w:rsidRPr="00C36150">
        <w:rPr>
          <w:lang w:val="fr-CH"/>
        </w:rPr>
        <w:t>ECE/TRANS/WP.29/GRSG/2015/25</w:t>
      </w:r>
      <w:r w:rsidR="000A4F65" w:rsidRPr="00C36150">
        <w:rPr>
          <w:lang w:val="fr-CH"/>
        </w:rPr>
        <w:t>,</w:t>
      </w:r>
      <w:r w:rsidR="00897C9E" w:rsidRPr="00C36150">
        <w:rPr>
          <w:lang w:val="fr-CH"/>
        </w:rPr>
        <w:t xml:space="preserve"> </w:t>
      </w:r>
      <w:r w:rsidRPr="00C36150">
        <w:rPr>
          <w:i/>
          <w:lang w:val="fr-CH"/>
        </w:rPr>
        <w:br/>
      </w:r>
      <w:r w:rsidRPr="00C36150">
        <w:rPr>
          <w:lang w:val="fr-CH"/>
        </w:rPr>
        <w:t>ECE/TRANS/WP.29/GRSG/2015/26</w:t>
      </w:r>
      <w:r w:rsidR="00897C9E" w:rsidRPr="00C36150">
        <w:rPr>
          <w:lang w:val="fr-CH"/>
        </w:rPr>
        <w:t>.</w:t>
      </w:r>
    </w:p>
    <w:p w:rsidR="00897C9E" w:rsidRPr="00C36150" w:rsidRDefault="00897C9E" w:rsidP="00897C9E">
      <w:pPr>
        <w:pStyle w:val="SingleTxt"/>
        <w:spacing w:after="0" w:line="120" w:lineRule="exact"/>
        <w:ind w:left="2693" w:hanging="1426"/>
        <w:rPr>
          <w:sz w:val="10"/>
          <w:lang w:val="fr-CH"/>
        </w:rPr>
      </w:pPr>
    </w:p>
    <w:p w:rsidR="00897C9E" w:rsidRPr="00C36150" w:rsidRDefault="00897C9E" w:rsidP="00897C9E">
      <w:pPr>
        <w:pStyle w:val="SingleTxt"/>
        <w:spacing w:after="0" w:line="120" w:lineRule="exact"/>
        <w:ind w:left="2693" w:hanging="1426"/>
        <w:rPr>
          <w:sz w:val="10"/>
          <w:lang w:val="fr-CH"/>
        </w:rPr>
      </w:pPr>
    </w:p>
    <w:p w:rsidR="00AA4880" w:rsidRPr="00C36150" w:rsidRDefault="00897C9E" w:rsidP="00897C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t>4.</w:t>
      </w:r>
      <w:r w:rsidRPr="00C36150">
        <w:rPr>
          <w:lang w:val="fr-CH"/>
        </w:rPr>
        <w:tab/>
      </w:r>
      <w:r w:rsidR="00AA4880" w:rsidRPr="00C36150">
        <w:rPr>
          <w:lang w:val="fr-CH"/>
        </w:rPr>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 xml:space="preserve">39 (Indicateur de vitesse/compteur </w:t>
      </w:r>
      <w:r w:rsidR="000A4F65" w:rsidRPr="00C36150">
        <w:rPr>
          <w:lang w:val="fr-CH"/>
        </w:rPr>
        <w:br/>
      </w:r>
      <w:r w:rsidR="00AA4880" w:rsidRPr="00C36150">
        <w:rPr>
          <w:lang w:val="fr-CH"/>
        </w:rPr>
        <w:t>kilométrique)</w:t>
      </w:r>
    </w:p>
    <w:p w:rsidR="00897C9E" w:rsidRPr="00C36150" w:rsidRDefault="00897C9E" w:rsidP="00897C9E">
      <w:pPr>
        <w:pStyle w:val="SingleTxt"/>
        <w:spacing w:after="0" w:line="120" w:lineRule="exact"/>
        <w:rPr>
          <w:sz w:val="10"/>
          <w:lang w:val="fr-CH"/>
        </w:rPr>
      </w:pPr>
    </w:p>
    <w:p w:rsidR="00897C9E" w:rsidRPr="00C36150" w:rsidRDefault="00897C9E" w:rsidP="00897C9E">
      <w:pPr>
        <w:pStyle w:val="SingleTxt"/>
        <w:spacing w:after="0" w:line="120" w:lineRule="exact"/>
        <w:rPr>
          <w:sz w:val="10"/>
          <w:lang w:val="fr-CH"/>
        </w:rPr>
      </w:pPr>
    </w:p>
    <w:p w:rsidR="00AA4880" w:rsidRPr="00C36150" w:rsidRDefault="00897C9E" w:rsidP="00AA4880">
      <w:pPr>
        <w:pStyle w:val="SingleTxt"/>
        <w:rPr>
          <w:lang w:val="fr-CH"/>
        </w:rPr>
      </w:pPr>
      <w:r w:rsidRPr="00C36150">
        <w:rPr>
          <w:lang w:val="fr-CH"/>
        </w:rPr>
        <w:tab/>
      </w:r>
      <w:r w:rsidR="00AA4880" w:rsidRPr="00C36150">
        <w:rPr>
          <w:lang w:val="fr-CH"/>
        </w:rPr>
        <w:t xml:space="preserve">Le Groupe de travail a décidé de reprendre l’examen des documents ECE/TRANS/WP.29/GRSG/2015/16 et GRSG-108-38, établis tous les deux par la Fédération Internationale de l’Automobile (FIA), qui proposent de nouvelles modifications au 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 xml:space="preserve">39 pour renforcer la rigueur des prescriptions de sécurité applicables aux compteurs kilométriques et donc pour améliorer leur protection contre les tentatives de fraude au kilométrage. </w:t>
      </w:r>
    </w:p>
    <w:p w:rsidR="00AA4880" w:rsidRPr="00C36150" w:rsidRDefault="00897C9E" w:rsidP="00AA4880">
      <w:pPr>
        <w:pStyle w:val="SingleTxt"/>
        <w:rPr>
          <w:lang w:val="fr-CH"/>
        </w:rPr>
      </w:pPr>
      <w:r w:rsidRPr="00C36150">
        <w:rPr>
          <w:lang w:val="fr-CH"/>
        </w:rPr>
        <w:tab/>
      </w:r>
      <w:r w:rsidR="00AA4880" w:rsidRPr="00C36150">
        <w:rPr>
          <w:lang w:val="fr-CH"/>
        </w:rPr>
        <w:t>Le GRSG souhaitera peut-être aussi examiner une proposition révisée de la Commission européenne (CE) qui vise à modifier les prescriptions applicables à l’affichage numérique des compteurs de vitesse, si elle est disponible.</w:t>
      </w:r>
    </w:p>
    <w:p w:rsidR="00AA4880" w:rsidRPr="00C36150" w:rsidRDefault="00AA4880" w:rsidP="00897C9E">
      <w:pPr>
        <w:pStyle w:val="SingleTxt"/>
        <w:ind w:left="2693" w:hanging="1426"/>
        <w:rPr>
          <w:lang w:val="fr-CH"/>
        </w:rPr>
      </w:pPr>
      <w:r w:rsidRPr="00C36150">
        <w:rPr>
          <w:i/>
          <w:lang w:val="fr-CH"/>
        </w:rPr>
        <w:lastRenderedPageBreak/>
        <w:t>Document</w:t>
      </w:r>
      <w:r w:rsidR="00FE0087">
        <w:rPr>
          <w:i/>
          <w:lang w:val="fr-CH"/>
        </w:rPr>
        <w:t>s</w:t>
      </w:r>
      <w:r w:rsidR="000A4F65" w:rsidRPr="00C36150">
        <w:rPr>
          <w:i/>
          <w:lang w:val="fr-CH"/>
        </w:rPr>
        <w:t> </w:t>
      </w:r>
      <w:r w:rsidR="000A4F65" w:rsidRPr="00C36150">
        <w:rPr>
          <w:lang w:val="fr-CH"/>
        </w:rPr>
        <w:t>:</w:t>
      </w:r>
      <w:r w:rsidRPr="00C36150">
        <w:rPr>
          <w:i/>
          <w:lang w:val="fr-CH"/>
        </w:rPr>
        <w:tab/>
      </w:r>
      <w:r w:rsidRPr="00C36150">
        <w:rPr>
          <w:lang w:val="fr-CH"/>
        </w:rPr>
        <w:t>(ECE/TRANS/WP.29/GRSG/2015/16)</w:t>
      </w:r>
      <w:r w:rsidR="000A4F65" w:rsidRPr="00C36150">
        <w:rPr>
          <w:lang w:val="fr-CH"/>
        </w:rPr>
        <w:t>,</w:t>
      </w:r>
      <w:r w:rsidRPr="00C36150">
        <w:rPr>
          <w:lang w:val="fr-CH"/>
        </w:rPr>
        <w:br/>
        <w:t>(Document informel GRSG-108-38)</w:t>
      </w:r>
      <w:r w:rsidR="00897C9E" w:rsidRPr="00C36150">
        <w:rPr>
          <w:lang w:val="fr-CH"/>
        </w:rPr>
        <w:t>.</w:t>
      </w:r>
    </w:p>
    <w:p w:rsidR="00897C9E" w:rsidRPr="00BE0EA8" w:rsidRDefault="00897C9E" w:rsidP="00BE0EA8">
      <w:pPr>
        <w:pStyle w:val="SingleTxt"/>
        <w:spacing w:after="0" w:line="120" w:lineRule="exact"/>
        <w:ind w:left="2693" w:hanging="1426"/>
        <w:rPr>
          <w:sz w:val="10"/>
          <w:lang w:val="fr-CH"/>
        </w:rPr>
      </w:pPr>
    </w:p>
    <w:p w:rsidR="00BE0EA8" w:rsidRPr="00C36150" w:rsidRDefault="00BE0EA8" w:rsidP="00897C9E">
      <w:pPr>
        <w:pStyle w:val="SingleTxt"/>
        <w:spacing w:after="0" w:line="120" w:lineRule="exact"/>
        <w:ind w:left="2693" w:hanging="1426"/>
        <w:rPr>
          <w:sz w:val="10"/>
          <w:lang w:val="fr-CH"/>
        </w:rPr>
      </w:pPr>
    </w:p>
    <w:p w:rsidR="00AA4880" w:rsidRPr="00C36150" w:rsidRDefault="00897C9E" w:rsidP="00897C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C36150">
        <w:rPr>
          <w:lang w:val="fr-CH"/>
        </w:rPr>
        <w:tab/>
        <w:t>5.</w:t>
      </w:r>
      <w:r w:rsidRPr="00C36150">
        <w:rPr>
          <w:lang w:val="fr-CH"/>
        </w:rPr>
        <w:tab/>
      </w:r>
      <w:r w:rsidR="00AA4880" w:rsidRPr="00C36150">
        <w:rPr>
          <w:lang w:val="fr-CH"/>
        </w:rPr>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43 (Vitrages de sécurité)</w:t>
      </w:r>
    </w:p>
    <w:p w:rsidR="00897C9E" w:rsidRPr="00C36150" w:rsidRDefault="00897C9E" w:rsidP="00897C9E">
      <w:pPr>
        <w:spacing w:line="120" w:lineRule="exact"/>
        <w:rPr>
          <w:sz w:val="10"/>
          <w:lang w:val="fr-CH"/>
        </w:rPr>
      </w:pPr>
    </w:p>
    <w:p w:rsidR="00897C9E" w:rsidRPr="00C36150" w:rsidRDefault="00897C9E" w:rsidP="00897C9E">
      <w:pPr>
        <w:spacing w:line="120" w:lineRule="exact"/>
        <w:rPr>
          <w:sz w:val="10"/>
          <w:lang w:val="fr-CH"/>
        </w:rPr>
      </w:pPr>
    </w:p>
    <w:p w:rsidR="00AA4880" w:rsidRPr="00C36150" w:rsidRDefault="00897C9E" w:rsidP="00AA4880">
      <w:pPr>
        <w:pStyle w:val="SingleTxt"/>
        <w:rPr>
          <w:lang w:val="fr-CH"/>
        </w:rPr>
      </w:pPr>
      <w:r w:rsidRPr="00C36150">
        <w:rPr>
          <w:lang w:val="fr-CH"/>
        </w:rPr>
        <w:tab/>
      </w:r>
      <w:r w:rsidR="00AA4880" w:rsidRPr="00C36150">
        <w:rPr>
          <w:lang w:val="fr-CH"/>
        </w:rPr>
        <w:t>Le Groupe de travail décidé d’examiner une proposition de l’Association européenne des fournisseurs de l’automobile (CLEPA) visant à exclure une zone donnée du champ de vision principal pour permettre l’installation de dispositifs de sécurité sur les véhicules autres que ceux de la catégorie M</w:t>
      </w:r>
      <w:r w:rsidR="00AA4880" w:rsidRPr="00C36150">
        <w:rPr>
          <w:vertAlign w:val="subscript"/>
          <w:lang w:val="fr-CH"/>
        </w:rPr>
        <w:t>1</w:t>
      </w:r>
      <w:r w:rsidR="00AA4880" w:rsidRPr="00C36150">
        <w:rPr>
          <w:lang w:val="fr-CH"/>
        </w:rPr>
        <w:t xml:space="preserve"> (ECE/TRANS/WP.29/GRSG/2015/3), si elle est disponible.</w:t>
      </w:r>
    </w:p>
    <w:p w:rsidR="00AA4880" w:rsidRPr="00C36150" w:rsidRDefault="00897C9E" w:rsidP="00AA4880">
      <w:pPr>
        <w:pStyle w:val="SingleTxt"/>
        <w:rPr>
          <w:lang w:val="fr-CH"/>
        </w:rPr>
      </w:pPr>
      <w:r w:rsidRPr="00C36150">
        <w:rPr>
          <w:lang w:val="fr-CH"/>
        </w:rPr>
        <w:tab/>
      </w:r>
      <w:r w:rsidR="00AA4880" w:rsidRPr="00C36150">
        <w:rPr>
          <w:lang w:val="fr-CH"/>
        </w:rPr>
        <w:t xml:space="preserve">Le GRSG devrait procéder à un examen final du document ECE/TRANS/WP.29/GRSG/2015/4 soumis par la Hongrie et dans lequel il est suggéré d’autoriser l’utilisation de vitres en verre épais dans les vitrages multiples. </w:t>
      </w:r>
    </w:p>
    <w:p w:rsidR="00AA4880" w:rsidRPr="00C36150" w:rsidRDefault="00897C9E" w:rsidP="00AA4880">
      <w:pPr>
        <w:pStyle w:val="SingleTxt"/>
        <w:rPr>
          <w:lang w:val="fr-CH"/>
        </w:rPr>
      </w:pPr>
      <w:r w:rsidRPr="00C36150">
        <w:rPr>
          <w:lang w:val="fr-CH"/>
        </w:rPr>
        <w:tab/>
      </w:r>
      <w:r w:rsidR="00AA4880" w:rsidRPr="00C36150">
        <w:rPr>
          <w:lang w:val="fr-CH"/>
        </w:rPr>
        <w:t>Le Groupe de travail a décidé de reprendre l’examen d’une proposition de la Hongrie qui vise à préciser les prescriptions relatives à la machine utilisées pour les essais d’abrasion (ECE/TRANS/WP.29/GRSG/2015/22).</w:t>
      </w:r>
    </w:p>
    <w:p w:rsidR="00AA4880" w:rsidRPr="00C36150" w:rsidRDefault="00897C9E" w:rsidP="00AA4880">
      <w:pPr>
        <w:pStyle w:val="SingleTxt"/>
        <w:rPr>
          <w:lang w:val="fr-CH"/>
        </w:rPr>
      </w:pPr>
      <w:r w:rsidRPr="00C36150">
        <w:rPr>
          <w:lang w:val="fr-CH"/>
        </w:rPr>
        <w:tab/>
      </w:r>
      <w:r w:rsidR="00AA4880" w:rsidRPr="00C36150">
        <w:rPr>
          <w:lang w:val="fr-CH"/>
        </w:rPr>
        <w:t>Le Groupe de travail souhaitera peut-être examiner une proposition révisée présentée par l’expert d’AGC Glass Europe dans le but de modifier le nombre de cycles d’essais imposés aux vitrages en plastique type de la variation d’atténuation de la visibilité qui est mesuré, si elle est disponible.</w:t>
      </w:r>
    </w:p>
    <w:p w:rsidR="00AA4880" w:rsidRPr="00C36150" w:rsidRDefault="00AA4880" w:rsidP="00897C9E">
      <w:pPr>
        <w:pStyle w:val="SingleTxt"/>
        <w:ind w:left="2693" w:hanging="1426"/>
        <w:rPr>
          <w:lang w:val="fr-CH"/>
        </w:rPr>
      </w:pPr>
      <w:r w:rsidRPr="00C36150">
        <w:rPr>
          <w:i/>
          <w:lang w:val="fr-CH"/>
        </w:rPr>
        <w:t>Document</w:t>
      </w:r>
      <w:r w:rsidR="00FE0087">
        <w:rPr>
          <w:i/>
          <w:lang w:val="fr-CH"/>
        </w:rPr>
        <w:t>s</w:t>
      </w:r>
      <w:r w:rsidR="00F83E21" w:rsidRPr="00C36150">
        <w:rPr>
          <w:lang w:val="fr-CH"/>
        </w:rPr>
        <w:t> </w:t>
      </w:r>
      <w:r w:rsidRPr="00C36150">
        <w:rPr>
          <w:lang w:val="fr-CH"/>
        </w:rPr>
        <w:t>:</w:t>
      </w:r>
      <w:r w:rsidRPr="00C36150">
        <w:rPr>
          <w:lang w:val="fr-CH"/>
        </w:rPr>
        <w:tab/>
        <w:t>ECE/TRANS/WP.29/GRSG/2015/3</w:t>
      </w:r>
      <w:r w:rsidR="000A4F65" w:rsidRPr="00C36150">
        <w:rPr>
          <w:lang w:val="fr-CH"/>
        </w:rPr>
        <w:t xml:space="preserve">, </w:t>
      </w:r>
      <w:r w:rsidRPr="00C36150">
        <w:rPr>
          <w:lang w:val="fr-CH"/>
        </w:rPr>
        <w:t>ECE/TRANS/WP.29/GRSG/2015/4</w:t>
      </w:r>
      <w:r w:rsidR="000A4F65" w:rsidRPr="00C36150">
        <w:rPr>
          <w:lang w:val="fr-CH"/>
        </w:rPr>
        <w:t xml:space="preserve">, </w:t>
      </w:r>
      <w:r w:rsidRPr="00C36150">
        <w:rPr>
          <w:lang w:val="fr-CH"/>
        </w:rPr>
        <w:t>ECE/TRANS/WP.29/GRSG/2015/22</w:t>
      </w:r>
      <w:r w:rsidR="00897C9E" w:rsidRPr="00C36150">
        <w:rPr>
          <w:lang w:val="fr-CH"/>
        </w:rPr>
        <w:t>.</w:t>
      </w:r>
    </w:p>
    <w:p w:rsidR="00897C9E" w:rsidRPr="00C36150" w:rsidRDefault="00897C9E" w:rsidP="00897C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897C9E" w:rsidRPr="00C36150" w:rsidRDefault="00897C9E" w:rsidP="00897C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AA4880" w:rsidRPr="00C36150" w:rsidRDefault="00897C9E" w:rsidP="00897C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t>6.</w:t>
      </w:r>
      <w:r w:rsidRPr="00C36150">
        <w:rPr>
          <w:lang w:val="fr-CH"/>
        </w:rPr>
        <w:tab/>
      </w:r>
      <w:r w:rsidR="00AA4880" w:rsidRPr="00C36150">
        <w:rPr>
          <w:lang w:val="fr-CH"/>
        </w:rPr>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46 (Dispositifs de vision indirecte)</w:t>
      </w:r>
    </w:p>
    <w:p w:rsidR="00897C9E" w:rsidRPr="00C36150" w:rsidRDefault="00897C9E" w:rsidP="00897C9E">
      <w:pPr>
        <w:pStyle w:val="SingleTxt"/>
        <w:spacing w:after="0" w:line="120" w:lineRule="exact"/>
        <w:rPr>
          <w:sz w:val="10"/>
          <w:lang w:val="fr-CH"/>
        </w:rPr>
      </w:pPr>
    </w:p>
    <w:p w:rsidR="00897C9E" w:rsidRPr="00C36150" w:rsidRDefault="00897C9E" w:rsidP="00897C9E">
      <w:pPr>
        <w:pStyle w:val="SingleTxt"/>
        <w:spacing w:after="0" w:line="120" w:lineRule="exact"/>
        <w:rPr>
          <w:sz w:val="10"/>
          <w:lang w:val="fr-CH"/>
        </w:rPr>
      </w:pPr>
    </w:p>
    <w:p w:rsidR="00AA4880" w:rsidRPr="00C36150" w:rsidRDefault="00897C9E" w:rsidP="00AA4880">
      <w:pPr>
        <w:pStyle w:val="SingleTxt"/>
        <w:rPr>
          <w:lang w:val="fr-CH"/>
        </w:rPr>
      </w:pPr>
      <w:r w:rsidRPr="00C36150">
        <w:rPr>
          <w:lang w:val="fr-CH"/>
        </w:rPr>
        <w:tab/>
      </w:r>
      <w:r w:rsidR="00AA4880" w:rsidRPr="00C36150">
        <w:rPr>
          <w:lang w:val="fr-CH"/>
        </w:rPr>
        <w:t>Le Groupe de travail a décidé d’examiner une proposition (ECE/TRANS/WP.29/GRSG/2015/23) présentée par l’OICA qui vise à préciser les conditions d’installation des rétroviseurs de surveillance lorsqu’ils sont intégrés dans un boîtier contenant déjà un ou plusieurs rétroviseurs des classes II ou III.</w:t>
      </w:r>
    </w:p>
    <w:p w:rsidR="00AA4880" w:rsidRPr="00C36150" w:rsidRDefault="00AA4880" w:rsidP="00AA4880">
      <w:pPr>
        <w:pStyle w:val="SingleTxt"/>
        <w:rPr>
          <w:lang w:val="fr-CH"/>
        </w:rPr>
      </w:pPr>
      <w:r w:rsidRPr="00C36150">
        <w:rPr>
          <w:i/>
          <w:lang w:val="fr-CH"/>
        </w:rPr>
        <w:t>Document</w:t>
      </w:r>
      <w:r w:rsidR="000A4F65" w:rsidRPr="00C36150">
        <w:rPr>
          <w:i/>
          <w:lang w:val="fr-CH"/>
        </w:rPr>
        <w:t> </w:t>
      </w:r>
      <w:r w:rsidR="000A4F65" w:rsidRPr="00C36150">
        <w:rPr>
          <w:lang w:val="fr-CH"/>
        </w:rPr>
        <w:t>:</w:t>
      </w:r>
      <w:r w:rsidRPr="00C36150">
        <w:rPr>
          <w:lang w:val="fr-CH"/>
        </w:rPr>
        <w:tab/>
        <w:t>ECE/TRANS/WP.29/GRSG/2015/23</w:t>
      </w:r>
      <w:r w:rsidR="00897C9E" w:rsidRPr="00C36150">
        <w:rPr>
          <w:lang w:val="fr-CH"/>
        </w:rPr>
        <w:t>.</w:t>
      </w:r>
    </w:p>
    <w:p w:rsidR="00897C9E" w:rsidRPr="00C36150" w:rsidRDefault="00897C9E" w:rsidP="00897C9E">
      <w:pPr>
        <w:pStyle w:val="SingleTxt"/>
        <w:spacing w:after="0" w:line="120" w:lineRule="exact"/>
        <w:rPr>
          <w:sz w:val="10"/>
          <w:lang w:val="fr-CH"/>
        </w:rPr>
      </w:pPr>
    </w:p>
    <w:p w:rsidR="00897C9E" w:rsidRPr="00C36150" w:rsidRDefault="00897C9E" w:rsidP="00897C9E">
      <w:pPr>
        <w:pStyle w:val="SingleTxt"/>
        <w:spacing w:after="0" w:line="120" w:lineRule="exact"/>
        <w:rPr>
          <w:sz w:val="10"/>
          <w:lang w:val="fr-CH"/>
        </w:rPr>
      </w:pPr>
    </w:p>
    <w:p w:rsidR="00AA4880" w:rsidRPr="00C36150" w:rsidRDefault="000A4F65" w:rsidP="000A4F6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C36150">
        <w:rPr>
          <w:lang w:val="fr-CH"/>
        </w:rPr>
        <w:tab/>
      </w:r>
      <w:r w:rsidR="00897C9E" w:rsidRPr="00C36150">
        <w:rPr>
          <w:lang w:val="fr-CH"/>
        </w:rPr>
        <w:t>7.</w:t>
      </w:r>
      <w:r w:rsidR="00897C9E" w:rsidRPr="00C36150">
        <w:rPr>
          <w:lang w:val="fr-CH"/>
        </w:rPr>
        <w:tab/>
      </w:r>
      <w:r w:rsidR="00AA4880" w:rsidRPr="00C36150">
        <w:rPr>
          <w:lang w:val="fr-CH"/>
        </w:rPr>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 xml:space="preserve">58 (Dispositifs arrière de protection </w:t>
      </w:r>
      <w:r w:rsidRPr="00C36150">
        <w:rPr>
          <w:lang w:val="fr-CH"/>
        </w:rPr>
        <w:br/>
      </w:r>
      <w:r w:rsidR="00AA4880" w:rsidRPr="00C36150">
        <w:rPr>
          <w:lang w:val="fr-CH"/>
        </w:rPr>
        <w:t>antiencastrement)</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Le Groupe de travail a décidé de reprendre l’examen de cette question sur la base d’une proposition concrète présentée par l’expert du Royaume-Uni, si elle est disponible.</w:t>
      </w:r>
    </w:p>
    <w:p w:rsidR="00AA4880" w:rsidRPr="00C36150" w:rsidRDefault="00AA4880" w:rsidP="00AA4880">
      <w:pPr>
        <w:pStyle w:val="SingleTxt"/>
        <w:rPr>
          <w:lang w:val="fr-CH"/>
        </w:rPr>
      </w:pPr>
      <w:r w:rsidRPr="00C36150">
        <w:rPr>
          <w:i/>
          <w:lang w:val="fr-CH"/>
        </w:rPr>
        <w:t>Document</w:t>
      </w:r>
      <w:r w:rsidR="000A4F65" w:rsidRPr="00C36150">
        <w:rPr>
          <w:i/>
          <w:lang w:val="fr-CH"/>
        </w:rPr>
        <w:t> </w:t>
      </w:r>
      <w:r w:rsidR="000A4F65" w:rsidRPr="00C36150">
        <w:rPr>
          <w:lang w:val="fr-CH"/>
        </w:rPr>
        <w:t>:</w:t>
      </w:r>
      <w:r w:rsidRPr="00C36150">
        <w:rPr>
          <w:lang w:val="fr-CH"/>
        </w:rPr>
        <w:t xml:space="preserve"> </w:t>
      </w:r>
      <w:r w:rsidRPr="00C36150">
        <w:rPr>
          <w:lang w:val="fr-CH"/>
        </w:rPr>
        <w:tab/>
        <w:t>(Document informel GRSG-108-32)</w:t>
      </w:r>
      <w:r w:rsidR="000A4F65" w:rsidRPr="00C36150">
        <w:rPr>
          <w:lang w:val="fr-CH"/>
        </w:rPr>
        <w:t>.</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00AA4880" w:rsidRPr="00C36150">
        <w:rPr>
          <w:lang w:val="fr-CH"/>
        </w:rPr>
        <w:t>8.</w:t>
      </w:r>
      <w:r w:rsidR="00AA4880" w:rsidRPr="00C36150">
        <w:rPr>
          <w:lang w:val="fr-CH"/>
        </w:rPr>
        <w:tab/>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 xml:space="preserve">60 (Identification des commandes </w:t>
      </w:r>
      <w:r w:rsidR="000A4F65" w:rsidRPr="00C36150">
        <w:rPr>
          <w:lang w:val="fr-CH"/>
        </w:rPr>
        <w:br/>
      </w:r>
      <w:r w:rsidR="00AA4880" w:rsidRPr="00C36150">
        <w:rPr>
          <w:lang w:val="fr-CH"/>
        </w:rPr>
        <w:t xml:space="preserve">manuelles, des témoins et des indicateurs </w:t>
      </w:r>
      <w:r w:rsidR="000A4F65" w:rsidRPr="00C36150">
        <w:rPr>
          <w:lang w:val="fr-CH"/>
        </w:rPr>
        <w:br/>
      </w:r>
      <w:r w:rsidR="00AA4880" w:rsidRPr="00C36150">
        <w:rPr>
          <w:lang w:val="fr-CH"/>
        </w:rPr>
        <w:t>pour cyclomoteurs/motocycles)</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Le Groupe de travail a décidé de reprendre l’examen de cette question sur la base d’une proposition concrète présentée par l’Association internationale des constructeurs de motocycles (IMMA), si elle est disponible.</w:t>
      </w:r>
    </w:p>
    <w:p w:rsidR="00AA4880" w:rsidRPr="00C36150" w:rsidRDefault="00AA4880" w:rsidP="00AA4880">
      <w:pPr>
        <w:pStyle w:val="SingleTxt"/>
        <w:rPr>
          <w:lang w:val="fr-CH"/>
        </w:rPr>
      </w:pPr>
      <w:r w:rsidRPr="00C36150">
        <w:rPr>
          <w:i/>
          <w:lang w:val="fr-CH"/>
        </w:rPr>
        <w:t>Document</w:t>
      </w:r>
      <w:r w:rsidR="00F83E21" w:rsidRPr="00C36150">
        <w:rPr>
          <w:i/>
          <w:lang w:val="fr-CH"/>
        </w:rPr>
        <w:t> </w:t>
      </w:r>
      <w:r w:rsidR="00F83E21" w:rsidRPr="00C36150">
        <w:rPr>
          <w:lang w:val="fr-CH"/>
        </w:rPr>
        <w:t>:</w:t>
      </w:r>
      <w:r w:rsidRPr="00C36150">
        <w:rPr>
          <w:lang w:val="fr-CH"/>
        </w:rPr>
        <w:t xml:space="preserve"> </w:t>
      </w:r>
      <w:r w:rsidRPr="00C36150">
        <w:rPr>
          <w:lang w:val="fr-CH"/>
        </w:rPr>
        <w:tab/>
        <w:t>(Document informel GRSG-108-47)</w:t>
      </w:r>
      <w:r w:rsidR="000A4F65" w:rsidRPr="00C36150">
        <w:rPr>
          <w:lang w:val="fr-CH"/>
        </w:rPr>
        <w:t>.</w:t>
      </w: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lastRenderedPageBreak/>
        <w:tab/>
        <w:t>9.</w:t>
      </w:r>
      <w:r w:rsidRPr="00C36150">
        <w:rPr>
          <w:lang w:val="fr-CH"/>
        </w:rPr>
        <w:tab/>
      </w:r>
      <w:r w:rsidR="00AA4880" w:rsidRPr="00C36150">
        <w:rPr>
          <w:lang w:val="fr-CH"/>
        </w:rPr>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 xml:space="preserve">67 </w:t>
      </w:r>
      <w:r w:rsidR="00F83E21" w:rsidRPr="00C36150">
        <w:rPr>
          <w:lang w:val="fr-CH"/>
        </w:rPr>
        <w:t>[</w:t>
      </w:r>
      <w:r w:rsidR="00AA4880" w:rsidRPr="00C36150">
        <w:rPr>
          <w:lang w:val="fr-CH"/>
        </w:rPr>
        <w:t xml:space="preserve">Équipements pour les gaz de pétrole </w:t>
      </w:r>
      <w:r w:rsidRPr="00C36150">
        <w:rPr>
          <w:lang w:val="fr-CH"/>
        </w:rPr>
        <w:br/>
      </w:r>
      <w:r w:rsidR="00AA4880" w:rsidRPr="00C36150">
        <w:rPr>
          <w:lang w:val="fr-CH"/>
        </w:rPr>
        <w:t>liquéfiés (GPL)</w:t>
      </w:r>
      <w:r w:rsidR="00F83E21" w:rsidRPr="00C36150">
        <w:rPr>
          <w:lang w:val="fr-CH"/>
        </w:rPr>
        <w:t>]</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spacing w:val="2"/>
          <w:lang w:val="fr-CH"/>
        </w:rPr>
      </w:pPr>
      <w:r w:rsidRPr="00C36150">
        <w:rPr>
          <w:spacing w:val="2"/>
          <w:lang w:val="fr-CH"/>
        </w:rPr>
        <w:tab/>
      </w:r>
      <w:r w:rsidR="00AA4880" w:rsidRPr="00C36150">
        <w:rPr>
          <w:spacing w:val="2"/>
          <w:lang w:val="fr-CH"/>
        </w:rPr>
        <w:t>Le Groupe de travail souhaitera peut-être réexaminer une proposition actualisée de l’Association européenne des gaz de pétrole liquéfiés (AEGPL) concernant de nouvelles dispositions à prendre pour éviter que du gaz de pétrole liquéfié (GPL) ne se déverse dans le réservoir d’essence ou de gazole (ECE/TRANS/WP.29/GRSG/2015/35).</w:t>
      </w:r>
    </w:p>
    <w:p w:rsidR="00AA4880" w:rsidRPr="00C36150" w:rsidRDefault="00C06929" w:rsidP="00AA4880">
      <w:pPr>
        <w:pStyle w:val="SingleTxt"/>
        <w:rPr>
          <w:lang w:val="fr-CH"/>
        </w:rPr>
      </w:pPr>
      <w:r w:rsidRPr="00C36150">
        <w:rPr>
          <w:lang w:val="fr-CH"/>
        </w:rPr>
        <w:tab/>
      </w:r>
      <w:r w:rsidR="00AA4880" w:rsidRPr="00C36150">
        <w:rPr>
          <w:lang w:val="fr-CH"/>
        </w:rPr>
        <w:t xml:space="preserve">Le Groupe de travail a décidé de reprendre l’examen de la nécessité d’étendre la portée du 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67 aux véhicules de la catégorie L sur la base d’une proposition concrète de l’AEGPL, si elle est disponible.</w:t>
      </w:r>
    </w:p>
    <w:p w:rsidR="00AA4880" w:rsidRPr="00C36150" w:rsidRDefault="00AA4880" w:rsidP="00C06929">
      <w:pPr>
        <w:pStyle w:val="SingleTxt"/>
        <w:rPr>
          <w:lang w:val="fr-CH"/>
        </w:rPr>
      </w:pPr>
      <w:r w:rsidRPr="00C36150">
        <w:rPr>
          <w:i/>
          <w:lang w:val="fr-CH"/>
        </w:rPr>
        <w:t>Document</w:t>
      </w:r>
      <w:r w:rsidR="000A4F65" w:rsidRPr="00C36150">
        <w:rPr>
          <w:i/>
          <w:lang w:val="fr-CH"/>
        </w:rPr>
        <w:t> </w:t>
      </w:r>
      <w:r w:rsidR="000A4F65" w:rsidRPr="00C36150">
        <w:rPr>
          <w:lang w:val="fr-CH"/>
        </w:rPr>
        <w:t>:</w:t>
      </w:r>
      <w:r w:rsidRPr="00C36150">
        <w:rPr>
          <w:lang w:val="fr-CH"/>
        </w:rPr>
        <w:tab/>
        <w:t>ECE/TRANS/WP.29/GRSG/2015/35</w:t>
      </w:r>
      <w:r w:rsidR="000A4F65" w:rsidRPr="00C36150">
        <w:rPr>
          <w:lang w:val="fr-CH"/>
        </w:rPr>
        <w:t>.</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00AA4880" w:rsidRPr="00C36150">
        <w:rPr>
          <w:lang w:val="fr-CH"/>
        </w:rPr>
        <w:t>10.</w:t>
      </w:r>
      <w:r w:rsidR="00AA4880" w:rsidRPr="00C36150">
        <w:rPr>
          <w:lang w:val="fr-CH"/>
        </w:rPr>
        <w:tab/>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73 (Dispositifs de protection latérale)</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Le Groupe de travail souhaitera peut-être examiner une proposition de l’expert du Royaume-Uni à ce sujet, si elle est disponible.</w:t>
      </w:r>
    </w:p>
    <w:p w:rsidR="00AA4880" w:rsidRPr="00C36150" w:rsidRDefault="00AA4880" w:rsidP="00AA4880">
      <w:pPr>
        <w:pStyle w:val="SingleTxt"/>
        <w:rPr>
          <w:lang w:val="fr-CH"/>
        </w:rPr>
      </w:pPr>
      <w:r w:rsidRPr="00C36150">
        <w:rPr>
          <w:i/>
          <w:lang w:val="fr-CH"/>
        </w:rPr>
        <w:t>Document</w:t>
      </w:r>
      <w:r w:rsidR="000A4F65" w:rsidRPr="00C36150">
        <w:rPr>
          <w:i/>
          <w:lang w:val="fr-CH"/>
        </w:rPr>
        <w:t> </w:t>
      </w:r>
      <w:r w:rsidR="000A4F65" w:rsidRPr="00C36150">
        <w:rPr>
          <w:lang w:val="fr-CH"/>
        </w:rPr>
        <w:t>:</w:t>
      </w:r>
      <w:r w:rsidRPr="00C36150">
        <w:rPr>
          <w:i/>
          <w:lang w:val="fr-CH"/>
        </w:rPr>
        <w:tab/>
      </w:r>
      <w:r w:rsidRPr="00C36150">
        <w:rPr>
          <w:lang w:val="fr-CH"/>
        </w:rPr>
        <w:t>(Document informel GRSG-108-32)</w:t>
      </w:r>
      <w:r w:rsidR="000A4F65" w:rsidRPr="00C36150">
        <w:rPr>
          <w:lang w:val="fr-CH"/>
        </w:rPr>
        <w:t>.</w:t>
      </w:r>
    </w:p>
    <w:p w:rsidR="00F83E21" w:rsidRPr="00C36150" w:rsidRDefault="00F83E21" w:rsidP="00F83E21">
      <w:pPr>
        <w:pStyle w:val="SingleTxt"/>
        <w:spacing w:after="0" w:line="120" w:lineRule="exact"/>
        <w:rPr>
          <w:sz w:val="10"/>
          <w:lang w:val="fr-CH"/>
        </w:rPr>
      </w:pPr>
    </w:p>
    <w:p w:rsidR="00F83E21" w:rsidRPr="00C36150" w:rsidRDefault="00F83E21" w:rsidP="00F83E21">
      <w:pPr>
        <w:pStyle w:val="SingleTxt"/>
        <w:spacing w:after="0" w:line="120" w:lineRule="exact"/>
        <w:rPr>
          <w:sz w:val="10"/>
          <w:lang w:val="fr-CH"/>
        </w:rPr>
      </w:pP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00AA4880" w:rsidRPr="00C36150">
        <w:rPr>
          <w:lang w:val="fr-CH"/>
        </w:rPr>
        <w:t>11.</w:t>
      </w:r>
      <w:r w:rsidR="00AA4880" w:rsidRPr="00C36150">
        <w:rPr>
          <w:lang w:val="fr-CH"/>
        </w:rPr>
        <w:tab/>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 xml:space="preserve">110 (Organes spéciaux pour l’alimentation </w:t>
      </w:r>
      <w:r w:rsidR="000A4F65" w:rsidRPr="00C36150">
        <w:rPr>
          <w:lang w:val="fr-CH"/>
        </w:rPr>
        <w:br/>
      </w:r>
      <w:r w:rsidR="00AA4880" w:rsidRPr="00C36150">
        <w:rPr>
          <w:lang w:val="fr-CH"/>
        </w:rPr>
        <w:t>en gaz naturel comprimé)</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Le Groupe de travail devrait examiner une proposition du Japon visant à supprimer toutes les dispositions relatives aux bouteilles en métal soudées (ECE/TRANS/WP.29/GRSG/2015/27)</w:t>
      </w:r>
      <w:r w:rsidR="00AA4880" w:rsidRPr="00C36150">
        <w:rPr>
          <w:bCs/>
          <w:lang w:val="fr-CH"/>
        </w:rPr>
        <w:t>.</w:t>
      </w:r>
    </w:p>
    <w:p w:rsidR="00AA4880" w:rsidRPr="00C36150" w:rsidRDefault="00C06929" w:rsidP="00AA4880">
      <w:pPr>
        <w:pStyle w:val="SingleTxt"/>
        <w:rPr>
          <w:lang w:val="fr-CH"/>
        </w:rPr>
      </w:pPr>
      <w:r w:rsidRPr="00C36150">
        <w:rPr>
          <w:lang w:val="fr-CH"/>
        </w:rPr>
        <w:tab/>
      </w:r>
      <w:r w:rsidR="00AA4880" w:rsidRPr="00C36150">
        <w:rPr>
          <w:lang w:val="fr-CH"/>
        </w:rPr>
        <w:t>Le GRSG a décidé de poursuivre l’examen d’une proposition révisée de l’OICA concernant l’utilisation de chauffages au gaz naturel comprimé (GNC) pour réchauffer le moteur avant l’usage du véhicule (ECE/TRANS/WP.29/GRSG/2015/36).</w:t>
      </w:r>
    </w:p>
    <w:p w:rsidR="00AA4880" w:rsidRPr="00C36150" w:rsidRDefault="00C06929" w:rsidP="00AA4880">
      <w:pPr>
        <w:pStyle w:val="SingleTxt"/>
        <w:rPr>
          <w:spacing w:val="2"/>
          <w:w w:val="102"/>
          <w:lang w:val="fr-CH"/>
        </w:rPr>
      </w:pPr>
      <w:r w:rsidRPr="00C36150">
        <w:rPr>
          <w:spacing w:val="2"/>
          <w:w w:val="102"/>
          <w:lang w:val="fr-CH"/>
        </w:rPr>
        <w:tab/>
      </w:r>
      <w:r w:rsidR="00AA4880" w:rsidRPr="00C36150">
        <w:rPr>
          <w:spacing w:val="2"/>
          <w:w w:val="102"/>
          <w:lang w:val="fr-CH"/>
        </w:rPr>
        <w:t xml:space="preserve">Le Groupe de travail souhaitera peut-être examiner une proposition révisée soumise par l’expert de l’Association internationale des véhicules fonctionnant au gaz naturel en vue d’élaborer des nouveaux amendements au Règlement </w:t>
      </w:r>
      <w:r w:rsidR="00AF1CA8" w:rsidRPr="00C36150">
        <w:rPr>
          <w:spacing w:val="2"/>
          <w:w w:val="102"/>
          <w:lang w:val="fr-CH"/>
        </w:rPr>
        <w:t>n</w:t>
      </w:r>
      <w:r w:rsidR="00AF1CA8" w:rsidRPr="00C36150">
        <w:rPr>
          <w:spacing w:val="2"/>
          <w:w w:val="102"/>
          <w:vertAlign w:val="superscript"/>
          <w:lang w:val="fr-CH"/>
        </w:rPr>
        <w:t>o</w:t>
      </w:r>
      <w:r w:rsidR="00AF1CA8" w:rsidRPr="00C36150">
        <w:rPr>
          <w:spacing w:val="2"/>
          <w:w w:val="102"/>
          <w:lang w:val="fr-CH"/>
        </w:rPr>
        <w:t> </w:t>
      </w:r>
      <w:r w:rsidR="00AA4880" w:rsidRPr="00C36150">
        <w:rPr>
          <w:spacing w:val="2"/>
          <w:w w:val="102"/>
          <w:lang w:val="fr-CH"/>
        </w:rPr>
        <w:t>110, si elle est disponible.</w:t>
      </w:r>
    </w:p>
    <w:p w:rsidR="00AA4880" w:rsidRPr="00C36150" w:rsidRDefault="00AA4880" w:rsidP="000A4F65">
      <w:pPr>
        <w:pStyle w:val="SingleTxt"/>
        <w:ind w:left="2693" w:hanging="1426"/>
        <w:rPr>
          <w:lang w:val="fr-CH"/>
        </w:rPr>
      </w:pPr>
      <w:r w:rsidRPr="00C36150">
        <w:rPr>
          <w:i/>
          <w:lang w:val="fr-CH"/>
        </w:rPr>
        <w:t>Documents</w:t>
      </w:r>
      <w:r w:rsidR="00F83E21" w:rsidRPr="00C36150">
        <w:rPr>
          <w:i/>
          <w:lang w:val="fr-CH"/>
        </w:rPr>
        <w:t> </w:t>
      </w:r>
      <w:r w:rsidR="00F83E21" w:rsidRPr="00C36150">
        <w:rPr>
          <w:lang w:val="fr-CH"/>
        </w:rPr>
        <w:t>:</w:t>
      </w:r>
      <w:r w:rsidRPr="00C36150">
        <w:rPr>
          <w:i/>
          <w:lang w:val="fr-CH"/>
        </w:rPr>
        <w:tab/>
      </w:r>
      <w:r w:rsidRPr="00C36150">
        <w:rPr>
          <w:lang w:val="fr-CH"/>
        </w:rPr>
        <w:t>ECE/TRANS/WP.29/GRSG/2015/27</w:t>
      </w:r>
      <w:r w:rsidR="000A4F65" w:rsidRPr="00C36150">
        <w:rPr>
          <w:lang w:val="fr-CH"/>
        </w:rPr>
        <w:t xml:space="preserve">, </w:t>
      </w:r>
      <w:r w:rsidRPr="00C36150">
        <w:rPr>
          <w:lang w:val="fr-CH"/>
        </w:rPr>
        <w:t>ECE/TRANS/WP.29/GRSG/2015/36</w:t>
      </w:r>
      <w:r w:rsidR="000A4F65" w:rsidRPr="00C36150">
        <w:rPr>
          <w:lang w:val="fr-CH"/>
        </w:rPr>
        <w:t>.</w:t>
      </w:r>
    </w:p>
    <w:p w:rsidR="00C06929"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C06929"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AA4880" w:rsidRPr="00C36150" w:rsidRDefault="00AA4880"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t>12.</w:t>
      </w:r>
      <w:r w:rsidRPr="00C36150">
        <w:rPr>
          <w:lang w:val="fr-CH"/>
        </w:rPr>
        <w:tab/>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Pr="00C36150">
        <w:rPr>
          <w:lang w:val="fr-CH"/>
        </w:rPr>
        <w:t>116 (Systèmes d’alarme pour véhicules)</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 xml:space="preserve">Le Groupe de travail souhaitera sans doute être informé du statut des documents ECE/TRANS/WP.29/2015/87 et ECE/TRANS/WP.29/2015/91 qui visent à supprimer les indicateurs optiques non conformes au 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48.</w:t>
      </w:r>
    </w:p>
    <w:p w:rsidR="00AA4880" w:rsidRPr="00C36150" w:rsidRDefault="00C06929" w:rsidP="00AA4880">
      <w:pPr>
        <w:pStyle w:val="SingleTxt"/>
        <w:rPr>
          <w:spacing w:val="2"/>
          <w:lang w:val="fr-CH"/>
        </w:rPr>
      </w:pPr>
      <w:r w:rsidRPr="00C36150">
        <w:rPr>
          <w:spacing w:val="2"/>
          <w:lang w:val="fr-CH"/>
        </w:rPr>
        <w:tab/>
      </w:r>
      <w:r w:rsidR="00AA4880" w:rsidRPr="00C36150">
        <w:rPr>
          <w:spacing w:val="2"/>
          <w:lang w:val="fr-CH"/>
        </w:rPr>
        <w:t>Le GRSG a décidé de reprendre l’examen d’une proposition révisée de l’</w:t>
      </w:r>
      <w:r w:rsidR="00AA4880" w:rsidRPr="00C36150">
        <w:rPr>
          <w:bCs/>
          <w:spacing w:val="2"/>
          <w:lang w:val="fr-CH"/>
        </w:rPr>
        <w:t>OICA qui vise à permettre l’introduction de différentes gammes de tensions de fonctionnement selon la technologie de batterie utilisée</w:t>
      </w:r>
      <w:r w:rsidR="00AA4880" w:rsidRPr="00C36150">
        <w:rPr>
          <w:spacing w:val="2"/>
          <w:lang w:val="fr-CH"/>
        </w:rPr>
        <w:t xml:space="preserve"> </w:t>
      </w:r>
      <w:r w:rsidR="00AA4880" w:rsidRPr="00C36150">
        <w:rPr>
          <w:bCs/>
          <w:spacing w:val="2"/>
          <w:lang w:val="fr-CH"/>
        </w:rPr>
        <w:t>(</w:t>
      </w:r>
      <w:r w:rsidR="00AA4880" w:rsidRPr="00C36150">
        <w:rPr>
          <w:spacing w:val="2"/>
          <w:lang w:val="fr-CH"/>
        </w:rPr>
        <w:t>ECE/TRANS/WP.29/GRSG/2015/7), si elle est disponible.</w:t>
      </w:r>
    </w:p>
    <w:p w:rsidR="00AA4880" w:rsidRPr="00C36150" w:rsidRDefault="00C06929" w:rsidP="00AA4880">
      <w:pPr>
        <w:pStyle w:val="SingleTxt"/>
        <w:rPr>
          <w:lang w:val="fr-CH"/>
        </w:rPr>
      </w:pPr>
      <w:r w:rsidRPr="00C36150">
        <w:rPr>
          <w:lang w:val="fr-CH"/>
        </w:rPr>
        <w:tab/>
      </w:r>
      <w:r w:rsidR="00AA4880" w:rsidRPr="00C36150">
        <w:rPr>
          <w:lang w:val="fr-CH"/>
        </w:rPr>
        <w:t xml:space="preserve">Le Groupe de travail souhaitera peut-être examiner, si elle est disponible, une proposition de l’OICA visant à préciser le champ d’application du 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116 et son application dans le cadre de la Mise au point d’une homologation de type internationale de l’ensemble du véhicule.</w:t>
      </w:r>
    </w:p>
    <w:p w:rsidR="00AA4880" w:rsidRPr="00C36150" w:rsidRDefault="00AA4880" w:rsidP="000A4F65">
      <w:pPr>
        <w:pStyle w:val="SingleTxt"/>
        <w:ind w:left="2693" w:hanging="1426"/>
        <w:jc w:val="left"/>
        <w:rPr>
          <w:spacing w:val="2"/>
          <w:w w:val="100"/>
          <w:lang w:val="fr-CH"/>
        </w:rPr>
      </w:pPr>
      <w:r w:rsidRPr="00C36150">
        <w:rPr>
          <w:i/>
          <w:lang w:val="fr-CH"/>
        </w:rPr>
        <w:t>Documents</w:t>
      </w:r>
      <w:r w:rsidR="00F83E21" w:rsidRPr="00C36150">
        <w:rPr>
          <w:i/>
          <w:lang w:val="fr-CH"/>
        </w:rPr>
        <w:t> </w:t>
      </w:r>
      <w:r w:rsidR="00F83E21" w:rsidRPr="00C36150">
        <w:rPr>
          <w:lang w:val="fr-CH"/>
        </w:rPr>
        <w:t>:</w:t>
      </w:r>
      <w:r w:rsidRPr="00C36150">
        <w:rPr>
          <w:i/>
          <w:lang w:val="fr-CH"/>
        </w:rPr>
        <w:tab/>
      </w:r>
      <w:r w:rsidRPr="00C36150">
        <w:rPr>
          <w:lang w:val="fr-CH"/>
        </w:rPr>
        <w:t>ECE/TRANS/WP.29/2015/87</w:t>
      </w:r>
      <w:r w:rsidR="000A4F65" w:rsidRPr="00C36150">
        <w:rPr>
          <w:lang w:val="fr-CH"/>
        </w:rPr>
        <w:t xml:space="preserve">, </w:t>
      </w:r>
      <w:r w:rsidRPr="00C36150">
        <w:rPr>
          <w:lang w:val="fr-CH"/>
        </w:rPr>
        <w:t>ECE/TRANS/WP.29/2015/91</w:t>
      </w:r>
      <w:r w:rsidR="000A4F65" w:rsidRPr="00C36150">
        <w:rPr>
          <w:lang w:val="fr-CH"/>
        </w:rPr>
        <w:t xml:space="preserve">; </w:t>
      </w:r>
      <w:r w:rsidRPr="00C36150">
        <w:rPr>
          <w:spacing w:val="2"/>
          <w:w w:val="100"/>
          <w:lang w:val="fr-CH"/>
        </w:rPr>
        <w:t>ECE/TRANS/WP.29/GRSG/2015/7</w:t>
      </w:r>
      <w:r w:rsidR="000A4F65" w:rsidRPr="00C36150">
        <w:rPr>
          <w:spacing w:val="2"/>
          <w:w w:val="100"/>
          <w:lang w:val="fr-CH"/>
        </w:rPr>
        <w:t xml:space="preserve">; </w:t>
      </w:r>
      <w:r w:rsidRPr="00C36150">
        <w:rPr>
          <w:spacing w:val="2"/>
          <w:w w:val="100"/>
          <w:lang w:val="fr-CH"/>
        </w:rPr>
        <w:t>(Document informel GRSG-108-49)</w:t>
      </w:r>
      <w:r w:rsidR="00C06929" w:rsidRPr="00C36150">
        <w:rPr>
          <w:spacing w:val="2"/>
          <w:w w:val="100"/>
          <w:lang w:val="fr-CH"/>
        </w:rPr>
        <w:t>.</w:t>
      </w:r>
    </w:p>
    <w:p w:rsidR="00AA4880" w:rsidRPr="00C36150" w:rsidRDefault="00AA4880"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lastRenderedPageBreak/>
        <w:tab/>
        <w:t>13.</w:t>
      </w:r>
      <w:r w:rsidRPr="00C36150">
        <w:rPr>
          <w:lang w:val="fr-CH"/>
        </w:rPr>
        <w:tab/>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Pr="00C36150">
        <w:rPr>
          <w:lang w:val="fr-CH"/>
        </w:rPr>
        <w:t>118 (Comportement au feu)</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Le Groupe de travail a décidé de poursuivre l’examen de propositions soumises par l’Allemagne (ECE/TRANS/WP.29/GRSG/2015/28 et ECE/TRANS/WP.29/GRSG/</w:t>
      </w:r>
      <w:r w:rsidR="00AF1CA8" w:rsidRPr="00C36150">
        <w:rPr>
          <w:lang w:val="fr-CH"/>
        </w:rPr>
        <w:br/>
      </w:r>
      <w:r w:rsidR="00AA4880" w:rsidRPr="00C36150">
        <w:rPr>
          <w:lang w:val="fr-CH"/>
        </w:rPr>
        <w:t xml:space="preserve">2015/29) qui visent à clarifier le champ d’application, à actualiser les références aux normes </w:t>
      </w:r>
      <w:r w:rsidR="00AA4880" w:rsidRPr="00C36150">
        <w:rPr>
          <w:bCs/>
          <w:lang w:val="fr-CH"/>
        </w:rPr>
        <w:t>ISO et à ajouter des prescriptions supplémentaires pour les câbles électriques et les manchons de câble.</w:t>
      </w:r>
    </w:p>
    <w:p w:rsidR="00AA4880" w:rsidRPr="00C36150" w:rsidRDefault="00AA4880" w:rsidP="00C06929">
      <w:pPr>
        <w:pStyle w:val="SingleTxt"/>
        <w:ind w:left="2693" w:hanging="1426"/>
        <w:rPr>
          <w:lang w:val="fr-CH"/>
        </w:rPr>
      </w:pPr>
      <w:r w:rsidRPr="00C36150">
        <w:rPr>
          <w:i/>
          <w:lang w:val="fr-CH"/>
        </w:rPr>
        <w:t>Documents</w:t>
      </w:r>
      <w:r w:rsidR="00F83E21" w:rsidRPr="00C36150">
        <w:rPr>
          <w:i/>
          <w:lang w:val="fr-CH"/>
        </w:rPr>
        <w:t> </w:t>
      </w:r>
      <w:r w:rsidR="00F83E21" w:rsidRPr="00C36150">
        <w:rPr>
          <w:lang w:val="fr-CH"/>
        </w:rPr>
        <w:t>:</w:t>
      </w:r>
      <w:r w:rsidRPr="00C36150">
        <w:rPr>
          <w:i/>
          <w:lang w:val="fr-CH"/>
        </w:rPr>
        <w:tab/>
      </w:r>
      <w:r w:rsidRPr="00C36150">
        <w:rPr>
          <w:lang w:val="fr-CH"/>
        </w:rPr>
        <w:t>ECE/TRANS/WP.29/GRSG/2015/28</w:t>
      </w:r>
      <w:r w:rsidR="00F83E21" w:rsidRPr="00C36150">
        <w:rPr>
          <w:lang w:val="fr-CH"/>
        </w:rPr>
        <w:t xml:space="preserve">, </w:t>
      </w:r>
      <w:r w:rsidRPr="00C36150">
        <w:rPr>
          <w:lang w:val="fr-CH"/>
        </w:rPr>
        <w:t>ECE/TRANS/WP.29/GRSG/2015/29</w:t>
      </w:r>
      <w:r w:rsidR="00C06929" w:rsidRPr="00C36150">
        <w:rPr>
          <w:lang w:val="fr-CH"/>
        </w:rPr>
        <w:t>.</w:t>
      </w:r>
    </w:p>
    <w:p w:rsidR="00F83E21" w:rsidRPr="00C36150" w:rsidRDefault="00F83E21" w:rsidP="00F83E21">
      <w:pPr>
        <w:pStyle w:val="SingleTxt"/>
        <w:spacing w:after="0" w:line="120" w:lineRule="exact"/>
        <w:ind w:left="2693" w:hanging="1426"/>
        <w:rPr>
          <w:sz w:val="10"/>
          <w:lang w:val="fr-CH"/>
        </w:rPr>
      </w:pPr>
    </w:p>
    <w:p w:rsidR="00F83E21" w:rsidRPr="00C36150" w:rsidRDefault="00F83E21" w:rsidP="00F83E21">
      <w:pPr>
        <w:pStyle w:val="SingleTxt"/>
        <w:spacing w:after="0" w:line="120" w:lineRule="exact"/>
        <w:ind w:left="2693" w:hanging="1426"/>
        <w:rPr>
          <w:sz w:val="10"/>
          <w:lang w:val="fr-CH"/>
        </w:rPr>
      </w:pPr>
    </w:p>
    <w:p w:rsidR="00AA4880" w:rsidRPr="00C36150" w:rsidRDefault="00AA4880"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t>14.</w:t>
      </w:r>
      <w:r w:rsidRPr="00C36150">
        <w:rPr>
          <w:lang w:val="fr-CH"/>
        </w:rPr>
        <w:tab/>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Pr="00C36150">
        <w:rPr>
          <w:lang w:val="fr-CH"/>
        </w:rPr>
        <w:t xml:space="preserve">121 (Identification des commandes </w:t>
      </w:r>
      <w:r w:rsidR="00C06929" w:rsidRPr="00C36150">
        <w:rPr>
          <w:lang w:val="fr-CH"/>
        </w:rPr>
        <w:br/>
      </w:r>
      <w:r w:rsidRPr="00C36150">
        <w:rPr>
          <w:lang w:val="fr-CH"/>
        </w:rPr>
        <w:t>manuelles, des témoins et des indicateurs)</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Le Groupe de travail devrait reprendre l’examen du document ECE/TRANS/WP.29/GRSG/2014/12 dans lequel il est proposé d’adapter au progrès technique les dispositions relatives aux écrans multifonctions, avec un document justificatif détaillé de l’OICA.</w:t>
      </w:r>
    </w:p>
    <w:p w:rsidR="00AA4880" w:rsidRPr="00C36150" w:rsidRDefault="00C06929" w:rsidP="00AA4880">
      <w:pPr>
        <w:pStyle w:val="SingleTxt"/>
        <w:rPr>
          <w:lang w:val="fr-CH"/>
        </w:rPr>
      </w:pPr>
      <w:r w:rsidRPr="00C36150">
        <w:rPr>
          <w:lang w:val="fr-CH"/>
        </w:rPr>
        <w:tab/>
      </w:r>
      <w:r w:rsidR="00AA4880" w:rsidRPr="00C36150">
        <w:rPr>
          <w:lang w:val="fr-CH"/>
        </w:rPr>
        <w:t>Le GRSG a décidé de reprendre l’examen du document ECE/TRANS/WP.29/GRSG/2015/24 présenté par la Fédération de Russie qui propose d’ajouter un nouveau symbole pour les appels d’urgence et les témoins.</w:t>
      </w:r>
    </w:p>
    <w:p w:rsidR="00AA4880" w:rsidRPr="00C36150" w:rsidRDefault="00AA4880" w:rsidP="00C06929">
      <w:pPr>
        <w:pStyle w:val="SingleTxt"/>
        <w:ind w:left="2693" w:hanging="1426"/>
        <w:rPr>
          <w:lang w:val="fr-CH"/>
        </w:rPr>
      </w:pPr>
      <w:r w:rsidRPr="00C36150">
        <w:rPr>
          <w:i/>
          <w:lang w:val="fr-CH"/>
        </w:rPr>
        <w:t>Documents</w:t>
      </w:r>
      <w:r w:rsidR="00F83E21" w:rsidRPr="00C36150">
        <w:rPr>
          <w:i/>
          <w:lang w:val="fr-CH"/>
        </w:rPr>
        <w:t> </w:t>
      </w:r>
      <w:r w:rsidR="00F83E21" w:rsidRPr="00C36150">
        <w:rPr>
          <w:lang w:val="fr-CH"/>
        </w:rPr>
        <w:t>:</w:t>
      </w:r>
      <w:r w:rsidRPr="00C36150">
        <w:rPr>
          <w:lang w:val="fr-CH"/>
        </w:rPr>
        <w:tab/>
        <w:t>ECE/TRANS/WP.29/GRSG/2014/12</w:t>
      </w:r>
      <w:r w:rsidR="00F83E21" w:rsidRPr="00C36150">
        <w:rPr>
          <w:lang w:val="fr-CH"/>
        </w:rPr>
        <w:t xml:space="preserve">; </w:t>
      </w:r>
      <w:r w:rsidRPr="00C36150">
        <w:rPr>
          <w:lang w:val="fr-CH"/>
        </w:rPr>
        <w:t>ECE/TRANS/WP.29/GRSG/2015/24</w:t>
      </w:r>
      <w:r w:rsidR="00C06929" w:rsidRPr="00C36150">
        <w:rPr>
          <w:lang w:val="fr-CH"/>
        </w:rPr>
        <w:t>.</w:t>
      </w:r>
    </w:p>
    <w:p w:rsidR="00C06929" w:rsidRPr="00C36150" w:rsidRDefault="00C06929" w:rsidP="00C06929">
      <w:pPr>
        <w:pStyle w:val="SingleTxt"/>
        <w:spacing w:after="0" w:line="120" w:lineRule="exact"/>
        <w:ind w:left="2693" w:hanging="1426"/>
        <w:rPr>
          <w:sz w:val="10"/>
          <w:lang w:val="fr-CH"/>
        </w:rPr>
      </w:pPr>
    </w:p>
    <w:p w:rsidR="00C06929" w:rsidRPr="00C36150" w:rsidRDefault="00C06929" w:rsidP="00C06929">
      <w:pPr>
        <w:pStyle w:val="SingleTxt"/>
        <w:spacing w:after="0" w:line="120" w:lineRule="exact"/>
        <w:ind w:left="2693" w:hanging="1426"/>
        <w:rPr>
          <w:sz w:val="10"/>
          <w:lang w:val="fr-CH"/>
        </w:rPr>
      </w:pPr>
    </w:p>
    <w:p w:rsidR="00AA4880" w:rsidRPr="00C36150" w:rsidRDefault="00AA4880"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t>15.</w:t>
      </w:r>
      <w:r w:rsidRPr="00C36150">
        <w:rPr>
          <w:lang w:val="fr-CH"/>
        </w:rPr>
        <w:tab/>
        <w:t xml:space="preserve">Règlement </w:t>
      </w:r>
      <w:r w:rsidR="00F83E21" w:rsidRPr="00C36150">
        <w:rPr>
          <w:lang w:val="fr-CH"/>
        </w:rPr>
        <w:t>n</w:t>
      </w:r>
      <w:r w:rsidR="00F83E21" w:rsidRPr="00C36150">
        <w:rPr>
          <w:vertAlign w:val="superscript"/>
          <w:lang w:val="fr-CH"/>
        </w:rPr>
        <w:t>o</w:t>
      </w:r>
      <w:r w:rsidR="00F83E21" w:rsidRPr="00C36150">
        <w:rPr>
          <w:lang w:val="fr-CH"/>
        </w:rPr>
        <w:t> </w:t>
      </w:r>
      <w:r w:rsidRPr="00C36150">
        <w:rPr>
          <w:lang w:val="fr-CH"/>
        </w:rPr>
        <w:t xml:space="preserve">125 (Champ de vision du conducteur </w:t>
      </w:r>
      <w:r w:rsidR="00C06929" w:rsidRPr="00C36150">
        <w:rPr>
          <w:lang w:val="fr-CH"/>
        </w:rPr>
        <w:br/>
      </w:r>
      <w:r w:rsidRPr="00C36150">
        <w:rPr>
          <w:lang w:val="fr-CH"/>
        </w:rPr>
        <w:t>vers l’avant)</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spacing w:val="2"/>
          <w:lang w:val="fr-CH"/>
        </w:rPr>
      </w:pPr>
      <w:r w:rsidRPr="00C36150">
        <w:rPr>
          <w:spacing w:val="2"/>
          <w:lang w:val="fr-CH"/>
        </w:rPr>
        <w:tab/>
      </w:r>
      <w:r w:rsidR="00AA4880" w:rsidRPr="00C36150">
        <w:rPr>
          <w:spacing w:val="2"/>
          <w:lang w:val="fr-CH"/>
        </w:rPr>
        <w:t>Le Groupe de travail a décidé de reprendre l’examen du document ECE/TRANS/WP.29/GRSG/2015/8 sur la base d’une proposition actualisée présentée par l’Allemagne concernant de nouvelles dispositions en matière de vision indirectes dans le cas de véhicules équipés de systèmes à caméra et moniteur, si elle est disponible.</w:t>
      </w:r>
    </w:p>
    <w:p w:rsidR="00AA4880" w:rsidRPr="00C36150" w:rsidRDefault="00C06929" w:rsidP="00AA4880">
      <w:pPr>
        <w:pStyle w:val="SingleTxt"/>
        <w:rPr>
          <w:lang w:val="fr-CH"/>
        </w:rPr>
      </w:pPr>
      <w:r w:rsidRPr="00C36150">
        <w:rPr>
          <w:lang w:val="fr-CH"/>
        </w:rPr>
        <w:tab/>
      </w:r>
      <w:r w:rsidR="00AA4880" w:rsidRPr="00C36150">
        <w:rPr>
          <w:lang w:val="fr-CH"/>
        </w:rPr>
        <w:t>Le GRSG devrait examiner une proposition du Royaume-Uni d’améliorer les dispositions concernant le champ de vision des conducteurs de véhicules de la catégorie N</w:t>
      </w:r>
      <w:r w:rsidR="00AA4880" w:rsidRPr="00C36150">
        <w:rPr>
          <w:vertAlign w:val="subscript"/>
          <w:lang w:val="fr-CH"/>
        </w:rPr>
        <w:t>1</w:t>
      </w:r>
      <w:r w:rsidR="00AA4880" w:rsidRPr="00C36150">
        <w:rPr>
          <w:lang w:val="fr-CH"/>
        </w:rPr>
        <w:t>, si elle est disponible.</w:t>
      </w:r>
    </w:p>
    <w:p w:rsidR="00AA4880" w:rsidRPr="00C36150" w:rsidRDefault="00AA4880" w:rsidP="00C06929">
      <w:pPr>
        <w:pStyle w:val="SingleTxt"/>
        <w:ind w:left="2693" w:hanging="1426"/>
        <w:rPr>
          <w:spacing w:val="2"/>
          <w:w w:val="100"/>
          <w:lang w:val="fr-CH"/>
        </w:rPr>
      </w:pPr>
      <w:r w:rsidRPr="00C36150">
        <w:rPr>
          <w:i/>
          <w:spacing w:val="2"/>
          <w:w w:val="100"/>
          <w:lang w:val="fr-CH"/>
        </w:rPr>
        <w:t>Documents</w:t>
      </w:r>
      <w:r w:rsidR="00F83E21" w:rsidRPr="00C36150">
        <w:rPr>
          <w:i/>
          <w:spacing w:val="2"/>
          <w:w w:val="100"/>
          <w:lang w:val="fr-CH"/>
        </w:rPr>
        <w:t> </w:t>
      </w:r>
      <w:r w:rsidR="00F83E21" w:rsidRPr="00C36150">
        <w:rPr>
          <w:spacing w:val="2"/>
          <w:w w:val="100"/>
          <w:lang w:val="fr-CH"/>
        </w:rPr>
        <w:t>:</w:t>
      </w:r>
      <w:r w:rsidRPr="00C36150">
        <w:rPr>
          <w:spacing w:val="2"/>
          <w:w w:val="100"/>
          <w:lang w:val="fr-CH"/>
        </w:rPr>
        <w:tab/>
        <w:t>ECE/TRANS/WP.29/GRSG/2015/8</w:t>
      </w:r>
      <w:r w:rsidR="00F83E21" w:rsidRPr="00C36150">
        <w:rPr>
          <w:spacing w:val="2"/>
          <w:w w:val="100"/>
          <w:lang w:val="fr-CH"/>
        </w:rPr>
        <w:t xml:space="preserve">, </w:t>
      </w:r>
      <w:r w:rsidRPr="00C36150">
        <w:rPr>
          <w:spacing w:val="2"/>
          <w:w w:val="100"/>
          <w:lang w:val="fr-CH"/>
        </w:rPr>
        <w:t>(Document informel GRSG-104-33)</w:t>
      </w:r>
      <w:r w:rsidR="00C06929" w:rsidRPr="00C36150">
        <w:rPr>
          <w:spacing w:val="2"/>
          <w:w w:val="100"/>
          <w:lang w:val="fr-CH"/>
        </w:rPr>
        <w:t>.</w:t>
      </w:r>
    </w:p>
    <w:p w:rsidR="00C06929"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C06929"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00AA4880" w:rsidRPr="00C36150">
        <w:rPr>
          <w:lang w:val="fr-CH"/>
        </w:rPr>
        <w:t>16.</w:t>
      </w:r>
      <w:r w:rsidR="00AA4880" w:rsidRPr="00C36150">
        <w:rPr>
          <w:lang w:val="fr-CH"/>
        </w:rPr>
        <w:tab/>
        <w:t>Systèmes d’appel d’urgence en cas d’accident (AECS)</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 xml:space="preserve">Le Groupe de travail sera informé par le Président du groupe de travail informel des AECS de l’état d’avancement de l’élaboration d’un nouveau projet de Règlement. </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00AA4880" w:rsidRPr="00C36150">
        <w:rPr>
          <w:lang w:val="fr-CH"/>
        </w:rPr>
        <w:t>17.</w:t>
      </w:r>
      <w:r w:rsidR="00AA4880" w:rsidRPr="00C36150">
        <w:rPr>
          <w:lang w:val="fr-CH"/>
        </w:rPr>
        <w:tab/>
        <w:t xml:space="preserve">Homologation de type internationale de l’ensemble </w:t>
      </w:r>
      <w:r w:rsidRPr="00C36150">
        <w:rPr>
          <w:lang w:val="fr-CH"/>
        </w:rPr>
        <w:br/>
      </w:r>
      <w:r w:rsidR="00AA4880" w:rsidRPr="00C36150">
        <w:rPr>
          <w:lang w:val="fr-CH"/>
        </w:rPr>
        <w:t>du véhicule (IWVTA)</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 xml:space="preserve">Le Groupe de travail souhaitera sans doute que l’ambassadeur pour l’homologation de type internationale de l’ensemble du véhicule l’informe de l’état d’avancement des travaux sur les questions qui restent en suspens, plus particulièrement en ce qui concerne l’application du Règlement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118.</w:t>
      </w:r>
    </w:p>
    <w:p w:rsidR="00AA4880" w:rsidRPr="00C36150" w:rsidRDefault="00AA4880" w:rsidP="00AA4880">
      <w:pPr>
        <w:pStyle w:val="SingleTxt"/>
        <w:rPr>
          <w:lang w:val="fr-CH"/>
        </w:rPr>
      </w:pPr>
      <w:r w:rsidRPr="00C36150">
        <w:rPr>
          <w:i/>
          <w:lang w:val="fr-CH"/>
        </w:rPr>
        <w:t>Document</w:t>
      </w:r>
      <w:r w:rsidR="00F83E21" w:rsidRPr="00C36150">
        <w:rPr>
          <w:i/>
          <w:lang w:val="fr-CH"/>
        </w:rPr>
        <w:t> </w:t>
      </w:r>
      <w:r w:rsidR="00F83E21" w:rsidRPr="00C36150">
        <w:rPr>
          <w:lang w:val="fr-CH"/>
        </w:rPr>
        <w:t>:</w:t>
      </w:r>
      <w:r w:rsidRPr="00C36150">
        <w:rPr>
          <w:lang w:val="fr-CH"/>
        </w:rPr>
        <w:tab/>
        <w:t>(Document informel GRSG-104-39-Rev.3)</w:t>
      </w:r>
      <w:r w:rsidR="00C06929" w:rsidRPr="00C36150">
        <w:rPr>
          <w:lang w:val="fr-CH"/>
        </w:rPr>
        <w:t>.</w:t>
      </w:r>
    </w:p>
    <w:p w:rsidR="00C06929" w:rsidRPr="00C36150" w:rsidRDefault="00C06929" w:rsidP="00C06929">
      <w:pPr>
        <w:pStyle w:val="SingleTxt"/>
        <w:spacing w:after="0" w:line="120" w:lineRule="exact"/>
        <w:rPr>
          <w:sz w:val="10"/>
          <w:lang w:val="fr-CH"/>
        </w:rPr>
      </w:pP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lastRenderedPageBreak/>
        <w:tab/>
      </w:r>
      <w:r w:rsidR="00AA4880" w:rsidRPr="00C36150">
        <w:rPr>
          <w:lang w:val="fr-CH"/>
        </w:rPr>
        <w:t>18.</w:t>
      </w:r>
      <w:r w:rsidR="00AA4880" w:rsidRPr="00C36150">
        <w:rPr>
          <w:lang w:val="fr-CH"/>
        </w:rPr>
        <w:tab/>
        <w:t xml:space="preserve">Résolution d’ensemble sur la construction des véhicules </w:t>
      </w:r>
      <w:r w:rsidRPr="00C36150">
        <w:rPr>
          <w:lang w:val="fr-CH"/>
        </w:rPr>
        <w:br/>
      </w:r>
      <w:r w:rsidR="00AA4880" w:rsidRPr="00C36150">
        <w:rPr>
          <w:lang w:val="fr-CH"/>
        </w:rPr>
        <w:t>(R.E.3)</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spacing w:val="2"/>
          <w:lang w:val="fr-CH"/>
        </w:rPr>
      </w:pPr>
      <w:r w:rsidRPr="00C36150">
        <w:rPr>
          <w:spacing w:val="2"/>
          <w:lang w:val="fr-CH"/>
        </w:rPr>
        <w:tab/>
      </w:r>
      <w:r w:rsidR="00AA4880" w:rsidRPr="00C36150">
        <w:rPr>
          <w:spacing w:val="2"/>
          <w:lang w:val="fr-CH"/>
        </w:rPr>
        <w:t xml:space="preserve">Le Groupe de travail souhaitera peut-être examiner une proposition (ECE/TRANS/WP.29/GRSG/2015/30) de l’Association internationale des constructeurs de motocycles (IMMA) concernant la définition de </w:t>
      </w:r>
      <w:r w:rsidR="00F83E21" w:rsidRPr="00C36150">
        <w:rPr>
          <w:spacing w:val="2"/>
          <w:lang w:val="fr-CH"/>
        </w:rPr>
        <w:t>« </w:t>
      </w:r>
      <w:r w:rsidR="00AA4880" w:rsidRPr="00C36150">
        <w:rPr>
          <w:spacing w:val="2"/>
          <w:lang w:val="fr-CH"/>
        </w:rPr>
        <w:t>roues jumelées</w:t>
      </w:r>
      <w:r w:rsidR="00F83E21" w:rsidRPr="00C36150">
        <w:rPr>
          <w:spacing w:val="2"/>
          <w:lang w:val="fr-CH"/>
        </w:rPr>
        <w:t> »</w:t>
      </w:r>
      <w:r w:rsidR="00AA4880" w:rsidRPr="00C36150">
        <w:rPr>
          <w:spacing w:val="2"/>
          <w:lang w:val="fr-CH"/>
        </w:rPr>
        <w:t>.</w:t>
      </w:r>
    </w:p>
    <w:p w:rsidR="00AA4880" w:rsidRPr="00C36150" w:rsidRDefault="00AA4880" w:rsidP="00AA4880">
      <w:pPr>
        <w:pStyle w:val="SingleTxt"/>
        <w:rPr>
          <w:lang w:val="fr-CH"/>
        </w:rPr>
      </w:pPr>
      <w:r w:rsidRPr="00C36150">
        <w:rPr>
          <w:i/>
          <w:lang w:val="fr-CH"/>
        </w:rPr>
        <w:t>Document</w:t>
      </w:r>
      <w:r w:rsidR="00F83E21" w:rsidRPr="00C36150">
        <w:rPr>
          <w:i/>
          <w:lang w:val="fr-CH"/>
        </w:rPr>
        <w:t> </w:t>
      </w:r>
      <w:r w:rsidR="00F83E21" w:rsidRPr="00C36150">
        <w:rPr>
          <w:lang w:val="fr-CH"/>
        </w:rPr>
        <w:t>:</w:t>
      </w:r>
      <w:r w:rsidRPr="00C36150">
        <w:rPr>
          <w:i/>
          <w:lang w:val="fr-CH"/>
        </w:rPr>
        <w:tab/>
      </w:r>
      <w:r w:rsidRPr="00C36150">
        <w:rPr>
          <w:lang w:val="fr-CH"/>
        </w:rPr>
        <w:t>ECE/TRANS/WP.29/GRSG/2015/30</w:t>
      </w:r>
      <w:r w:rsidR="00C06929" w:rsidRPr="00C36150">
        <w:rPr>
          <w:lang w:val="fr-CH"/>
        </w:rPr>
        <w:t>.</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00AA4880" w:rsidRPr="00C36150">
        <w:rPr>
          <w:lang w:val="fr-CH"/>
        </w:rPr>
        <w:t>19.</w:t>
      </w:r>
      <w:r w:rsidR="00AA4880" w:rsidRPr="00C36150">
        <w:rPr>
          <w:lang w:val="fr-CH"/>
        </w:rPr>
        <w:tab/>
        <w:t xml:space="preserve">Enregistreur de données </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 xml:space="preserve">Le Groupe de travail a décidé d’examiner la nécessité d’élaborer une réglementation harmonisée portant sur l’enregistrement des données pour les véhicules autonomes. </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00AA4880" w:rsidRPr="00C36150">
        <w:rPr>
          <w:lang w:val="fr-CH"/>
        </w:rPr>
        <w:t>20.</w:t>
      </w:r>
      <w:r w:rsidR="00AA4880" w:rsidRPr="00C36150">
        <w:rPr>
          <w:lang w:val="fr-CH"/>
        </w:rPr>
        <w:tab/>
        <w:t xml:space="preserve">Règlement technique mondial </w:t>
      </w:r>
      <w:r w:rsidR="00F83E21" w:rsidRPr="00C36150">
        <w:rPr>
          <w:lang w:val="fr-CH"/>
        </w:rPr>
        <w:t>n</w:t>
      </w:r>
      <w:r w:rsidR="00F83E21" w:rsidRPr="00C36150">
        <w:rPr>
          <w:vertAlign w:val="superscript"/>
          <w:lang w:val="fr-CH"/>
        </w:rPr>
        <w:t>o</w:t>
      </w:r>
      <w:r w:rsidR="00F83E21" w:rsidRPr="00C36150">
        <w:rPr>
          <w:lang w:val="fr-CH"/>
        </w:rPr>
        <w:t> </w:t>
      </w:r>
      <w:r w:rsidR="00AA4880" w:rsidRPr="00C36150">
        <w:rPr>
          <w:lang w:val="fr-CH"/>
        </w:rPr>
        <w:t>6 (Vitrages de sécurité)</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Le Groupe de travail souhaitera peut-être que le Président du groupe de travail informel des vitrages de toit panoramique (PSG) lui rende compte des progrès réalisés par le groupe.</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00AA4880" w:rsidRPr="00C36150">
        <w:rPr>
          <w:lang w:val="fr-CH"/>
        </w:rPr>
        <w:t>21.</w:t>
      </w:r>
      <w:r w:rsidR="00AA4880" w:rsidRPr="00C36150">
        <w:rPr>
          <w:lang w:val="fr-CH"/>
        </w:rPr>
        <w:tab/>
        <w:t>Amendements aux règlements concernant la machine tridimensionnelle point H (machine 3D point H)</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Le GRSG devrait être informé des activités en cours concernant l’harmonisation de la machine 3D point H à laquelle il est fait référence dans différents Règlements et Règlements techniques mondiaux de l’ONU.</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00AA4880" w:rsidRPr="00C36150">
        <w:rPr>
          <w:lang w:val="fr-CH"/>
        </w:rPr>
        <w:t>22.</w:t>
      </w:r>
      <w:r w:rsidR="00AA4880" w:rsidRPr="00C36150">
        <w:rPr>
          <w:lang w:val="fr-CH"/>
        </w:rPr>
        <w:tab/>
        <w:t xml:space="preserve">Élection du Bureau </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AA4880" w:rsidRPr="00C36150" w:rsidRDefault="00C06929" w:rsidP="00AA4880">
      <w:pPr>
        <w:pStyle w:val="SingleTxt"/>
        <w:rPr>
          <w:lang w:val="fr-CH"/>
        </w:rPr>
      </w:pPr>
      <w:r w:rsidRPr="00C36150">
        <w:rPr>
          <w:lang w:val="fr-CH"/>
        </w:rPr>
        <w:tab/>
      </w:r>
      <w:r w:rsidR="00AA4880" w:rsidRPr="00C36150">
        <w:rPr>
          <w:lang w:val="fr-CH"/>
        </w:rPr>
        <w:t xml:space="preserve">Conformément à l’article 37 du Règlement intérieur (TRANS/WP.29/690 et Amend.1 et 2), le GRSG devrait élire son président et son vice-président pour les sessions de l’année 2016. </w:t>
      </w:r>
    </w:p>
    <w:p w:rsidR="00AA4880" w:rsidRPr="00C36150" w:rsidRDefault="00C06929" w:rsidP="00C06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36150">
        <w:rPr>
          <w:lang w:val="fr-CH"/>
        </w:rPr>
        <w:tab/>
      </w:r>
      <w:r w:rsidR="00AA4880" w:rsidRPr="00C36150">
        <w:rPr>
          <w:lang w:val="fr-CH"/>
        </w:rPr>
        <w:t>23.</w:t>
      </w:r>
      <w:r w:rsidR="00AA4880" w:rsidRPr="00C36150">
        <w:rPr>
          <w:lang w:val="fr-CH"/>
        </w:rPr>
        <w:tab/>
        <w:t xml:space="preserve">Questions diverses </w:t>
      </w:r>
    </w:p>
    <w:p w:rsidR="00C06929" w:rsidRPr="00C36150" w:rsidRDefault="00C06929" w:rsidP="00C06929">
      <w:pPr>
        <w:pStyle w:val="SingleTxt"/>
        <w:spacing w:after="0" w:line="120" w:lineRule="exact"/>
        <w:rPr>
          <w:sz w:val="10"/>
          <w:lang w:val="fr-CH"/>
        </w:rPr>
      </w:pPr>
    </w:p>
    <w:p w:rsidR="00C06929" w:rsidRPr="00C36150" w:rsidRDefault="00C06929" w:rsidP="00C06929">
      <w:pPr>
        <w:pStyle w:val="SingleTxt"/>
        <w:spacing w:after="0" w:line="120" w:lineRule="exact"/>
        <w:rPr>
          <w:sz w:val="10"/>
          <w:lang w:val="fr-CH"/>
        </w:rPr>
      </w:pPr>
    </w:p>
    <w:p w:rsidR="0019786C" w:rsidRPr="00C36150" w:rsidRDefault="00C06929" w:rsidP="00AA4880">
      <w:pPr>
        <w:pStyle w:val="SingleTxt"/>
        <w:rPr>
          <w:lang w:val="fr-CH"/>
        </w:rPr>
      </w:pPr>
      <w:r w:rsidRPr="00C36150">
        <w:rPr>
          <w:lang w:val="fr-CH"/>
        </w:rPr>
        <w:tab/>
      </w:r>
      <w:r w:rsidR="00AA4880" w:rsidRPr="00C36150">
        <w:rPr>
          <w:lang w:val="fr-CH"/>
        </w:rPr>
        <w:t>Le Groupe de travail souhaitera peut-être examiner d’autres propositions, le cas échéant.</w:t>
      </w:r>
    </w:p>
    <w:p w:rsidR="00AA4880" w:rsidRPr="00C36150" w:rsidRDefault="00AA4880" w:rsidP="00AA4880">
      <w:pPr>
        <w:pStyle w:val="SingleTxt"/>
        <w:spacing w:after="0" w:line="240" w:lineRule="auto"/>
        <w:rPr>
          <w:lang w:val="fr-CH"/>
        </w:rPr>
      </w:pPr>
      <w:r w:rsidRPr="00C36150">
        <w:rPr>
          <w:noProof/>
          <w:w w:val="100"/>
          <w:lang w:val="en-GB" w:eastAsia="en-GB"/>
        </w:rPr>
        <mc:AlternateContent>
          <mc:Choice Requires="wps">
            <w:drawing>
              <wp:anchor distT="0" distB="0" distL="114300" distR="114300" simplePos="0" relativeHeight="251659264" behindDoc="0" locked="0" layoutInCell="1" allowOverlap="1" wp14:anchorId="49C83789" wp14:editId="2107529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A4880" w:rsidRPr="00C36150" w:rsidSect="0019786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8T15:13:00Z" w:initials="Start">
    <w:p w:rsidR="00F83E21" w:rsidRDefault="00F83E2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NO&gt;&gt;N1515439F&lt;&lt;ODS JOB NO&gt;&gt;</w:t>
      </w:r>
    </w:p>
    <w:p w:rsidR="00F83E21" w:rsidRDefault="00F83E21">
      <w:pPr>
        <w:pStyle w:val="CommentText"/>
      </w:pPr>
      <w:r>
        <w:t>&lt;&lt;ODS DOC SYMBOL1&gt;&gt;ECE/TRANS/WP.29/GRSG/2015/19/Add.1&lt;&lt;ODS DOC SYMBOL1&gt;&gt;</w:t>
      </w:r>
    </w:p>
    <w:p w:rsidR="00F83E21" w:rsidRDefault="00F83E2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21" w:rsidRDefault="00F83E21" w:rsidP="00F3330B">
      <w:pPr>
        <w:spacing w:line="240" w:lineRule="auto"/>
      </w:pPr>
      <w:r>
        <w:separator/>
      </w:r>
    </w:p>
  </w:endnote>
  <w:endnote w:type="continuationSeparator" w:id="0">
    <w:p w:rsidR="00F83E21" w:rsidRDefault="00F83E2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83E21" w:rsidTr="0019786C">
      <w:trPr>
        <w:jc w:val="center"/>
      </w:trPr>
      <w:tc>
        <w:tcPr>
          <w:tcW w:w="5126" w:type="dxa"/>
          <w:shd w:val="clear" w:color="auto" w:fill="auto"/>
        </w:tcPr>
        <w:p w:rsidR="00F83E21" w:rsidRPr="0019786C" w:rsidRDefault="00F83E21" w:rsidP="0019786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701A">
            <w:rPr>
              <w:b w:val="0"/>
              <w:w w:val="103"/>
              <w:sz w:val="14"/>
            </w:rPr>
            <w:t>GE.15-11720</w:t>
          </w:r>
          <w:r>
            <w:rPr>
              <w:b w:val="0"/>
              <w:w w:val="103"/>
              <w:sz w:val="14"/>
            </w:rPr>
            <w:fldChar w:fldCharType="end"/>
          </w:r>
        </w:p>
      </w:tc>
      <w:tc>
        <w:tcPr>
          <w:tcW w:w="5127" w:type="dxa"/>
          <w:shd w:val="clear" w:color="auto" w:fill="auto"/>
        </w:tcPr>
        <w:p w:rsidR="00F83E21" w:rsidRPr="0019786C" w:rsidRDefault="00F83E21" w:rsidP="0019786C">
          <w:pPr>
            <w:pStyle w:val="Footer"/>
            <w:rPr>
              <w:w w:val="103"/>
            </w:rPr>
          </w:pPr>
          <w:r>
            <w:rPr>
              <w:w w:val="103"/>
            </w:rPr>
            <w:fldChar w:fldCharType="begin"/>
          </w:r>
          <w:r>
            <w:rPr>
              <w:w w:val="103"/>
            </w:rPr>
            <w:instrText xml:space="preserve"> PAGE  \* Arabic  \* MERGEFORMAT </w:instrText>
          </w:r>
          <w:r>
            <w:rPr>
              <w:w w:val="103"/>
            </w:rPr>
            <w:fldChar w:fldCharType="separate"/>
          </w:r>
          <w:r w:rsidR="0065682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6828">
            <w:rPr>
              <w:noProof/>
              <w:w w:val="103"/>
            </w:rPr>
            <w:t>6</w:t>
          </w:r>
          <w:r>
            <w:rPr>
              <w:w w:val="103"/>
            </w:rPr>
            <w:fldChar w:fldCharType="end"/>
          </w:r>
        </w:p>
      </w:tc>
    </w:tr>
  </w:tbl>
  <w:p w:rsidR="00F83E21" w:rsidRPr="0019786C" w:rsidRDefault="00F83E21" w:rsidP="00197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83E21" w:rsidTr="0019786C">
      <w:trPr>
        <w:jc w:val="center"/>
      </w:trPr>
      <w:tc>
        <w:tcPr>
          <w:tcW w:w="5126" w:type="dxa"/>
          <w:shd w:val="clear" w:color="auto" w:fill="auto"/>
        </w:tcPr>
        <w:p w:rsidR="00F83E21" w:rsidRPr="0019786C" w:rsidRDefault="00F83E21" w:rsidP="0019786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56828">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6828">
            <w:rPr>
              <w:noProof/>
              <w:w w:val="103"/>
            </w:rPr>
            <w:t>5</w:t>
          </w:r>
          <w:r>
            <w:rPr>
              <w:w w:val="103"/>
            </w:rPr>
            <w:fldChar w:fldCharType="end"/>
          </w:r>
        </w:p>
      </w:tc>
      <w:tc>
        <w:tcPr>
          <w:tcW w:w="5127" w:type="dxa"/>
          <w:shd w:val="clear" w:color="auto" w:fill="auto"/>
        </w:tcPr>
        <w:p w:rsidR="00F83E21" w:rsidRPr="0019786C" w:rsidRDefault="00F83E21" w:rsidP="0019786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701A">
            <w:rPr>
              <w:b w:val="0"/>
              <w:w w:val="103"/>
              <w:sz w:val="14"/>
            </w:rPr>
            <w:t>GE.15-11720</w:t>
          </w:r>
          <w:r>
            <w:rPr>
              <w:b w:val="0"/>
              <w:w w:val="103"/>
              <w:sz w:val="14"/>
            </w:rPr>
            <w:fldChar w:fldCharType="end"/>
          </w:r>
        </w:p>
      </w:tc>
    </w:tr>
  </w:tbl>
  <w:p w:rsidR="00F83E21" w:rsidRPr="0019786C" w:rsidRDefault="00F83E21" w:rsidP="00197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21" w:rsidRDefault="00F83E21">
    <w:pPr>
      <w:pStyle w:val="Footer"/>
    </w:pPr>
    <w:r>
      <w:rPr>
        <w:noProof/>
        <w:lang w:val="en-GB" w:eastAsia="en-GB"/>
      </w:rPr>
      <w:drawing>
        <wp:anchor distT="0" distB="0" distL="114300" distR="114300" simplePos="0" relativeHeight="251658240" behindDoc="0" locked="0" layoutInCell="1" allowOverlap="1" wp14:anchorId="42A06FAF" wp14:editId="1FE96D6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19/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19/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83E21" w:rsidTr="0019786C">
      <w:tc>
        <w:tcPr>
          <w:tcW w:w="3859" w:type="dxa"/>
        </w:tcPr>
        <w:p w:rsidR="00F83E21" w:rsidRDefault="00F83E21" w:rsidP="0019786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4701A">
            <w:rPr>
              <w:b w:val="0"/>
              <w:sz w:val="20"/>
            </w:rPr>
            <w:t>GE.15-11720 (F)</w:t>
          </w:r>
          <w:r>
            <w:rPr>
              <w:b w:val="0"/>
              <w:sz w:val="20"/>
            </w:rPr>
            <w:fldChar w:fldCharType="end"/>
          </w:r>
          <w:r>
            <w:rPr>
              <w:b w:val="0"/>
              <w:sz w:val="20"/>
            </w:rPr>
            <w:t xml:space="preserve">    180815    180815</w:t>
          </w:r>
        </w:p>
        <w:p w:rsidR="00F83E21" w:rsidRPr="0019786C" w:rsidRDefault="00F83E21" w:rsidP="0019786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4701A">
            <w:rPr>
              <w:rFonts w:ascii="Barcode 3 of 9 by request" w:hAnsi="Barcode 3 of 9 by request"/>
              <w:b w:val="0"/>
              <w:spacing w:val="0"/>
              <w:w w:val="100"/>
              <w:sz w:val="24"/>
            </w:rPr>
            <w:t>*1511720*</w:t>
          </w:r>
          <w:r>
            <w:rPr>
              <w:rFonts w:ascii="Barcode 3 of 9 by request" w:hAnsi="Barcode 3 of 9 by request"/>
              <w:b w:val="0"/>
              <w:spacing w:val="0"/>
              <w:w w:val="100"/>
              <w:sz w:val="24"/>
            </w:rPr>
            <w:fldChar w:fldCharType="end"/>
          </w:r>
        </w:p>
      </w:tc>
      <w:tc>
        <w:tcPr>
          <w:tcW w:w="5127" w:type="dxa"/>
        </w:tcPr>
        <w:p w:rsidR="00F83E21" w:rsidRDefault="00F83E21" w:rsidP="0019786C">
          <w:pPr>
            <w:pStyle w:val="Footer"/>
            <w:spacing w:line="240" w:lineRule="atLeast"/>
            <w:jc w:val="right"/>
            <w:rPr>
              <w:b w:val="0"/>
              <w:sz w:val="20"/>
            </w:rPr>
          </w:pPr>
          <w:r>
            <w:rPr>
              <w:b w:val="0"/>
              <w:noProof/>
              <w:sz w:val="20"/>
              <w:lang w:val="en-GB" w:eastAsia="en-GB"/>
            </w:rPr>
            <w:drawing>
              <wp:inline distT="0" distB="0" distL="0" distR="0" wp14:anchorId="59161627" wp14:editId="3F5CAFE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83E21" w:rsidRPr="0019786C" w:rsidRDefault="00F83E21" w:rsidP="0019786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21" w:rsidRPr="003E47D8" w:rsidRDefault="00F83E21" w:rsidP="003E47D8">
      <w:pPr>
        <w:pStyle w:val="Footer"/>
        <w:spacing w:after="80"/>
        <w:rPr>
          <w:sz w:val="16"/>
        </w:rPr>
      </w:pPr>
      <w:r w:rsidRPr="003E47D8">
        <w:rPr>
          <w:sz w:val="16"/>
        </w:rPr>
        <w:t>__________________</w:t>
      </w:r>
    </w:p>
  </w:footnote>
  <w:footnote w:type="continuationSeparator" w:id="0">
    <w:p w:rsidR="00F83E21" w:rsidRPr="003E47D8" w:rsidRDefault="00F83E21"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83E21" w:rsidTr="0019786C">
      <w:trPr>
        <w:trHeight w:hRule="exact" w:val="864"/>
        <w:jc w:val="center"/>
      </w:trPr>
      <w:tc>
        <w:tcPr>
          <w:tcW w:w="4882" w:type="dxa"/>
          <w:shd w:val="clear" w:color="auto" w:fill="auto"/>
          <w:vAlign w:val="bottom"/>
        </w:tcPr>
        <w:p w:rsidR="00F83E21" w:rsidRPr="0019786C" w:rsidRDefault="00F83E21" w:rsidP="0019786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701A">
            <w:rPr>
              <w:b/>
              <w:color w:val="000000"/>
            </w:rPr>
            <w:t>ECE/TRANS/WP.29/GRSG/2015/19/Add.1</w:t>
          </w:r>
          <w:r>
            <w:rPr>
              <w:b/>
              <w:color w:val="000000"/>
            </w:rPr>
            <w:fldChar w:fldCharType="end"/>
          </w:r>
        </w:p>
      </w:tc>
      <w:tc>
        <w:tcPr>
          <w:tcW w:w="5127" w:type="dxa"/>
          <w:shd w:val="clear" w:color="auto" w:fill="auto"/>
          <w:vAlign w:val="bottom"/>
        </w:tcPr>
        <w:p w:rsidR="00F83E21" w:rsidRDefault="00F83E21" w:rsidP="0019786C">
          <w:pPr>
            <w:pStyle w:val="Header"/>
          </w:pPr>
        </w:p>
      </w:tc>
    </w:tr>
  </w:tbl>
  <w:p w:rsidR="00F83E21" w:rsidRPr="0019786C" w:rsidRDefault="00F83E21" w:rsidP="0019786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83E21" w:rsidTr="0019786C">
      <w:trPr>
        <w:trHeight w:hRule="exact" w:val="864"/>
        <w:jc w:val="center"/>
      </w:trPr>
      <w:tc>
        <w:tcPr>
          <w:tcW w:w="4882" w:type="dxa"/>
          <w:shd w:val="clear" w:color="auto" w:fill="auto"/>
          <w:vAlign w:val="bottom"/>
        </w:tcPr>
        <w:p w:rsidR="00F83E21" w:rsidRDefault="00F83E21" w:rsidP="0019786C">
          <w:pPr>
            <w:pStyle w:val="Header"/>
          </w:pPr>
        </w:p>
      </w:tc>
      <w:tc>
        <w:tcPr>
          <w:tcW w:w="5127" w:type="dxa"/>
          <w:shd w:val="clear" w:color="auto" w:fill="auto"/>
          <w:vAlign w:val="bottom"/>
        </w:tcPr>
        <w:p w:rsidR="00F83E21" w:rsidRPr="0019786C" w:rsidRDefault="00F83E21" w:rsidP="0019786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701A">
            <w:rPr>
              <w:b/>
              <w:color w:val="000000"/>
            </w:rPr>
            <w:t>ECE/TRANS/WP.29/GRSG/2015/19/Add.1</w:t>
          </w:r>
          <w:r>
            <w:rPr>
              <w:b/>
              <w:color w:val="000000"/>
            </w:rPr>
            <w:fldChar w:fldCharType="end"/>
          </w:r>
        </w:p>
      </w:tc>
    </w:tr>
  </w:tbl>
  <w:p w:rsidR="00F83E21" w:rsidRPr="0019786C" w:rsidRDefault="00F83E21" w:rsidP="0019786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83E21" w:rsidTr="0019786C">
      <w:trPr>
        <w:trHeight w:hRule="exact" w:val="864"/>
      </w:trPr>
      <w:tc>
        <w:tcPr>
          <w:tcW w:w="1267" w:type="dxa"/>
          <w:tcBorders>
            <w:bottom w:val="single" w:sz="4" w:space="0" w:color="auto"/>
          </w:tcBorders>
          <w:shd w:val="clear" w:color="auto" w:fill="auto"/>
          <w:vAlign w:val="bottom"/>
        </w:tcPr>
        <w:p w:rsidR="00F83E21" w:rsidRDefault="00F83E21" w:rsidP="0019786C">
          <w:pPr>
            <w:pStyle w:val="Header"/>
            <w:spacing w:after="120"/>
          </w:pPr>
        </w:p>
      </w:tc>
      <w:tc>
        <w:tcPr>
          <w:tcW w:w="2059" w:type="dxa"/>
          <w:tcBorders>
            <w:bottom w:val="single" w:sz="4" w:space="0" w:color="auto"/>
          </w:tcBorders>
          <w:shd w:val="clear" w:color="auto" w:fill="auto"/>
          <w:vAlign w:val="bottom"/>
        </w:tcPr>
        <w:p w:rsidR="00F83E21" w:rsidRPr="0019786C" w:rsidRDefault="00F83E21" w:rsidP="0019786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83E21" w:rsidRDefault="00F83E21" w:rsidP="0019786C">
          <w:pPr>
            <w:pStyle w:val="Header"/>
            <w:spacing w:after="120"/>
          </w:pPr>
        </w:p>
      </w:tc>
      <w:tc>
        <w:tcPr>
          <w:tcW w:w="6653" w:type="dxa"/>
          <w:gridSpan w:val="4"/>
          <w:tcBorders>
            <w:bottom w:val="single" w:sz="4" w:space="0" w:color="auto"/>
          </w:tcBorders>
          <w:shd w:val="clear" w:color="auto" w:fill="auto"/>
          <w:vAlign w:val="bottom"/>
        </w:tcPr>
        <w:p w:rsidR="00F83E21" w:rsidRPr="0019786C" w:rsidRDefault="00F83E21" w:rsidP="0019786C">
          <w:pPr>
            <w:spacing w:after="80" w:line="240" w:lineRule="auto"/>
            <w:jc w:val="right"/>
            <w:rPr>
              <w:position w:val="-4"/>
            </w:rPr>
          </w:pPr>
          <w:r>
            <w:rPr>
              <w:position w:val="-4"/>
              <w:sz w:val="40"/>
            </w:rPr>
            <w:t>ECE</w:t>
          </w:r>
          <w:r>
            <w:rPr>
              <w:position w:val="-4"/>
            </w:rPr>
            <w:t>/TRANS/WP.29/GRSG/2015/19/Add.1</w:t>
          </w:r>
        </w:p>
      </w:tc>
    </w:tr>
    <w:tr w:rsidR="00F83E21" w:rsidRPr="0019786C" w:rsidTr="0019786C">
      <w:trPr>
        <w:gridAfter w:val="1"/>
        <w:wAfter w:w="18" w:type="dxa"/>
        <w:trHeight w:hRule="exact" w:val="2880"/>
      </w:trPr>
      <w:tc>
        <w:tcPr>
          <w:tcW w:w="1267" w:type="dxa"/>
          <w:tcBorders>
            <w:top w:val="single" w:sz="4" w:space="0" w:color="auto"/>
            <w:bottom w:val="single" w:sz="12" w:space="0" w:color="auto"/>
          </w:tcBorders>
          <w:shd w:val="clear" w:color="auto" w:fill="auto"/>
        </w:tcPr>
        <w:p w:rsidR="00F83E21" w:rsidRPr="0019786C" w:rsidRDefault="00F83E21" w:rsidP="0019786C">
          <w:pPr>
            <w:pStyle w:val="Header"/>
            <w:spacing w:before="120" w:line="240" w:lineRule="auto"/>
            <w:ind w:left="-72"/>
            <w:jc w:val="center"/>
          </w:pPr>
          <w:r>
            <w:t xml:space="preserve">  </w:t>
          </w:r>
          <w:r>
            <w:rPr>
              <w:noProof/>
              <w:lang w:val="en-GB" w:eastAsia="en-GB"/>
            </w:rPr>
            <w:drawing>
              <wp:inline distT="0" distB="0" distL="0" distR="0" wp14:anchorId="73EC1261" wp14:editId="4289FC4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83E21" w:rsidRPr="0019786C" w:rsidRDefault="00F83E21" w:rsidP="0019786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83E21" w:rsidRPr="0019786C" w:rsidRDefault="00F83E21" w:rsidP="0019786C">
          <w:pPr>
            <w:pStyle w:val="Header"/>
            <w:spacing w:before="109"/>
          </w:pPr>
        </w:p>
      </w:tc>
      <w:tc>
        <w:tcPr>
          <w:tcW w:w="3280" w:type="dxa"/>
          <w:tcBorders>
            <w:top w:val="single" w:sz="4" w:space="0" w:color="auto"/>
            <w:bottom w:val="single" w:sz="12" w:space="0" w:color="auto"/>
          </w:tcBorders>
          <w:shd w:val="clear" w:color="auto" w:fill="auto"/>
        </w:tcPr>
        <w:p w:rsidR="00F83E21" w:rsidRDefault="00F83E21" w:rsidP="0019786C">
          <w:pPr>
            <w:pStyle w:val="Distribution"/>
            <w:rPr>
              <w:color w:val="000000"/>
            </w:rPr>
          </w:pPr>
          <w:r>
            <w:rPr>
              <w:color w:val="000000"/>
            </w:rPr>
            <w:t>Distr. générale</w:t>
          </w:r>
        </w:p>
        <w:p w:rsidR="00F83E21" w:rsidRDefault="00F83E21" w:rsidP="0019786C">
          <w:pPr>
            <w:pStyle w:val="Publication"/>
            <w:rPr>
              <w:color w:val="000000"/>
            </w:rPr>
          </w:pPr>
          <w:r>
            <w:rPr>
              <w:color w:val="000000"/>
            </w:rPr>
            <w:t>10 juillet 2015</w:t>
          </w:r>
        </w:p>
        <w:p w:rsidR="00F83E21" w:rsidRDefault="00F83E21" w:rsidP="0019786C">
          <w:pPr>
            <w:rPr>
              <w:lang w:val="en-US"/>
            </w:rPr>
          </w:pPr>
          <w:r>
            <w:rPr>
              <w:lang w:val="en-US"/>
            </w:rPr>
            <w:t>Français</w:t>
          </w:r>
        </w:p>
        <w:p w:rsidR="00F83E21" w:rsidRPr="0019786C" w:rsidRDefault="00F83E21" w:rsidP="0019786C">
          <w:pPr>
            <w:pStyle w:val="Original"/>
            <w:rPr>
              <w:color w:val="000000"/>
            </w:rPr>
          </w:pPr>
          <w:r>
            <w:rPr>
              <w:color w:val="000000"/>
            </w:rPr>
            <w:t>Original : anglais</w:t>
          </w:r>
        </w:p>
      </w:tc>
    </w:tr>
  </w:tbl>
  <w:p w:rsidR="00F83E21" w:rsidRPr="0019786C" w:rsidRDefault="00F83E21" w:rsidP="0019786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04C82"/>
    <w:multiLevelType w:val="hybridMultilevel"/>
    <w:tmpl w:val="BBA8C020"/>
    <w:lvl w:ilvl="0" w:tplc="7942559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613E60D1"/>
    <w:multiLevelType w:val="hybridMultilevel"/>
    <w:tmpl w:val="482E921A"/>
    <w:lvl w:ilvl="0" w:tplc="B26AFC14">
      <w:start w:val="9"/>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679D4FDC"/>
    <w:multiLevelType w:val="hybridMultilevel"/>
    <w:tmpl w:val="BAC245A6"/>
    <w:lvl w:ilvl="0" w:tplc="41909348">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720*"/>
    <w:docVar w:name="CreationDt" w:val="8/18/2015 3:13: PM"/>
    <w:docVar w:name="DocCategory" w:val="Doc"/>
    <w:docVar w:name="DocType" w:val="Final"/>
    <w:docVar w:name="DutyStation" w:val="Geneva"/>
    <w:docVar w:name="FooterJN" w:val="GE.15-11720"/>
    <w:docVar w:name="jobn" w:val="GE.15-11720 (F)"/>
    <w:docVar w:name="jobnDT" w:val="GE.15-11720 (F)   180815"/>
    <w:docVar w:name="jobnDTDT" w:val="GE.15-11720 (F)   180815   180815"/>
    <w:docVar w:name="JobNo" w:val="GE.1511720F"/>
    <w:docVar w:name="JobNo2" w:val="GE.1515439F"/>
    <w:docVar w:name="LocalDrive" w:val="0"/>
    <w:docVar w:name="OandT" w:val="Beysard"/>
    <w:docVar w:name="PaperSize" w:val="A4"/>
    <w:docVar w:name="sss1" w:val="ECE/TRANS/WP.29/GRSG/2015/19/Add.1"/>
    <w:docVar w:name="sss2" w:val="-"/>
    <w:docVar w:name="Symbol1" w:val="ECE/TRANS/WP.29/GRSG/2015/19/Add.1"/>
    <w:docVar w:name="Symbol2" w:val="-"/>
  </w:docVars>
  <w:rsids>
    <w:rsidRoot w:val="00BE0082"/>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4F65"/>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9786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1D39"/>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828"/>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02D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4166"/>
    <w:rsid w:val="00887256"/>
    <w:rsid w:val="00890BEA"/>
    <w:rsid w:val="00890EF0"/>
    <w:rsid w:val="00891ADA"/>
    <w:rsid w:val="008962D4"/>
    <w:rsid w:val="00897C9E"/>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4880"/>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1CA8"/>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0082"/>
    <w:rsid w:val="00BE0EA8"/>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06929"/>
    <w:rsid w:val="00C115C1"/>
    <w:rsid w:val="00C118DD"/>
    <w:rsid w:val="00C13C81"/>
    <w:rsid w:val="00C14A5C"/>
    <w:rsid w:val="00C14B0A"/>
    <w:rsid w:val="00C23EFE"/>
    <w:rsid w:val="00C26CD3"/>
    <w:rsid w:val="00C3047B"/>
    <w:rsid w:val="00C30749"/>
    <w:rsid w:val="00C3163F"/>
    <w:rsid w:val="00C35E4D"/>
    <w:rsid w:val="00C36150"/>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7CFD"/>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656"/>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4701A"/>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3E21"/>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0087"/>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9786C"/>
    <w:rPr>
      <w:sz w:val="16"/>
      <w:szCs w:val="16"/>
    </w:rPr>
  </w:style>
  <w:style w:type="paragraph" w:styleId="CommentText">
    <w:name w:val="annotation text"/>
    <w:basedOn w:val="Normal"/>
    <w:link w:val="CommentTextChar"/>
    <w:uiPriority w:val="99"/>
    <w:semiHidden/>
    <w:unhideWhenUsed/>
    <w:rsid w:val="0019786C"/>
    <w:pPr>
      <w:spacing w:line="240" w:lineRule="auto"/>
    </w:pPr>
    <w:rPr>
      <w:szCs w:val="20"/>
    </w:rPr>
  </w:style>
  <w:style w:type="character" w:customStyle="1" w:styleId="CommentTextChar">
    <w:name w:val="Comment Text Char"/>
    <w:basedOn w:val="DefaultParagraphFont"/>
    <w:link w:val="CommentText"/>
    <w:uiPriority w:val="99"/>
    <w:semiHidden/>
    <w:rsid w:val="0019786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9786C"/>
    <w:rPr>
      <w:b/>
      <w:bCs/>
    </w:rPr>
  </w:style>
  <w:style w:type="character" w:customStyle="1" w:styleId="CommentSubjectChar">
    <w:name w:val="Comment Subject Char"/>
    <w:basedOn w:val="CommentTextChar"/>
    <w:link w:val="CommentSubject"/>
    <w:uiPriority w:val="99"/>
    <w:semiHidden/>
    <w:rsid w:val="0019786C"/>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9786C"/>
    <w:rPr>
      <w:sz w:val="16"/>
      <w:szCs w:val="16"/>
    </w:rPr>
  </w:style>
  <w:style w:type="paragraph" w:styleId="CommentText">
    <w:name w:val="annotation text"/>
    <w:basedOn w:val="Normal"/>
    <w:link w:val="CommentTextChar"/>
    <w:uiPriority w:val="99"/>
    <w:semiHidden/>
    <w:unhideWhenUsed/>
    <w:rsid w:val="0019786C"/>
    <w:pPr>
      <w:spacing w:line="240" w:lineRule="auto"/>
    </w:pPr>
    <w:rPr>
      <w:szCs w:val="20"/>
    </w:rPr>
  </w:style>
  <w:style w:type="character" w:customStyle="1" w:styleId="CommentTextChar">
    <w:name w:val="Comment Text Char"/>
    <w:basedOn w:val="DefaultParagraphFont"/>
    <w:link w:val="CommentText"/>
    <w:uiPriority w:val="99"/>
    <w:semiHidden/>
    <w:rsid w:val="0019786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9786C"/>
    <w:rPr>
      <w:b/>
      <w:bCs/>
    </w:rPr>
  </w:style>
  <w:style w:type="character" w:customStyle="1" w:styleId="CommentSubjectChar">
    <w:name w:val="Comment Subject Char"/>
    <w:basedOn w:val="CommentTextChar"/>
    <w:link w:val="CommentSubject"/>
    <w:uiPriority w:val="99"/>
    <w:semiHidden/>
    <w:rsid w:val="0019786C"/>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94F4-EE88-4654-8F3F-38DBD182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11071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Benedicte Boudol</cp:lastModifiedBy>
  <cp:revision>2</cp:revision>
  <cp:lastPrinted>2015-08-18T14:50:00Z</cp:lastPrinted>
  <dcterms:created xsi:type="dcterms:W3CDTF">2015-08-19T07:22:00Z</dcterms:created>
  <dcterms:modified xsi:type="dcterms:W3CDTF">2015-08-19T07:22:00Z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1511720F</vt:lpwstr>
  </property>
  <property fmtid="{D5CDD505-2E9C-101B-9397-08002B2CF9AE}" pid="3" name="ODSRefJobNo">
    <vt:lpwstr>1515439F</vt:lpwstr>
  </property>
  <property fmtid="{D5CDD505-2E9C-101B-9397-08002B2CF9AE}" pid="4" name="Symbol1">
    <vt:lpwstr>ECE/TRANS/WP.29/GRSG/2015/19/Add.1</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10 juillet 2015</vt:lpwstr>
  </property>
  <property fmtid="{D5CDD505-2E9C-101B-9397-08002B2CF9AE}" pid="9" name="Original">
    <vt:lpwstr>anglais</vt:lpwstr>
  </property>
  <property fmtid="{D5CDD505-2E9C-101B-9397-08002B2CF9AE}" pid="10" name="Release Date">
    <vt:lpwstr>180815</vt:lpwstr>
  </property>
  <property fmtid="{D5CDD505-2E9C-101B-9397-08002B2CF9AE}" pid="11" name="Comment">
    <vt:lpwstr/>
  </property>
  <property fmtid="{D5CDD505-2E9C-101B-9397-08002B2CF9AE}" pid="12" name="DraftPages">
    <vt:lpwstr> </vt:lpwstr>
  </property>
  <property fmtid="{D5CDD505-2E9C-101B-9397-08002B2CF9AE}" pid="13" name="Operator">
    <vt:lpwstr>Beysard</vt:lpwstr>
  </property>
</Properties>
</file>