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967E43">
            <w:pPr>
              <w:ind w:left="2693"/>
              <w:jc w:val="both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F87B5E">
              <w:t>5</w:t>
            </w:r>
            <w:r w:rsidRPr="00CF20B1">
              <w:t>/</w:t>
            </w:r>
            <w:r w:rsidR="00967E43">
              <w:t>22</w:t>
            </w:r>
          </w:p>
        </w:tc>
      </w:tr>
      <w:tr w:rsidR="00B56E9C" w:rsidRPr="00CF20B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3F5692" w:rsidP="007A309D">
            <w:pPr>
              <w:spacing w:before="120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94360"/>
                  <wp:effectExtent l="0" t="0" r="762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7A309D">
            <w:pPr>
              <w:spacing w:before="240" w:line="240" w:lineRule="exact"/>
              <w:jc w:val="both"/>
            </w:pPr>
            <w:r w:rsidRPr="00CF20B1">
              <w:t>Distr.: General</w:t>
            </w:r>
          </w:p>
          <w:p w:rsidR="00923752" w:rsidRPr="00CF20B1" w:rsidRDefault="00DB5F5D" w:rsidP="007A309D">
            <w:pPr>
              <w:spacing w:line="240" w:lineRule="exact"/>
              <w:jc w:val="both"/>
            </w:pPr>
            <w:r>
              <w:t>3</w:t>
            </w:r>
            <w:r w:rsidR="00B5312D">
              <w:t xml:space="preserve"> July 2015</w:t>
            </w:r>
          </w:p>
          <w:p w:rsidR="00923752" w:rsidRPr="00CF20B1" w:rsidRDefault="00923752" w:rsidP="007A309D">
            <w:pPr>
              <w:spacing w:line="240" w:lineRule="exact"/>
              <w:jc w:val="both"/>
            </w:pPr>
          </w:p>
          <w:p w:rsidR="00923752" w:rsidRPr="00CF20B1" w:rsidRDefault="00923752" w:rsidP="007A309D">
            <w:pPr>
              <w:spacing w:line="240" w:lineRule="exact"/>
              <w:jc w:val="both"/>
            </w:pPr>
            <w:r w:rsidRPr="00CF20B1">
              <w:t>Original: English</w:t>
            </w:r>
          </w:p>
        </w:tc>
      </w:tr>
    </w:tbl>
    <w:p w:rsidR="00442A83" w:rsidRPr="00CF20B1" w:rsidRDefault="00C96DF2" w:rsidP="007A309D">
      <w:pPr>
        <w:spacing w:before="120"/>
        <w:jc w:val="both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>Economic Commission for Europe</w:t>
      </w:r>
    </w:p>
    <w:p w:rsidR="00C96DF2" w:rsidRPr="00CF20B1" w:rsidRDefault="008F31D2" w:rsidP="007A309D">
      <w:pPr>
        <w:spacing w:before="120"/>
        <w:jc w:val="both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7A309D">
      <w:pPr>
        <w:spacing w:before="120"/>
        <w:jc w:val="both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175B5A" w:rsidRDefault="00AB1C8B" w:rsidP="007A309D">
      <w:pPr>
        <w:spacing w:before="120"/>
        <w:jc w:val="both"/>
        <w:rPr>
          <w:b/>
        </w:rPr>
      </w:pPr>
      <w:r w:rsidRPr="00175B5A">
        <w:rPr>
          <w:b/>
        </w:rPr>
        <w:t>Working Party on Brakes and Running Gear</w:t>
      </w:r>
    </w:p>
    <w:p w:rsidR="00AB1C8B" w:rsidRPr="00CF20B1" w:rsidRDefault="000E25C9" w:rsidP="007A309D">
      <w:pPr>
        <w:spacing w:before="120"/>
        <w:jc w:val="both"/>
        <w:rPr>
          <w:b/>
        </w:rPr>
      </w:pPr>
      <w:r w:rsidRPr="000E25C9">
        <w:rPr>
          <w:b/>
        </w:rPr>
        <w:t>Eightieth</w:t>
      </w:r>
      <w:r w:rsidR="00AB1C8B" w:rsidRPr="00CF20B1">
        <w:rPr>
          <w:b/>
        </w:rPr>
        <w:t xml:space="preserve"> session</w:t>
      </w:r>
    </w:p>
    <w:p w:rsidR="00AB1C8B" w:rsidRPr="00CF20B1" w:rsidRDefault="00AB1C8B" w:rsidP="007A309D">
      <w:pPr>
        <w:jc w:val="both"/>
      </w:pPr>
      <w:r w:rsidRPr="00CF20B1">
        <w:t xml:space="preserve">Geneva, </w:t>
      </w:r>
      <w:r w:rsidR="000E25C9">
        <w:t>15-18 September</w:t>
      </w:r>
      <w:r w:rsidR="00E33887">
        <w:rPr>
          <w:lang w:eastAsia="ja-JP"/>
        </w:rPr>
        <w:t xml:space="preserve"> </w:t>
      </w:r>
      <w:r w:rsidRPr="00CF20B1">
        <w:t>201</w:t>
      </w:r>
      <w:r w:rsidR="00242E05">
        <w:rPr>
          <w:lang w:eastAsia="ja-JP"/>
        </w:rPr>
        <w:t>5</w:t>
      </w:r>
    </w:p>
    <w:p w:rsidR="00AB1C8B" w:rsidRPr="00CF20B1" w:rsidRDefault="00AB1C8B" w:rsidP="007A309D">
      <w:pPr>
        <w:jc w:val="both"/>
      </w:pPr>
      <w:r w:rsidRPr="00CF20B1">
        <w:t xml:space="preserve">Item </w:t>
      </w:r>
      <w:r w:rsidR="00B5312D">
        <w:t>6</w:t>
      </w:r>
      <w:r w:rsidRPr="00CF20B1">
        <w:t xml:space="preserve"> of the provisional agenda</w:t>
      </w:r>
    </w:p>
    <w:p w:rsidR="00D26C51" w:rsidRPr="00CF20B1" w:rsidRDefault="00367AAF" w:rsidP="007A309D">
      <w:pPr>
        <w:jc w:val="both"/>
        <w:rPr>
          <w:b/>
        </w:rPr>
      </w:pPr>
      <w:r w:rsidRPr="005C660E">
        <w:rPr>
          <w:b/>
        </w:rPr>
        <w:t xml:space="preserve">Regulation No. </w:t>
      </w:r>
      <w:r w:rsidR="003E38C4">
        <w:rPr>
          <w:b/>
        </w:rPr>
        <w:t>90 (</w:t>
      </w:r>
      <w:r w:rsidR="003E38C4" w:rsidRPr="003E38C4">
        <w:rPr>
          <w:b/>
        </w:rPr>
        <w:t>Replacement brake linings</w:t>
      </w:r>
      <w:r w:rsidR="003E38C4">
        <w:rPr>
          <w:b/>
        </w:rPr>
        <w:t>)</w:t>
      </w:r>
    </w:p>
    <w:p w:rsidR="00866E93" w:rsidRPr="005628D2" w:rsidRDefault="008C2F5C" w:rsidP="003C1544">
      <w:pPr>
        <w:pStyle w:val="HChG"/>
      </w:pPr>
      <w:r w:rsidRPr="005628D2">
        <w:tab/>
      </w:r>
      <w:r w:rsidRPr="005628D2">
        <w:tab/>
      </w:r>
      <w:r w:rsidR="003E38C4" w:rsidRPr="005628D2">
        <w:t>Proposal for amendments to Regulation No. 90</w:t>
      </w:r>
      <w:r w:rsidR="00562E70" w:rsidRPr="005628D2">
        <w:t xml:space="preserve"> (</w:t>
      </w:r>
      <w:r w:rsidR="003E38C4" w:rsidRPr="005628D2">
        <w:t>Replacement brake linings</w:t>
      </w:r>
      <w:r w:rsidR="00562E70" w:rsidRPr="005628D2">
        <w:t>)</w:t>
      </w:r>
    </w:p>
    <w:p w:rsidR="00AB1C8B" w:rsidRPr="005628D2" w:rsidRDefault="00AB1C8B" w:rsidP="003C1544">
      <w:pPr>
        <w:pStyle w:val="H1G"/>
        <w:spacing w:before="120"/>
      </w:pPr>
      <w:r w:rsidRPr="005628D2">
        <w:tab/>
      </w:r>
      <w:r w:rsidRPr="005628D2">
        <w:tab/>
      </w:r>
      <w:r w:rsidR="00866E93" w:rsidRPr="005628D2">
        <w:t xml:space="preserve">Submitted by the experts from </w:t>
      </w:r>
      <w:r w:rsidR="00D97268" w:rsidRPr="005628D2">
        <w:t xml:space="preserve">the </w:t>
      </w:r>
      <w:r w:rsidR="003E38C4" w:rsidRPr="005628D2">
        <w:t>European Association of Automotive Suppliers</w:t>
      </w:r>
      <w:r w:rsidR="00866E93" w:rsidRPr="005628D2">
        <w:footnoteReference w:customMarkFollows="1" w:id="2"/>
        <w:t>*</w:t>
      </w:r>
    </w:p>
    <w:p w:rsidR="00AB1C8B" w:rsidRPr="00CF20B1" w:rsidRDefault="003E38C4" w:rsidP="00B5312D">
      <w:pPr>
        <w:keepNext/>
        <w:keepLines/>
        <w:spacing w:line="240" w:lineRule="auto"/>
        <w:ind w:left="1134" w:right="993" w:firstLine="567"/>
        <w:jc w:val="both"/>
      </w:pPr>
      <w:r w:rsidRPr="00B102FE">
        <w:t xml:space="preserve">The text reproduced below was prepared by the </w:t>
      </w:r>
      <w:r>
        <w:t xml:space="preserve">experts of the European Association of Automotive Suppliers (CLEPA), introducing an amendment to UN Regulation No. 90 to avoid </w:t>
      </w:r>
      <w:r w:rsidRPr="005B32FA">
        <w:t xml:space="preserve">administrative and </w:t>
      </w:r>
      <w:r w:rsidR="0025434A">
        <w:t>financial</w:t>
      </w:r>
      <w:r>
        <w:t xml:space="preserve"> cost</w:t>
      </w:r>
      <w:r w:rsidR="0025434A">
        <w:t>s</w:t>
      </w:r>
      <w:r>
        <w:t xml:space="preserve"> to the applicant</w:t>
      </w:r>
      <w:r w:rsidR="00DE5AD0">
        <w:rPr>
          <w:lang w:eastAsia="fr-BE"/>
        </w:rPr>
        <w:t xml:space="preserve">. </w:t>
      </w:r>
      <w:r w:rsidR="00175B5A" w:rsidRPr="00CF20B1">
        <w:t>The modifications to the existing text of the Regulation are marked in bold for new or str</w:t>
      </w:r>
      <w:r w:rsidR="00175B5A">
        <w:t>ike</w:t>
      </w:r>
      <w:r w:rsidR="00175B5A" w:rsidRPr="00CF20B1">
        <w:t>through for deleted characters</w:t>
      </w:r>
      <w:r w:rsidR="00175B5A">
        <w:t>.</w:t>
      </w:r>
    </w:p>
    <w:p w:rsidR="00D26C51" w:rsidRPr="00C50B61" w:rsidRDefault="00AB1C8B" w:rsidP="00C50B61">
      <w:pPr>
        <w:pStyle w:val="HChG"/>
        <w:rPr>
          <w:snapToGrid w:val="0"/>
        </w:rPr>
      </w:pPr>
      <w:r w:rsidRPr="00CF20B1">
        <w:br w:type="page"/>
      </w:r>
      <w:r w:rsidR="00D26C51">
        <w:rPr>
          <w:snapToGrid w:val="0"/>
        </w:rPr>
        <w:lastRenderedPageBreak/>
        <w:tab/>
        <w:t>I</w:t>
      </w:r>
      <w:r w:rsidR="00D26C51" w:rsidRPr="00A05BA3">
        <w:rPr>
          <w:snapToGrid w:val="0"/>
        </w:rPr>
        <w:t>.</w:t>
      </w:r>
      <w:r w:rsidR="00D26C51">
        <w:rPr>
          <w:snapToGrid w:val="0"/>
        </w:rPr>
        <w:tab/>
      </w:r>
      <w:r w:rsidR="00D26C51" w:rsidRPr="00A05BA3">
        <w:rPr>
          <w:snapToGrid w:val="0"/>
        </w:rPr>
        <w:t>Proposal</w:t>
      </w:r>
    </w:p>
    <w:p w:rsidR="00D26C51" w:rsidRPr="00B5312D" w:rsidRDefault="00D26C51" w:rsidP="00D26C51">
      <w:pPr>
        <w:pStyle w:val="SingleTxtG"/>
        <w:keepNext/>
        <w:keepLines/>
        <w:ind w:left="2268" w:hanging="1134"/>
      </w:pPr>
      <w:r w:rsidRPr="00B5312D">
        <w:rPr>
          <w:i/>
        </w:rPr>
        <w:t>Paragraph 4.2.3.,</w:t>
      </w:r>
      <w:r w:rsidRPr="00B5312D">
        <w:t xml:space="preserve"> amend to read</w:t>
      </w:r>
      <w:r w:rsidR="003C1544">
        <w:t>:</w:t>
      </w:r>
    </w:p>
    <w:p w:rsidR="00D26C51" w:rsidRPr="00B5312D" w:rsidRDefault="00A46E83" w:rsidP="00D26C51">
      <w:pPr>
        <w:pStyle w:val="SingleTxtG"/>
        <w:keepNext/>
        <w:keepLines/>
        <w:ind w:left="2268" w:hanging="1134"/>
      </w:pPr>
      <w:r>
        <w:t>"</w:t>
      </w:r>
      <w:r w:rsidR="00D26C51" w:rsidRPr="00B5312D">
        <w:t>4.2.3</w:t>
      </w:r>
      <w:r w:rsidR="00D26C51" w:rsidRPr="00B5312D">
        <w:rPr>
          <w:b/>
        </w:rPr>
        <w:t>.</w:t>
      </w:r>
      <w:r w:rsidR="00D26C51" w:rsidRPr="00B5312D">
        <w:tab/>
        <w:t xml:space="preserve">The next </w:t>
      </w:r>
      <w:r w:rsidR="00D26C51" w:rsidRPr="00B5312D">
        <w:rPr>
          <w:strike/>
        </w:rPr>
        <w:t>four</w:t>
      </w:r>
      <w:r w:rsidR="00D26C51" w:rsidRPr="00B5312D">
        <w:t xml:space="preserve"> </w:t>
      </w:r>
      <w:r w:rsidR="00D26C51" w:rsidRPr="00B5312D">
        <w:rPr>
          <w:b/>
        </w:rPr>
        <w:t>series of</w:t>
      </w:r>
      <w:r w:rsidR="00D26C51" w:rsidRPr="00B5312D">
        <w:t xml:space="preserve"> digits </w:t>
      </w:r>
      <w:r w:rsidR="00D26C51" w:rsidRPr="00B5312D">
        <w:rPr>
          <w:rFonts w:ascii="(Asiatische Schriftart verwende" w:hAnsi="(Asiatische Schriftart verwende"/>
        </w:rPr>
        <w:t>shall</w:t>
      </w:r>
      <w:r w:rsidR="00D26C51" w:rsidRPr="00B5312D">
        <w:t xml:space="preserve"> indicate the manufacture and the type of the brake lining, the type of disc or the type of drum.</w:t>
      </w:r>
    </w:p>
    <w:p w:rsidR="00D26C51" w:rsidRPr="00B5312D" w:rsidRDefault="00D26C51" w:rsidP="00D26C51">
      <w:pPr>
        <w:pStyle w:val="SingleTxtG"/>
        <w:keepNext/>
        <w:keepLines/>
        <w:ind w:left="2268"/>
      </w:pPr>
      <w:r w:rsidRPr="00B5312D">
        <w:rPr>
          <w:b/>
        </w:rPr>
        <w:t>The digital suffix</w:t>
      </w:r>
      <w:r w:rsidRPr="00B5312D">
        <w:t xml:space="preserve"> </w:t>
      </w:r>
      <w:r w:rsidRPr="00B5312D">
        <w:rPr>
          <w:strike/>
        </w:rPr>
        <w:t>A suffix of four digits</w:t>
      </w:r>
      <w:r w:rsidRPr="00B5312D">
        <w:t xml:space="preserve"> shall indicate</w:t>
      </w:r>
      <w:r w:rsidR="007714CF">
        <w:t>:</w:t>
      </w:r>
    </w:p>
    <w:p w:rsidR="00D26C51" w:rsidRPr="00B5312D" w:rsidRDefault="00D26C51" w:rsidP="00D26C51">
      <w:pPr>
        <w:pStyle w:val="SingleTxtG"/>
        <w:keepNext/>
        <w:keepLines/>
        <w:ind w:left="2835" w:hanging="567"/>
        <w:rPr>
          <w:rFonts w:cs="Courier New"/>
          <w:spacing w:val="1"/>
        </w:rPr>
      </w:pPr>
      <w:r w:rsidRPr="00B5312D">
        <w:rPr>
          <w:rFonts w:cs="Courier New"/>
          <w:spacing w:val="1"/>
        </w:rPr>
        <w:t>(a)</w:t>
      </w:r>
      <w:r w:rsidRPr="00B5312D">
        <w:rPr>
          <w:rFonts w:cs="Courier New"/>
          <w:spacing w:val="1"/>
        </w:rPr>
        <w:tab/>
        <w:t>the shoe or back plate or specific dimension in the case of drum brake linings</w:t>
      </w:r>
      <w:r w:rsidR="007714CF">
        <w:rPr>
          <w:rFonts w:cs="Courier New"/>
          <w:spacing w:val="1"/>
        </w:rPr>
        <w:t>;</w:t>
      </w:r>
    </w:p>
    <w:p w:rsidR="00D26C51" w:rsidRPr="00B5312D" w:rsidRDefault="00D26C51" w:rsidP="00D26C51">
      <w:pPr>
        <w:pStyle w:val="SingleTxtG"/>
        <w:keepNext/>
        <w:keepLines/>
        <w:spacing w:after="240"/>
        <w:ind w:left="2268"/>
      </w:pPr>
      <w:r w:rsidRPr="00B5312D">
        <w:rPr>
          <w:rFonts w:cs="Courier New"/>
          <w:spacing w:val="1"/>
        </w:rPr>
        <w:t>(b)</w:t>
      </w:r>
      <w:r w:rsidRPr="00B5312D">
        <w:rPr>
          <w:rFonts w:cs="Courier New"/>
          <w:spacing w:val="1"/>
        </w:rPr>
        <w:tab/>
        <w:t xml:space="preserve">the </w:t>
      </w:r>
      <w:r w:rsidRPr="00B5312D">
        <w:rPr>
          <w:rFonts w:cs="Courier New"/>
          <w:b/>
          <w:spacing w:val="1"/>
        </w:rPr>
        <w:t>Test Group</w:t>
      </w:r>
      <w:r w:rsidRPr="00B5312D">
        <w:rPr>
          <w:rFonts w:cs="Courier New"/>
          <w:spacing w:val="1"/>
        </w:rPr>
        <w:t xml:space="preserve"> </w:t>
      </w:r>
      <w:r w:rsidRPr="00B5312D">
        <w:rPr>
          <w:rFonts w:cs="Courier New"/>
          <w:strike/>
          <w:spacing w:val="1"/>
        </w:rPr>
        <w:t>variant</w:t>
      </w:r>
      <w:r w:rsidRPr="00B5312D">
        <w:t xml:space="preserve"> in the case of a replacement disc or replacement drum</w:t>
      </w:r>
      <w:r w:rsidR="007714CF">
        <w:t>.</w:t>
      </w:r>
    </w:p>
    <w:p w:rsidR="00D26C51" w:rsidRPr="00BC0121" w:rsidRDefault="00D26C51" w:rsidP="00D26C51">
      <w:pPr>
        <w:pStyle w:val="SingleTxtG"/>
        <w:keepNext/>
        <w:keepLines/>
        <w:spacing w:after="240"/>
        <w:ind w:left="2268"/>
      </w:pPr>
      <w:r w:rsidRPr="00B5312D">
        <w:rPr>
          <w:b/>
        </w:rPr>
        <w:t xml:space="preserve">The variants approved as a </w:t>
      </w:r>
      <w:r w:rsidR="00886949">
        <w:rPr>
          <w:b/>
        </w:rPr>
        <w:t>T</w:t>
      </w:r>
      <w:r w:rsidRPr="00B5312D">
        <w:rPr>
          <w:b/>
        </w:rPr>
        <w:t xml:space="preserve">est </w:t>
      </w:r>
      <w:r w:rsidR="00886949">
        <w:rPr>
          <w:b/>
        </w:rPr>
        <w:t>G</w:t>
      </w:r>
      <w:r w:rsidRPr="00B5312D">
        <w:rPr>
          <w:b/>
        </w:rPr>
        <w:t>roup shall be listed as an appendix to the approval document</w:t>
      </w:r>
      <w:r w:rsidR="007714CF">
        <w:rPr>
          <w:b/>
        </w:rPr>
        <w:t>:</w:t>
      </w:r>
    </w:p>
    <w:tbl>
      <w:tblPr>
        <w:tblW w:w="951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85"/>
        <w:gridCol w:w="185"/>
        <w:gridCol w:w="274"/>
        <w:gridCol w:w="274"/>
        <w:gridCol w:w="274"/>
        <w:gridCol w:w="274"/>
        <w:gridCol w:w="207"/>
        <w:gridCol w:w="274"/>
        <w:gridCol w:w="274"/>
        <w:gridCol w:w="274"/>
        <w:gridCol w:w="274"/>
        <w:gridCol w:w="4334"/>
      </w:tblGrid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/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hRule="exact" w:val="85"/>
        </w:trPr>
        <w:tc>
          <w:tcPr>
            <w:tcW w:w="33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3" w:type="dxa"/>
            <w:tcBorders>
              <w:top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cantSplit/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  <w:r w:rsidRPr="001E0718">
              <w:rPr>
                <w:rFonts w:eastAsia="MS Mincho"/>
                <w:b/>
                <w:lang w:eastAsia="ja-JP"/>
              </w:rPr>
              <w:t>Digital suffix</w:t>
            </w:r>
            <w:r w:rsidRPr="001E0718">
              <w:rPr>
                <w:rFonts w:eastAsia="MS Mincho"/>
                <w:lang w:eastAsia="ja-JP"/>
              </w:rPr>
              <w:t xml:space="preserve">   </w:t>
            </w:r>
            <w:r w:rsidRPr="00B13068">
              <w:rPr>
                <w:rFonts w:eastAsia="MS Mincho"/>
                <w:strike/>
                <w:lang w:eastAsia="ja-JP"/>
              </w:rPr>
              <w:t>4 digits</w:t>
            </w:r>
            <w:r w:rsidRPr="00BC0121">
              <w:rPr>
                <w:rFonts w:eastAsia="MS Mincho"/>
                <w:lang w:eastAsia="ja-JP"/>
              </w:rPr>
              <w:t xml:space="preserve"> indicate</w:t>
            </w:r>
            <w:r w:rsidRPr="001E0718">
              <w:rPr>
                <w:rFonts w:eastAsia="MS Mincho"/>
                <w:b/>
                <w:lang w:eastAsia="ja-JP"/>
              </w:rPr>
              <w:t>s</w:t>
            </w:r>
            <w:r w:rsidRPr="001E0718">
              <w:rPr>
                <w:rFonts w:eastAsia="MS Mincho"/>
                <w:lang w:eastAsia="ja-JP"/>
              </w:rPr>
              <w:t xml:space="preserve"> </w:t>
            </w:r>
            <w:r w:rsidRPr="00BC0121">
              <w:rPr>
                <w:rFonts w:eastAsia="MS Mincho"/>
                <w:lang w:eastAsia="ja-JP"/>
              </w:rPr>
              <w:t xml:space="preserve">the </w:t>
            </w:r>
            <w:r w:rsidRPr="001E0718">
              <w:rPr>
                <w:rFonts w:eastAsia="MS Mincho"/>
                <w:b/>
                <w:lang w:eastAsia="ja-JP"/>
              </w:rPr>
              <w:t>Test Group</w:t>
            </w:r>
            <w:r w:rsidRPr="001E0718">
              <w:rPr>
                <w:rFonts w:eastAsia="MS Mincho"/>
                <w:lang w:eastAsia="ja-JP"/>
              </w:rPr>
              <w:t xml:space="preserve"> </w:t>
            </w:r>
            <w:r w:rsidRPr="00B13068">
              <w:rPr>
                <w:rFonts w:eastAsia="MS Mincho"/>
                <w:strike/>
                <w:lang w:eastAsia="ja-JP"/>
              </w:rPr>
              <w:t xml:space="preserve">variant </w:t>
            </w:r>
            <w:r w:rsidRPr="00BC0121">
              <w:rPr>
                <w:rFonts w:eastAsia="MS Mincho"/>
                <w:lang w:eastAsia="ja-JP"/>
              </w:rPr>
              <w:t xml:space="preserve">/ shoe / back plate / specific dimension of the replacement part </w:t>
            </w:r>
            <w:r w:rsidRPr="00491021">
              <w:rPr>
                <w:rFonts w:eastAsia="MS Mincho"/>
                <w:strike/>
                <w:lang w:eastAsia="ja-JP"/>
              </w:rPr>
              <w:t>(0001 to 9999)</w:t>
            </w:r>
          </w:p>
        </w:tc>
      </w:tr>
      <w:tr w:rsidR="00D26C51" w:rsidRPr="00BC0121" w:rsidTr="00553459">
        <w:trPr>
          <w:cantSplit/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cantSplit/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  <w:r w:rsidRPr="001E0718">
              <w:rPr>
                <w:rFonts w:eastAsia="MS Mincho"/>
                <w:b/>
                <w:lang w:eastAsia="ja-JP"/>
              </w:rPr>
              <w:t>Digital series</w:t>
            </w:r>
            <w:r w:rsidRPr="001E0718">
              <w:rPr>
                <w:rFonts w:eastAsia="MS Mincho"/>
                <w:lang w:eastAsia="ja-JP"/>
              </w:rPr>
              <w:t xml:space="preserve"> </w:t>
            </w:r>
            <w:r w:rsidRPr="00B13068">
              <w:rPr>
                <w:rFonts w:eastAsia="MS Mincho"/>
                <w:strike/>
                <w:lang w:eastAsia="ja-JP"/>
              </w:rPr>
              <w:t>4 digits</w:t>
            </w:r>
            <w:r w:rsidRPr="00BC0121">
              <w:rPr>
                <w:rFonts w:eastAsia="MS Mincho"/>
                <w:lang w:eastAsia="ja-JP"/>
              </w:rPr>
              <w:t xml:space="preserve"> indicate</w:t>
            </w:r>
            <w:r w:rsidRPr="001E0718">
              <w:rPr>
                <w:rFonts w:eastAsia="MS Mincho"/>
                <w:b/>
                <w:lang w:eastAsia="ja-JP"/>
              </w:rPr>
              <w:t>s</w:t>
            </w:r>
            <w:r w:rsidRPr="00BC0121">
              <w:rPr>
                <w:rFonts w:eastAsia="MS Mincho"/>
                <w:lang w:eastAsia="ja-JP"/>
              </w:rPr>
              <w:t xml:space="preserve"> (manufacturer and) the type of the replacement part </w:t>
            </w:r>
            <w:r w:rsidRPr="00491021">
              <w:rPr>
                <w:rFonts w:eastAsia="MS Mincho"/>
                <w:strike/>
                <w:lang w:eastAsia="ja-JP"/>
              </w:rPr>
              <w:t>(0001 to 9999)</w:t>
            </w:r>
          </w:p>
        </w:tc>
      </w:tr>
      <w:tr w:rsidR="00D26C51" w:rsidRPr="00BC0121" w:rsidTr="00553459">
        <w:trPr>
          <w:cantSplit/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  <w:r w:rsidRPr="00BC0121">
              <w:rPr>
                <w:rFonts w:eastAsia="MS Mincho"/>
                <w:lang w:eastAsia="ja-JP"/>
              </w:rPr>
              <w:t>1 digit (A to D) indicates the category of the replacement part</w:t>
            </w: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  <w:r w:rsidRPr="00BC0121">
              <w:rPr>
                <w:rFonts w:eastAsia="MS Mincho"/>
                <w:lang w:eastAsia="ja-JP"/>
              </w:rPr>
              <w:t>2 digits indicate series of amendment (01 to 99)</w:t>
            </w: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val="255"/>
        </w:trPr>
        <w:tc>
          <w:tcPr>
            <w:tcW w:w="12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lang w:eastAsia="ja-JP"/>
              </w:rPr>
            </w:pPr>
          </w:p>
        </w:tc>
      </w:tr>
    </w:tbl>
    <w:p w:rsidR="00D26C51" w:rsidRPr="00BC0121" w:rsidRDefault="00D26C51" w:rsidP="00D26C51">
      <w:pPr>
        <w:pStyle w:val="SingleTxtG"/>
        <w:spacing w:before="120"/>
        <w:ind w:left="2268" w:hanging="567"/>
      </w:pPr>
      <w:r w:rsidRPr="00BC0121">
        <w:t>Example:</w:t>
      </w:r>
    </w:p>
    <w:tbl>
      <w:tblPr>
        <w:tblW w:w="951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85"/>
        <w:gridCol w:w="185"/>
        <w:gridCol w:w="274"/>
        <w:gridCol w:w="363"/>
        <w:gridCol w:w="274"/>
        <w:gridCol w:w="274"/>
        <w:gridCol w:w="207"/>
        <w:gridCol w:w="363"/>
        <w:gridCol w:w="274"/>
        <w:gridCol w:w="274"/>
        <w:gridCol w:w="274"/>
        <w:gridCol w:w="4334"/>
      </w:tblGrid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BC0121">
              <w:rPr>
                <w:rFonts w:ascii="Arial" w:eastAsia="MS Mincho" w:hAnsi="Arial" w:cs="Arial"/>
                <w:lang w:eastAsia="ja-JP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BC0121">
              <w:rPr>
                <w:rFonts w:ascii="Arial" w:eastAsia="MS Mincho" w:hAnsi="Arial" w:cs="Arial"/>
                <w:lang w:eastAsia="ja-JP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BC0121">
              <w:rPr>
                <w:rFonts w:ascii="Arial" w:eastAsia="MS Mincho" w:hAnsi="Arial" w:cs="Arial"/>
                <w:lang w:eastAsia="ja-JP"/>
              </w:rPr>
              <w:t>C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161CF4" w:rsidRDefault="00D26C51" w:rsidP="00553459">
            <w:pPr>
              <w:jc w:val="center"/>
              <w:rPr>
                <w:rFonts w:ascii="Arial" w:eastAsia="MS Mincho" w:hAnsi="Arial" w:cs="Arial"/>
                <w:b/>
                <w:color w:val="FF0000"/>
                <w:lang w:eastAsia="ja-JP"/>
              </w:rPr>
            </w:pPr>
            <w:r w:rsidRPr="001E0718">
              <w:rPr>
                <w:rFonts w:ascii="Arial" w:eastAsia="MS Mincho" w:hAnsi="Arial" w:cs="Arial"/>
                <w:b/>
                <w:lang w:eastAsia="ja-JP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0</w:t>
            </w:r>
            <w:r w:rsidRPr="00BC0121">
              <w:rPr>
                <w:rFonts w:ascii="Arial" w:eastAsia="MS Mincho" w:hAnsi="Arial" w:cs="Arial"/>
                <w:lang w:eastAsia="ja-JP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BC0121">
              <w:rPr>
                <w:rFonts w:ascii="Arial" w:eastAsia="MS Mincho" w:hAnsi="Arial" w:cs="Arial"/>
                <w:lang w:eastAsia="ja-JP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BC0121">
              <w:rPr>
                <w:rFonts w:ascii="Arial" w:eastAsia="MS Mincho" w:hAnsi="Arial" w:cs="Arial"/>
                <w:lang w:eastAsia="ja-JP"/>
              </w:rPr>
              <w:t>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BC0121">
              <w:rPr>
                <w:rFonts w:ascii="Arial" w:eastAsia="MS Mincho" w:hAnsi="Arial" w:cs="Arial"/>
                <w:lang w:eastAsia="ja-JP"/>
              </w:rPr>
              <w:t>/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1E0718">
              <w:rPr>
                <w:rFonts w:ascii="Arial" w:eastAsia="MS Mincho" w:hAnsi="Arial" w:cs="Arial"/>
                <w:b/>
                <w:lang w:eastAsia="ja-JP"/>
              </w:rPr>
              <w:t>0</w:t>
            </w:r>
            <w:r w:rsidRPr="00BC0121">
              <w:rPr>
                <w:rFonts w:ascii="Arial" w:eastAsia="MS Mincho" w:hAnsi="Arial" w:cs="Arial"/>
                <w:lang w:eastAsia="ja-JP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BC0121">
              <w:rPr>
                <w:rFonts w:ascii="Arial" w:eastAsia="MS Mincho" w:hAnsi="Arial" w:cs="Arial"/>
                <w:lang w:eastAsia="ja-JP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BC0121">
              <w:rPr>
                <w:rFonts w:ascii="Arial" w:eastAsia="MS Mincho" w:hAnsi="Arial" w:cs="Arial"/>
                <w:lang w:eastAsia="ja-JP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BC0121">
              <w:rPr>
                <w:rFonts w:ascii="Arial" w:eastAsia="MS Mincho" w:hAnsi="Arial" w:cs="Arial"/>
                <w:lang w:eastAsia="ja-JP"/>
              </w:rPr>
              <w:t>8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hRule="exact" w:val="85"/>
        </w:trPr>
        <w:tc>
          <w:tcPr>
            <w:tcW w:w="33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3" w:type="dxa"/>
            <w:tcBorders>
              <w:top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lang w:eastAsia="ja-JP"/>
              </w:rPr>
            </w:pPr>
            <w:r w:rsidRPr="001E0718">
              <w:rPr>
                <w:rFonts w:eastAsia="MS Mincho"/>
                <w:b/>
                <w:lang w:eastAsia="ja-JP"/>
              </w:rPr>
              <w:t>Test Group</w:t>
            </w:r>
            <w:r w:rsidRPr="001E0718">
              <w:rPr>
                <w:rFonts w:eastAsia="MS Mincho"/>
                <w:lang w:eastAsia="ja-JP"/>
              </w:rPr>
              <w:t xml:space="preserve"> </w:t>
            </w:r>
            <w:r w:rsidRPr="002C2F47">
              <w:rPr>
                <w:rFonts w:eastAsia="MS Mincho"/>
                <w:strike/>
                <w:lang w:eastAsia="ja-JP"/>
              </w:rPr>
              <w:t>Variant</w:t>
            </w:r>
            <w:r w:rsidRPr="00BC0121">
              <w:rPr>
                <w:rFonts w:eastAsia="MS Mincho"/>
                <w:lang w:eastAsia="ja-JP"/>
              </w:rPr>
              <w:t xml:space="preserve"> No. </w:t>
            </w:r>
            <w:r w:rsidRPr="001E0718">
              <w:rPr>
                <w:rFonts w:eastAsia="MS Mincho"/>
                <w:b/>
                <w:lang w:eastAsia="ja-JP"/>
              </w:rPr>
              <w:t>0</w:t>
            </w:r>
            <w:r w:rsidRPr="00BC0121">
              <w:rPr>
                <w:rFonts w:eastAsia="MS Mincho"/>
                <w:lang w:eastAsia="ja-JP"/>
              </w:rPr>
              <w:t>7248</w:t>
            </w: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lang w:eastAsia="ja-JP"/>
              </w:rPr>
            </w:pPr>
            <w:r w:rsidRPr="00BC0121">
              <w:rPr>
                <w:rFonts w:eastAsia="MS Mincho"/>
                <w:lang w:eastAsia="ja-JP"/>
              </w:rPr>
              <w:t xml:space="preserve">Type No. </w:t>
            </w:r>
            <w:r w:rsidRPr="001E0718">
              <w:rPr>
                <w:rFonts w:eastAsia="MS Mincho"/>
                <w:b/>
                <w:lang w:eastAsia="ja-JP"/>
              </w:rPr>
              <w:t>0</w:t>
            </w:r>
            <w:r w:rsidRPr="00BC0121">
              <w:rPr>
                <w:rFonts w:eastAsia="MS Mincho"/>
                <w:lang w:eastAsia="ja-JP"/>
              </w:rPr>
              <w:t>0359</w:t>
            </w: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lang w:eastAsia="ja-JP"/>
              </w:rPr>
            </w:pPr>
            <w:r w:rsidRPr="00BC0121">
              <w:rPr>
                <w:rFonts w:eastAsia="MS Mincho"/>
                <w:lang w:eastAsia="ja-JP"/>
              </w:rPr>
              <w:t>Brake disc</w:t>
            </w: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lang w:eastAsia="ja-JP"/>
              </w:rPr>
            </w:pPr>
          </w:p>
        </w:tc>
      </w:tr>
      <w:tr w:rsidR="00D26C51" w:rsidRPr="00BC0121" w:rsidTr="00553459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C51" w:rsidRPr="00BC0121" w:rsidRDefault="00D26C51" w:rsidP="00553459">
            <w:pPr>
              <w:rPr>
                <w:rFonts w:eastAsia="MS Mincho"/>
                <w:lang w:eastAsia="ja-JP"/>
              </w:rPr>
            </w:pPr>
            <w:r w:rsidRPr="00BC0121">
              <w:rPr>
                <w:rFonts w:eastAsia="MS Mincho"/>
                <w:lang w:eastAsia="ja-JP"/>
              </w:rPr>
              <w:t>Amendment 02</w:t>
            </w:r>
          </w:p>
        </w:tc>
      </w:tr>
    </w:tbl>
    <w:p w:rsidR="00A46E83" w:rsidRPr="00A46E83" w:rsidRDefault="00A46E83" w:rsidP="00A46E83">
      <w:pPr>
        <w:pStyle w:val="SingleTxtG"/>
        <w:keepNext/>
        <w:keepLines/>
        <w:spacing w:before="240"/>
        <w:ind w:left="2268" w:hanging="1134"/>
        <w:jc w:val="right"/>
      </w:pPr>
      <w:r w:rsidRPr="00A46E83">
        <w:t>"</w:t>
      </w:r>
    </w:p>
    <w:p w:rsidR="00583761" w:rsidRPr="00B5312D" w:rsidRDefault="00583761" w:rsidP="00886949">
      <w:pPr>
        <w:pStyle w:val="SingleTxtG"/>
        <w:keepNext/>
        <w:keepLines/>
        <w:spacing w:before="240"/>
        <w:ind w:left="2268" w:hanging="1134"/>
      </w:pPr>
      <w:bookmarkStart w:id="0" w:name="_GoBack"/>
      <w:bookmarkEnd w:id="0"/>
      <w:r w:rsidRPr="00B5312D">
        <w:rPr>
          <w:i/>
        </w:rPr>
        <w:t>Paragraph 5.3.6.,</w:t>
      </w:r>
      <w:r w:rsidRPr="00B5312D">
        <w:t xml:space="preserve"> amend to read</w:t>
      </w:r>
    </w:p>
    <w:p w:rsidR="00D26C51" w:rsidRPr="00BC0121" w:rsidRDefault="00A46E83" w:rsidP="00886949">
      <w:pPr>
        <w:pStyle w:val="SingleTxtG"/>
        <w:ind w:left="2268" w:hanging="1134"/>
      </w:pPr>
      <w:r>
        <w:t>"5.3.6</w:t>
      </w:r>
      <w:r w:rsidR="003C1544">
        <w:t>.</w:t>
      </w:r>
      <w:r w:rsidR="00D26C51" w:rsidRPr="00BC0121">
        <w:tab/>
        <w:t xml:space="preserve">Test </w:t>
      </w:r>
      <w:r w:rsidR="00D26C51" w:rsidRPr="00BC0121">
        <w:rPr>
          <w:rFonts w:cs="Courier New"/>
          <w:spacing w:val="1"/>
        </w:rPr>
        <w:t>group</w:t>
      </w:r>
      <w:r w:rsidR="00D26C51" w:rsidRPr="00BC0121">
        <w:t xml:space="preserve"> criteria (within the same type)</w:t>
      </w:r>
    </w:p>
    <w:p w:rsidR="00D26C51" w:rsidRPr="00B4174A" w:rsidRDefault="00D26C51" w:rsidP="00886949">
      <w:pPr>
        <w:pStyle w:val="SingleTxtG"/>
        <w:ind w:left="2268"/>
        <w:rPr>
          <w:strike/>
        </w:rPr>
      </w:pPr>
      <w:r w:rsidRPr="0085103E">
        <w:rPr>
          <w:strike/>
        </w:rPr>
        <w:lastRenderedPageBreak/>
        <w:t xml:space="preserve">The testing in test </w:t>
      </w:r>
      <w:r w:rsidRPr="0085103E">
        <w:rPr>
          <w:rFonts w:cs="Courier New"/>
          <w:strike/>
          <w:spacing w:val="1"/>
        </w:rPr>
        <w:t>groups</w:t>
      </w:r>
      <w:r w:rsidRPr="0085103E">
        <w:rPr>
          <w:strike/>
        </w:rPr>
        <w:t xml:space="preserve"> is possible for interchangeable parts only if the connection between the mounting area and the disc friction faces are of the same general form.</w:t>
      </w:r>
    </w:p>
    <w:p w:rsidR="00583761" w:rsidRPr="00B971FE" w:rsidRDefault="00D26C51" w:rsidP="00886949">
      <w:pPr>
        <w:pStyle w:val="SingleTxtG"/>
        <w:ind w:left="2268"/>
        <w:rPr>
          <w:b/>
        </w:rPr>
      </w:pPr>
      <w:r w:rsidRPr="00B971FE">
        <w:rPr>
          <w:b/>
        </w:rPr>
        <w:t xml:space="preserve">It is only possible to test interchangeable parts in </w:t>
      </w:r>
      <w:r w:rsidR="00886949">
        <w:rPr>
          <w:b/>
        </w:rPr>
        <w:t>T</w:t>
      </w:r>
      <w:r w:rsidRPr="00B971FE">
        <w:rPr>
          <w:b/>
        </w:rPr>
        <w:t xml:space="preserve">est </w:t>
      </w:r>
      <w:r w:rsidR="00886949">
        <w:rPr>
          <w:rFonts w:cs="Courier New"/>
          <w:b/>
          <w:spacing w:val="1"/>
        </w:rPr>
        <w:t>G</w:t>
      </w:r>
      <w:r w:rsidRPr="00B971FE">
        <w:rPr>
          <w:rFonts w:cs="Courier New"/>
          <w:b/>
          <w:spacing w:val="1"/>
        </w:rPr>
        <w:t>roups</w:t>
      </w:r>
      <w:r w:rsidRPr="00B971FE">
        <w:rPr>
          <w:b/>
        </w:rPr>
        <w:t xml:space="preserve"> if the connection between the mounting area and the disc friction faces are of the same general form</w:t>
      </w:r>
      <w:r w:rsidR="00A46E83">
        <w:rPr>
          <w:b/>
        </w:rPr>
        <w:t>…."</w:t>
      </w:r>
    </w:p>
    <w:p w:rsidR="00D26C51" w:rsidRPr="00B5312D" w:rsidRDefault="00583761" w:rsidP="00886949">
      <w:pPr>
        <w:pStyle w:val="SingleTxtG"/>
        <w:keepNext/>
        <w:keepLines/>
        <w:ind w:left="2268" w:hanging="1134"/>
      </w:pPr>
      <w:r w:rsidRPr="00B5312D">
        <w:rPr>
          <w:i/>
        </w:rPr>
        <w:t>Paragraph 5.3.7.4.,</w:t>
      </w:r>
      <w:r w:rsidRPr="00B5312D">
        <w:t xml:space="preserve"> amend to read</w:t>
      </w:r>
      <w:r w:rsidR="003C1544">
        <w:t>:</w:t>
      </w:r>
    </w:p>
    <w:p w:rsidR="00D26C51" w:rsidRPr="00BC0121" w:rsidRDefault="00A46E83" w:rsidP="00886949">
      <w:pPr>
        <w:pStyle w:val="SingleTxtG"/>
        <w:ind w:left="2268" w:hanging="1134"/>
      </w:pPr>
      <w:r>
        <w:t>"5.3.7.4.</w:t>
      </w:r>
      <w:r w:rsidR="00D26C51" w:rsidRPr="00BC0121">
        <w:tab/>
      </w:r>
      <w:r w:rsidR="00D26C51" w:rsidRPr="00BC0121">
        <w:rPr>
          <w:rFonts w:cs="Courier New"/>
          <w:spacing w:val="1"/>
        </w:rPr>
        <w:t>Tests</w:t>
      </w:r>
    </w:p>
    <w:p w:rsidR="00D26C51" w:rsidRPr="00BC0121" w:rsidRDefault="00D26C51" w:rsidP="00886949">
      <w:pPr>
        <w:pStyle w:val="SingleTxtG"/>
        <w:ind w:left="2268"/>
      </w:pPr>
      <w:r w:rsidRPr="00BC0121">
        <w:t xml:space="preserve">Each test group (see 5.3.6.) within a particular type of replacement brake disc/drum (see </w:t>
      </w:r>
      <w:r w:rsidRPr="009D6891">
        <w:rPr>
          <w:strike/>
        </w:rPr>
        <w:t>3.3.2</w:t>
      </w:r>
      <w:r w:rsidRPr="00BC0121">
        <w:t>.</w:t>
      </w:r>
      <w:r>
        <w:t xml:space="preserve"> </w:t>
      </w:r>
      <w:r w:rsidRPr="00B971FE">
        <w:rPr>
          <w:b/>
        </w:rPr>
        <w:t>5.3.5</w:t>
      </w:r>
      <w:r>
        <w:t>.</w:t>
      </w:r>
      <w:r w:rsidRPr="00BC0121">
        <w:t>) shall be tested by the Technical Service.</w:t>
      </w:r>
      <w:r w:rsidR="00A46E83">
        <w:t>"</w:t>
      </w:r>
    </w:p>
    <w:p w:rsidR="00D26C51" w:rsidRDefault="00D26C51" w:rsidP="00D26C51">
      <w:pPr>
        <w:pStyle w:val="HChG"/>
        <w:keepNext w:val="0"/>
        <w:keepLines w:val="0"/>
        <w:ind w:left="0" w:right="1138" w:firstLine="0"/>
        <w:rPr>
          <w:snapToGrid w:val="0"/>
        </w:rPr>
      </w:pPr>
      <w:r>
        <w:tab/>
        <w:t>II</w:t>
      </w:r>
      <w:r w:rsidRPr="00A05BA3">
        <w:t>.</w:t>
      </w:r>
      <w:r w:rsidRPr="00A05BA3">
        <w:tab/>
      </w:r>
      <w:r>
        <w:rPr>
          <w:snapToGrid w:val="0"/>
        </w:rPr>
        <w:t>Justification</w:t>
      </w:r>
    </w:p>
    <w:p w:rsidR="00D26C51" w:rsidRPr="00583761" w:rsidRDefault="00B5312D" w:rsidP="00B5312D">
      <w:pPr>
        <w:pStyle w:val="H23G"/>
      </w:pPr>
      <w:r>
        <w:tab/>
        <w:t>A.</w:t>
      </w:r>
      <w:r>
        <w:tab/>
      </w:r>
      <w:r w:rsidR="00A13BA2">
        <w:t>P</w:t>
      </w:r>
      <w:r w:rsidR="00D26C51" w:rsidRPr="00583761">
        <w:t>aragraph 4.2.3.</w:t>
      </w:r>
    </w:p>
    <w:p w:rsidR="00A13BA2" w:rsidRDefault="00B5312D" w:rsidP="00B5312D">
      <w:pPr>
        <w:pStyle w:val="SingleTxtG"/>
      </w:pPr>
      <w:r>
        <w:t>(a)</w:t>
      </w:r>
      <w:r>
        <w:tab/>
      </w:r>
      <w:r w:rsidR="00A13BA2">
        <w:t>Test Group</w:t>
      </w:r>
    </w:p>
    <w:p w:rsidR="00D26C51" w:rsidRDefault="00A13BA2" w:rsidP="00B5312D">
      <w:pPr>
        <w:pStyle w:val="SingleTxtG"/>
      </w:pPr>
      <w:r>
        <w:t>1.</w:t>
      </w:r>
      <w:r>
        <w:tab/>
      </w:r>
      <w:r w:rsidR="00D26C51">
        <w:t>As currently worded the approval of a Test Group requires individual certification for each part contained within the Test Group</w:t>
      </w:r>
      <w:r w:rsidR="00886949">
        <w:t>.</w:t>
      </w:r>
    </w:p>
    <w:p w:rsidR="00D26C51" w:rsidRDefault="00A13BA2" w:rsidP="00B5312D">
      <w:pPr>
        <w:pStyle w:val="SingleTxtG"/>
      </w:pPr>
      <w:r>
        <w:t>2.</w:t>
      </w:r>
      <w:r>
        <w:tab/>
      </w:r>
      <w:r w:rsidR="00D26C51">
        <w:t>Some Test Groups can contain in the region of 30 part numbers</w:t>
      </w:r>
      <w:r w:rsidR="00886949">
        <w:t>.</w:t>
      </w:r>
    </w:p>
    <w:p w:rsidR="00D26C51" w:rsidRDefault="00A13BA2" w:rsidP="00B5312D">
      <w:pPr>
        <w:pStyle w:val="SingleTxtG"/>
      </w:pPr>
      <w:r>
        <w:t>3.</w:t>
      </w:r>
      <w:r>
        <w:tab/>
      </w:r>
      <w:r w:rsidR="00D26C51">
        <w:t>The current wording thus increases the administrative burden and the consequent cost to the applicant of securing approval at no safety benefit to the</w:t>
      </w:r>
      <w:r w:rsidR="00886949">
        <w:t xml:space="preserve"> consumer.</w:t>
      </w:r>
    </w:p>
    <w:p w:rsidR="00D26C51" w:rsidRDefault="00A13BA2" w:rsidP="00B5312D">
      <w:pPr>
        <w:pStyle w:val="SingleTxtG"/>
      </w:pPr>
      <w:r>
        <w:t>4.</w:t>
      </w:r>
      <w:r>
        <w:tab/>
      </w:r>
      <w:r w:rsidR="00D26C51">
        <w:t>This was not the intention of the working group that drafted the extension to R</w:t>
      </w:r>
      <w:r>
        <w:t xml:space="preserve">egulation No. </w:t>
      </w:r>
      <w:r w:rsidR="00D26C51">
        <w:t>90 and is different to brake linings where the approval of all parts contained within a Test Group are covered by a single certificate</w:t>
      </w:r>
      <w:r w:rsidR="00886949">
        <w:t>.</w:t>
      </w:r>
    </w:p>
    <w:p w:rsidR="00D26C51" w:rsidRDefault="00A13BA2" w:rsidP="00B5312D">
      <w:pPr>
        <w:pStyle w:val="SingleTxtG"/>
      </w:pPr>
      <w:r>
        <w:t>5.</w:t>
      </w:r>
      <w:r>
        <w:tab/>
      </w:r>
      <w:r w:rsidR="00D26C51">
        <w:t>This proposal thus harmonises the system and practice for brake discs and dr</w:t>
      </w:r>
      <w:r w:rsidR="00886949">
        <w:t>ums with that for brake linings.</w:t>
      </w:r>
    </w:p>
    <w:p w:rsidR="00A13BA2" w:rsidRDefault="00B5312D" w:rsidP="00B5312D">
      <w:pPr>
        <w:pStyle w:val="SingleTxtG"/>
      </w:pPr>
      <w:r>
        <w:t>(</w:t>
      </w:r>
      <w:r w:rsidR="00D26C51" w:rsidRPr="00AD60A4">
        <w:t>b)</w:t>
      </w:r>
      <w:r>
        <w:tab/>
      </w:r>
      <w:r w:rsidR="00A13BA2">
        <w:t>Digit number for Type and Test Group</w:t>
      </w:r>
    </w:p>
    <w:p w:rsidR="00D26C51" w:rsidRPr="00AD60A4" w:rsidRDefault="00A13BA2" w:rsidP="00B5312D">
      <w:pPr>
        <w:pStyle w:val="SingleTxtG"/>
      </w:pPr>
      <w:r>
        <w:t>6.</w:t>
      </w:r>
      <w:r>
        <w:tab/>
      </w:r>
      <w:r w:rsidR="00D26C51" w:rsidRPr="00AD60A4">
        <w:t>The restriction on the number of digits (4) used to define the Type and Test Group has been removed since the number of approvals issued has already exceeded 4 digits w</w:t>
      </w:r>
      <w:r w:rsidR="00886949">
        <w:t>ith some Approving Authorities.</w:t>
      </w:r>
    </w:p>
    <w:p w:rsidR="00A13BA2" w:rsidRDefault="00B5312D" w:rsidP="00B5312D">
      <w:pPr>
        <w:pStyle w:val="SingleTxtG"/>
      </w:pPr>
      <w:r>
        <w:t>(</w:t>
      </w:r>
      <w:r w:rsidR="00D26C51" w:rsidRPr="00AD60A4">
        <w:t>c)</w:t>
      </w:r>
      <w:r>
        <w:tab/>
      </w:r>
      <w:r w:rsidR="00A13BA2">
        <w:t>Approval document</w:t>
      </w:r>
    </w:p>
    <w:p w:rsidR="00D26C51" w:rsidRPr="00AD60A4" w:rsidRDefault="00A13BA2" w:rsidP="00B5312D">
      <w:pPr>
        <w:pStyle w:val="SingleTxtG"/>
      </w:pPr>
      <w:r>
        <w:t>7.</w:t>
      </w:r>
      <w:r>
        <w:tab/>
      </w:r>
      <w:r w:rsidR="00D26C51" w:rsidRPr="00AD60A4">
        <w:t>The requirement for an appendix to the approval document listing the variants that have formed the Test Group has been added</w:t>
      </w:r>
      <w:r w:rsidR="00886949">
        <w:t>.</w:t>
      </w:r>
    </w:p>
    <w:p w:rsidR="00D26C51" w:rsidRPr="00583761" w:rsidRDefault="00B5312D" w:rsidP="00B5312D">
      <w:pPr>
        <w:pStyle w:val="H23G"/>
      </w:pPr>
      <w:r>
        <w:tab/>
        <w:t>B.</w:t>
      </w:r>
      <w:r>
        <w:tab/>
      </w:r>
      <w:r w:rsidR="00A13BA2">
        <w:t>P</w:t>
      </w:r>
      <w:r w:rsidR="00D26C51" w:rsidRPr="00583761">
        <w:t>aragraph 5.3.6.</w:t>
      </w:r>
    </w:p>
    <w:p w:rsidR="00D26C51" w:rsidRPr="00AD60A4" w:rsidRDefault="00A13BA2" w:rsidP="00B5312D">
      <w:pPr>
        <w:ind w:left="1134"/>
      </w:pPr>
      <w:r>
        <w:t>8.</w:t>
      </w:r>
      <w:r>
        <w:tab/>
      </w:r>
      <w:r w:rsidR="00D26C51" w:rsidRPr="00AD60A4">
        <w:t>An editorial change has been made to improve clarity of understanding</w:t>
      </w:r>
      <w:r w:rsidR="00886949">
        <w:t>.</w:t>
      </w:r>
    </w:p>
    <w:p w:rsidR="00D26C51" w:rsidRPr="00583761" w:rsidRDefault="00B5312D" w:rsidP="00B5312D">
      <w:pPr>
        <w:pStyle w:val="H23G"/>
      </w:pPr>
      <w:r>
        <w:tab/>
        <w:t>C.</w:t>
      </w:r>
      <w:r>
        <w:tab/>
      </w:r>
      <w:r w:rsidR="00A13BA2">
        <w:t>P</w:t>
      </w:r>
      <w:r w:rsidR="00D26C51" w:rsidRPr="00583761">
        <w:t xml:space="preserve">aragraph 5.3.7.4. </w:t>
      </w:r>
    </w:p>
    <w:p w:rsidR="00D26C51" w:rsidRPr="009D6891" w:rsidRDefault="00886949" w:rsidP="00B5312D">
      <w:pPr>
        <w:pStyle w:val="SingleTxtG"/>
      </w:pPr>
      <w:r>
        <w:t>9.</w:t>
      </w:r>
      <w:r>
        <w:tab/>
      </w:r>
      <w:r w:rsidR="00D26C51">
        <w:t xml:space="preserve">A correction to a numbering error: </w:t>
      </w:r>
      <w:r w:rsidR="00A13BA2">
        <w:t>p</w:t>
      </w:r>
      <w:r w:rsidR="00D26C51">
        <w:t>ara</w:t>
      </w:r>
      <w:r>
        <w:t>graph</w:t>
      </w:r>
      <w:r w:rsidR="00D26C51">
        <w:t xml:space="preserve"> 3.3.2. refers to brake lining assemblies, not brake discs and drums; </w:t>
      </w:r>
      <w:r w:rsidR="00A13BA2">
        <w:t>p</w:t>
      </w:r>
      <w:r w:rsidR="00D26C51">
        <w:t>ara</w:t>
      </w:r>
      <w:r>
        <w:t>graph</w:t>
      </w:r>
      <w:r w:rsidR="00D26C51">
        <w:t xml:space="preserve"> 5.3.5. defines the type of brake disc/drum</w:t>
      </w:r>
      <w:r w:rsidR="00A13BA2">
        <w:t>.</w:t>
      </w:r>
    </w:p>
    <w:p w:rsidR="005A198E" w:rsidRPr="00B5312D" w:rsidRDefault="00B5312D" w:rsidP="00B5312D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198E" w:rsidRPr="00B5312D" w:rsidSect="00B5312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FB" w:rsidRDefault="006A18FB"/>
  </w:endnote>
  <w:endnote w:type="continuationSeparator" w:id="0">
    <w:p w:rsidR="006A18FB" w:rsidRDefault="006A18FB"/>
  </w:endnote>
  <w:endnote w:type="continuationNotice" w:id="1">
    <w:p w:rsidR="006A18FB" w:rsidRDefault="006A1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3F5692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3F5692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3F5692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709">
      <w:rPr>
        <w:sz w:val="20"/>
      </w:rPr>
      <w:t>GE.1</w:t>
    </w:r>
    <w:r w:rsidR="00B5312D">
      <w:rPr>
        <w:sz w:val="20"/>
      </w:rPr>
      <w:t>5</w:t>
    </w:r>
    <w:r w:rsidR="00A73709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FB" w:rsidRPr="000B175B" w:rsidRDefault="006A18F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18FB" w:rsidRPr="00FC68B7" w:rsidRDefault="006A18F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18FB" w:rsidRDefault="006A18FB"/>
  </w:footnote>
  <w:footnote w:id="2">
    <w:p w:rsidR="00866E93" w:rsidRPr="002232AF" w:rsidRDefault="00866E93" w:rsidP="00866E93">
      <w:pPr>
        <w:pStyle w:val="FootnoteText"/>
        <w:jc w:val="both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>
    <w:pPr>
      <w:pStyle w:val="Header"/>
    </w:pPr>
    <w:r>
      <w:t>ECE/TRANS/WP.29/GRRF/201</w:t>
    </w:r>
    <w:r w:rsidR="00F87B5E">
      <w:t>5</w:t>
    </w:r>
    <w:r>
      <w:t>/</w:t>
    </w:r>
    <w:r w:rsidR="00B5312D"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Header"/>
      <w:jc w:val="right"/>
    </w:pPr>
    <w:r>
      <w:t>ECE/TRANS/WP.29/GRRF/201</w:t>
    </w:r>
    <w:r w:rsidR="00F87B5E">
      <w:t>5</w:t>
    </w:r>
    <w:r>
      <w:t>/</w:t>
    </w:r>
    <w:r w:rsidR="00B5312D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19">
    <w:nsid w:val="7E950154"/>
    <w:multiLevelType w:val="hybridMultilevel"/>
    <w:tmpl w:val="49D287BC"/>
    <w:lvl w:ilvl="0" w:tplc="1BD63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30044"/>
    <w:rsid w:val="00046B1F"/>
    <w:rsid w:val="00050F6B"/>
    <w:rsid w:val="00052635"/>
    <w:rsid w:val="00057E97"/>
    <w:rsid w:val="000610EE"/>
    <w:rsid w:val="000646F4"/>
    <w:rsid w:val="00072C8C"/>
    <w:rsid w:val="000733B5"/>
    <w:rsid w:val="000743D1"/>
    <w:rsid w:val="00075CAF"/>
    <w:rsid w:val="000769C3"/>
    <w:rsid w:val="00081815"/>
    <w:rsid w:val="000931C0"/>
    <w:rsid w:val="00094407"/>
    <w:rsid w:val="00094B65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E25C9"/>
    <w:rsid w:val="000F46F4"/>
    <w:rsid w:val="000F477E"/>
    <w:rsid w:val="000F6BE3"/>
    <w:rsid w:val="000F7775"/>
    <w:rsid w:val="00103A07"/>
    <w:rsid w:val="00103A1A"/>
    <w:rsid w:val="001103AA"/>
    <w:rsid w:val="00112E6A"/>
    <w:rsid w:val="0011666B"/>
    <w:rsid w:val="00121464"/>
    <w:rsid w:val="00133987"/>
    <w:rsid w:val="00135B68"/>
    <w:rsid w:val="00165F3A"/>
    <w:rsid w:val="00175B5A"/>
    <w:rsid w:val="00182290"/>
    <w:rsid w:val="001832FB"/>
    <w:rsid w:val="0019202F"/>
    <w:rsid w:val="001A3955"/>
    <w:rsid w:val="001B4B04"/>
    <w:rsid w:val="001C2258"/>
    <w:rsid w:val="001C353E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36B15"/>
    <w:rsid w:val="00242E05"/>
    <w:rsid w:val="00245197"/>
    <w:rsid w:val="0024772E"/>
    <w:rsid w:val="0025434A"/>
    <w:rsid w:val="002566CB"/>
    <w:rsid w:val="00267F5F"/>
    <w:rsid w:val="002807CC"/>
    <w:rsid w:val="00286B4D"/>
    <w:rsid w:val="00293AFC"/>
    <w:rsid w:val="002B2CEE"/>
    <w:rsid w:val="002C554D"/>
    <w:rsid w:val="002D102B"/>
    <w:rsid w:val="002D1460"/>
    <w:rsid w:val="002D4643"/>
    <w:rsid w:val="002F175C"/>
    <w:rsid w:val="002F2821"/>
    <w:rsid w:val="002F7DE0"/>
    <w:rsid w:val="00302E18"/>
    <w:rsid w:val="003068A3"/>
    <w:rsid w:val="003229D8"/>
    <w:rsid w:val="003231AA"/>
    <w:rsid w:val="003264C1"/>
    <w:rsid w:val="00332BBA"/>
    <w:rsid w:val="003335AD"/>
    <w:rsid w:val="00337273"/>
    <w:rsid w:val="003446FC"/>
    <w:rsid w:val="00344F05"/>
    <w:rsid w:val="0034671F"/>
    <w:rsid w:val="00352709"/>
    <w:rsid w:val="003536EE"/>
    <w:rsid w:val="003619B5"/>
    <w:rsid w:val="00361AC3"/>
    <w:rsid w:val="00365763"/>
    <w:rsid w:val="003659D8"/>
    <w:rsid w:val="00367AAF"/>
    <w:rsid w:val="003701D8"/>
    <w:rsid w:val="00371178"/>
    <w:rsid w:val="003721E2"/>
    <w:rsid w:val="00385977"/>
    <w:rsid w:val="00385A13"/>
    <w:rsid w:val="00392E47"/>
    <w:rsid w:val="003A19B5"/>
    <w:rsid w:val="003A6321"/>
    <w:rsid w:val="003A65B2"/>
    <w:rsid w:val="003A6810"/>
    <w:rsid w:val="003C0787"/>
    <w:rsid w:val="003C1544"/>
    <w:rsid w:val="003C2CC4"/>
    <w:rsid w:val="003C534D"/>
    <w:rsid w:val="003C5E69"/>
    <w:rsid w:val="003D4646"/>
    <w:rsid w:val="003D4B23"/>
    <w:rsid w:val="003E130E"/>
    <w:rsid w:val="003E38C4"/>
    <w:rsid w:val="003E751F"/>
    <w:rsid w:val="003F2D5A"/>
    <w:rsid w:val="003F5692"/>
    <w:rsid w:val="003F5B08"/>
    <w:rsid w:val="003F5CFD"/>
    <w:rsid w:val="00407436"/>
    <w:rsid w:val="00410C89"/>
    <w:rsid w:val="00413EE4"/>
    <w:rsid w:val="004218B0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E5C76"/>
    <w:rsid w:val="004E6A8B"/>
    <w:rsid w:val="004E77B2"/>
    <w:rsid w:val="004E7DDB"/>
    <w:rsid w:val="004F2B31"/>
    <w:rsid w:val="00504B2D"/>
    <w:rsid w:val="00515214"/>
    <w:rsid w:val="00515314"/>
    <w:rsid w:val="00517F61"/>
    <w:rsid w:val="0052136D"/>
    <w:rsid w:val="0052775E"/>
    <w:rsid w:val="00531393"/>
    <w:rsid w:val="005420F2"/>
    <w:rsid w:val="0054229A"/>
    <w:rsid w:val="0054349A"/>
    <w:rsid w:val="00553459"/>
    <w:rsid w:val="00561DFB"/>
    <w:rsid w:val="0056209A"/>
    <w:rsid w:val="005628B6"/>
    <w:rsid w:val="005628D2"/>
    <w:rsid w:val="00562E70"/>
    <w:rsid w:val="00567C3E"/>
    <w:rsid w:val="00570087"/>
    <w:rsid w:val="00583761"/>
    <w:rsid w:val="0058660B"/>
    <w:rsid w:val="00592EDF"/>
    <w:rsid w:val="005941EC"/>
    <w:rsid w:val="0059724D"/>
    <w:rsid w:val="005A0A26"/>
    <w:rsid w:val="005A198E"/>
    <w:rsid w:val="005A796A"/>
    <w:rsid w:val="005A7E6C"/>
    <w:rsid w:val="005B320C"/>
    <w:rsid w:val="005B373C"/>
    <w:rsid w:val="005B3DB3"/>
    <w:rsid w:val="005B4E13"/>
    <w:rsid w:val="005B5059"/>
    <w:rsid w:val="005B5205"/>
    <w:rsid w:val="005B6B49"/>
    <w:rsid w:val="005C342F"/>
    <w:rsid w:val="005C7D1E"/>
    <w:rsid w:val="005E06CA"/>
    <w:rsid w:val="005E06E4"/>
    <w:rsid w:val="005E116A"/>
    <w:rsid w:val="005E436A"/>
    <w:rsid w:val="005F4882"/>
    <w:rsid w:val="005F616C"/>
    <w:rsid w:val="005F7B75"/>
    <w:rsid w:val="006001EE"/>
    <w:rsid w:val="00605042"/>
    <w:rsid w:val="00611FC4"/>
    <w:rsid w:val="006176FB"/>
    <w:rsid w:val="00620F30"/>
    <w:rsid w:val="00633C1B"/>
    <w:rsid w:val="00640B26"/>
    <w:rsid w:val="00641EB1"/>
    <w:rsid w:val="00642099"/>
    <w:rsid w:val="006438A8"/>
    <w:rsid w:val="00650739"/>
    <w:rsid w:val="00652D0A"/>
    <w:rsid w:val="00655A09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A18FB"/>
    <w:rsid w:val="006A2530"/>
    <w:rsid w:val="006B664D"/>
    <w:rsid w:val="006B6707"/>
    <w:rsid w:val="006C3589"/>
    <w:rsid w:val="006D010D"/>
    <w:rsid w:val="006D37AF"/>
    <w:rsid w:val="006D51D0"/>
    <w:rsid w:val="006D5CDE"/>
    <w:rsid w:val="006D5FB9"/>
    <w:rsid w:val="006D658E"/>
    <w:rsid w:val="006E135A"/>
    <w:rsid w:val="006E4EB9"/>
    <w:rsid w:val="006E564B"/>
    <w:rsid w:val="006E609C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714CF"/>
    <w:rsid w:val="007935BF"/>
    <w:rsid w:val="007939B6"/>
    <w:rsid w:val="00794AC5"/>
    <w:rsid w:val="00795653"/>
    <w:rsid w:val="007A1B90"/>
    <w:rsid w:val="007A309D"/>
    <w:rsid w:val="007A3A71"/>
    <w:rsid w:val="007A4ECC"/>
    <w:rsid w:val="007B0806"/>
    <w:rsid w:val="007B5824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57CEB"/>
    <w:rsid w:val="00866E93"/>
    <w:rsid w:val="008679D9"/>
    <w:rsid w:val="00872A32"/>
    <w:rsid w:val="00886949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905CD3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60B13"/>
    <w:rsid w:val="009676D1"/>
    <w:rsid w:val="00967E43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3BA2"/>
    <w:rsid w:val="00A14816"/>
    <w:rsid w:val="00A22689"/>
    <w:rsid w:val="00A3026E"/>
    <w:rsid w:val="00A338F1"/>
    <w:rsid w:val="00A35BE0"/>
    <w:rsid w:val="00A40C1F"/>
    <w:rsid w:val="00A46E83"/>
    <w:rsid w:val="00A541F4"/>
    <w:rsid w:val="00A6129C"/>
    <w:rsid w:val="00A66A2B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0C0D"/>
    <w:rsid w:val="00AB1C8B"/>
    <w:rsid w:val="00AB25DF"/>
    <w:rsid w:val="00AB5D6D"/>
    <w:rsid w:val="00AC2BF5"/>
    <w:rsid w:val="00AD0F83"/>
    <w:rsid w:val="00AD504E"/>
    <w:rsid w:val="00AD5904"/>
    <w:rsid w:val="00AE2A97"/>
    <w:rsid w:val="00AF344D"/>
    <w:rsid w:val="00AF44D0"/>
    <w:rsid w:val="00B03569"/>
    <w:rsid w:val="00B16F6F"/>
    <w:rsid w:val="00B2777B"/>
    <w:rsid w:val="00B30179"/>
    <w:rsid w:val="00B421C1"/>
    <w:rsid w:val="00B5312D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5C51"/>
    <w:rsid w:val="00B875D5"/>
    <w:rsid w:val="00B94C56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37032"/>
    <w:rsid w:val="00C408AE"/>
    <w:rsid w:val="00C4527F"/>
    <w:rsid w:val="00C45283"/>
    <w:rsid w:val="00C4617E"/>
    <w:rsid w:val="00C463DD"/>
    <w:rsid w:val="00C4724C"/>
    <w:rsid w:val="00C50B61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4F22"/>
    <w:rsid w:val="00CD22A1"/>
    <w:rsid w:val="00CD4AA6"/>
    <w:rsid w:val="00CE4A8F"/>
    <w:rsid w:val="00CF20B1"/>
    <w:rsid w:val="00D01544"/>
    <w:rsid w:val="00D10E2D"/>
    <w:rsid w:val="00D152C1"/>
    <w:rsid w:val="00D2031B"/>
    <w:rsid w:val="00D248B6"/>
    <w:rsid w:val="00D25C23"/>
    <w:rsid w:val="00D25FE2"/>
    <w:rsid w:val="00D268C9"/>
    <w:rsid w:val="00D26C51"/>
    <w:rsid w:val="00D26E07"/>
    <w:rsid w:val="00D26FEE"/>
    <w:rsid w:val="00D36E50"/>
    <w:rsid w:val="00D43252"/>
    <w:rsid w:val="00D466D6"/>
    <w:rsid w:val="00D47EEA"/>
    <w:rsid w:val="00D67EB2"/>
    <w:rsid w:val="00D70325"/>
    <w:rsid w:val="00D7306C"/>
    <w:rsid w:val="00D73933"/>
    <w:rsid w:val="00D769DB"/>
    <w:rsid w:val="00D773DF"/>
    <w:rsid w:val="00D86A1D"/>
    <w:rsid w:val="00D91CE7"/>
    <w:rsid w:val="00D93DA4"/>
    <w:rsid w:val="00D95303"/>
    <w:rsid w:val="00D97268"/>
    <w:rsid w:val="00D978C6"/>
    <w:rsid w:val="00DA3C1C"/>
    <w:rsid w:val="00DA7B18"/>
    <w:rsid w:val="00DB5483"/>
    <w:rsid w:val="00DB5AEF"/>
    <w:rsid w:val="00DB5F5D"/>
    <w:rsid w:val="00DC6D39"/>
    <w:rsid w:val="00DE34D4"/>
    <w:rsid w:val="00DE5AD0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40A45"/>
    <w:rsid w:val="00E44816"/>
    <w:rsid w:val="00E560CA"/>
    <w:rsid w:val="00E6007E"/>
    <w:rsid w:val="00E629CD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A2A"/>
    <w:rsid w:val="00EE1A48"/>
    <w:rsid w:val="00EF1D7F"/>
    <w:rsid w:val="00F03C32"/>
    <w:rsid w:val="00F0480F"/>
    <w:rsid w:val="00F243E1"/>
    <w:rsid w:val="00F30754"/>
    <w:rsid w:val="00F31E5F"/>
    <w:rsid w:val="00F342BF"/>
    <w:rsid w:val="00F42969"/>
    <w:rsid w:val="00F518BA"/>
    <w:rsid w:val="00F53F22"/>
    <w:rsid w:val="00F57A62"/>
    <w:rsid w:val="00F6100A"/>
    <w:rsid w:val="00F6124B"/>
    <w:rsid w:val="00F61740"/>
    <w:rsid w:val="00F6615A"/>
    <w:rsid w:val="00F70B8B"/>
    <w:rsid w:val="00F71A97"/>
    <w:rsid w:val="00F75A7F"/>
    <w:rsid w:val="00F87B5E"/>
    <w:rsid w:val="00F93781"/>
    <w:rsid w:val="00F9526F"/>
    <w:rsid w:val="00FA2414"/>
    <w:rsid w:val="00FA6945"/>
    <w:rsid w:val="00FA756F"/>
    <w:rsid w:val="00FB613B"/>
    <w:rsid w:val="00FC68B7"/>
    <w:rsid w:val="00FD0CCA"/>
    <w:rsid w:val="00FD3F98"/>
    <w:rsid w:val="00FD4699"/>
    <w:rsid w:val="00FD755A"/>
    <w:rsid w:val="00FE106A"/>
    <w:rsid w:val="00FE1804"/>
    <w:rsid w:val="00FE22EB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 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  <w:style w:type="character" w:customStyle="1" w:styleId="hps">
    <w:name w:val="hps"/>
    <w:rsid w:val="0007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 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  <w:style w:type="character" w:customStyle="1" w:styleId="hps">
    <w:name w:val="hps"/>
    <w:rsid w:val="0007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B2AB-B8F1-478F-A39C-3FA17CA0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2014-12-04T14:00:00Z</cp:lastPrinted>
  <dcterms:created xsi:type="dcterms:W3CDTF">2015-07-03T10:09:00Z</dcterms:created>
  <dcterms:modified xsi:type="dcterms:W3CDTF">2015-07-03T10:09:00Z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