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trPr>
          <w:cantSplit/>
          <w:trHeight w:hRule="exact" w:val="851"/>
        </w:trPr>
        <w:tc>
          <w:tcPr>
            <w:tcW w:w="1276" w:type="dxa"/>
            <w:tcBorders>
              <w:bottom w:val="single" w:sz="4" w:space="0" w:color="auto"/>
            </w:tcBorders>
            <w:shd w:val="clear" w:color="auto" w:fill="auto"/>
            <w:vAlign w:val="bottom"/>
          </w:tcPr>
          <w:p w:rsidR="00B56E9C" w:rsidRPr="00CF20B1" w:rsidRDefault="00B56E9C" w:rsidP="007A309D">
            <w:pPr>
              <w:spacing w:after="80"/>
              <w:jc w:val="both"/>
            </w:pPr>
          </w:p>
        </w:tc>
        <w:tc>
          <w:tcPr>
            <w:tcW w:w="2268" w:type="dxa"/>
            <w:tcBorders>
              <w:bottom w:val="single" w:sz="4" w:space="0" w:color="auto"/>
            </w:tcBorders>
            <w:shd w:val="clear" w:color="auto" w:fill="auto"/>
            <w:vAlign w:val="bottom"/>
          </w:tcPr>
          <w:p w:rsidR="00B56E9C" w:rsidRPr="00CF20B1" w:rsidRDefault="00B56E9C" w:rsidP="007A309D">
            <w:pPr>
              <w:spacing w:after="80" w:line="300" w:lineRule="exact"/>
              <w:jc w:val="both"/>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CF20B1" w:rsidRDefault="00923752" w:rsidP="009124B0">
            <w:pPr>
              <w:ind w:left="2693"/>
              <w:jc w:val="both"/>
            </w:pPr>
            <w:r w:rsidRPr="00B86BCE">
              <w:rPr>
                <w:sz w:val="40"/>
              </w:rPr>
              <w:t>ECE</w:t>
            </w:r>
            <w:r w:rsidRPr="00B86BCE">
              <w:t>/TRANS/WP.29/GRRF/201</w:t>
            </w:r>
            <w:r w:rsidR="00F87B5E" w:rsidRPr="00B86BCE">
              <w:t>5</w:t>
            </w:r>
            <w:r w:rsidRPr="00B86BCE">
              <w:t>/</w:t>
            </w:r>
            <w:r w:rsidR="009124B0">
              <w:t>2</w:t>
            </w:r>
            <w:r w:rsidR="00C7582B" w:rsidRPr="00B86BCE">
              <w:t>1</w:t>
            </w:r>
          </w:p>
        </w:tc>
      </w:tr>
      <w:tr w:rsidR="00B56E9C" w:rsidRPr="00CF20B1">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2E2093" w:rsidP="007A309D">
            <w:pPr>
              <w:spacing w:before="120"/>
              <w:jc w:val="both"/>
            </w:pPr>
            <w:r>
              <w:rPr>
                <w:noProof/>
                <w:lang w:eastAsia="en-GB"/>
              </w:rPr>
              <w:drawing>
                <wp:inline distT="0" distB="0" distL="0" distR="0">
                  <wp:extent cx="716915" cy="592455"/>
                  <wp:effectExtent l="0" t="0" r="6985"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7A309D">
            <w:pPr>
              <w:spacing w:before="120" w:line="420" w:lineRule="exact"/>
              <w:jc w:val="both"/>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7A309D">
            <w:pPr>
              <w:spacing w:before="240" w:line="240" w:lineRule="exact"/>
              <w:jc w:val="both"/>
            </w:pPr>
            <w:r w:rsidRPr="00CF20B1">
              <w:t>Distr.: General</w:t>
            </w:r>
          </w:p>
          <w:p w:rsidR="00923752" w:rsidRPr="00CF20B1" w:rsidRDefault="00643650" w:rsidP="007A309D">
            <w:pPr>
              <w:spacing w:line="240" w:lineRule="exact"/>
              <w:jc w:val="both"/>
            </w:pPr>
            <w:r>
              <w:t>2</w:t>
            </w:r>
            <w:r w:rsidR="00F96367" w:rsidRPr="00B86BCE">
              <w:t xml:space="preserve"> </w:t>
            </w:r>
            <w:r w:rsidR="00B86BCE">
              <w:t>July</w:t>
            </w:r>
            <w:r w:rsidR="00BF5B34" w:rsidRPr="00B86BCE">
              <w:t xml:space="preserve"> 201</w:t>
            </w:r>
            <w:r w:rsidR="00B86BCE">
              <w:t>5</w:t>
            </w:r>
          </w:p>
          <w:p w:rsidR="00923752" w:rsidRPr="00CF20B1" w:rsidRDefault="00923752" w:rsidP="007A309D">
            <w:pPr>
              <w:spacing w:line="240" w:lineRule="exact"/>
              <w:jc w:val="both"/>
            </w:pPr>
          </w:p>
          <w:p w:rsidR="00923752" w:rsidRPr="00CF20B1" w:rsidRDefault="00923752" w:rsidP="007A309D">
            <w:pPr>
              <w:spacing w:line="240" w:lineRule="exact"/>
              <w:jc w:val="both"/>
            </w:pPr>
            <w:r w:rsidRPr="00CF20B1">
              <w:t>Original: English</w:t>
            </w:r>
          </w:p>
        </w:tc>
      </w:tr>
    </w:tbl>
    <w:p w:rsidR="00442A83" w:rsidRPr="00CF20B1" w:rsidRDefault="00C96DF2" w:rsidP="007A309D">
      <w:pPr>
        <w:spacing w:before="120"/>
        <w:jc w:val="both"/>
        <w:rPr>
          <w:b/>
          <w:sz w:val="28"/>
          <w:szCs w:val="28"/>
        </w:rPr>
      </w:pPr>
      <w:r w:rsidRPr="00CF20B1">
        <w:rPr>
          <w:b/>
          <w:sz w:val="28"/>
          <w:szCs w:val="28"/>
        </w:rPr>
        <w:t>Economic Commission for Europe</w:t>
      </w:r>
    </w:p>
    <w:p w:rsidR="00C96DF2" w:rsidRPr="00CF20B1" w:rsidRDefault="008F31D2" w:rsidP="007A309D">
      <w:pPr>
        <w:spacing w:before="120"/>
        <w:jc w:val="both"/>
        <w:rPr>
          <w:sz w:val="28"/>
          <w:szCs w:val="28"/>
        </w:rPr>
      </w:pPr>
      <w:r w:rsidRPr="00CF20B1">
        <w:rPr>
          <w:sz w:val="28"/>
          <w:szCs w:val="28"/>
        </w:rPr>
        <w:t>Inland Transport Committee</w:t>
      </w:r>
    </w:p>
    <w:p w:rsidR="00EA2A77" w:rsidRPr="00CF20B1" w:rsidRDefault="00EA2A77" w:rsidP="007A309D">
      <w:pPr>
        <w:spacing w:before="120"/>
        <w:jc w:val="both"/>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175B5A" w:rsidRDefault="00AB1C8B" w:rsidP="007A309D">
      <w:pPr>
        <w:spacing w:before="120"/>
        <w:jc w:val="both"/>
        <w:rPr>
          <w:b/>
        </w:rPr>
      </w:pPr>
      <w:r w:rsidRPr="00175B5A">
        <w:rPr>
          <w:b/>
        </w:rPr>
        <w:t>Working Party on Brakes and Running Gear</w:t>
      </w:r>
    </w:p>
    <w:p w:rsidR="00AB1C8B" w:rsidRPr="00B86BCE" w:rsidRDefault="00B86BCE" w:rsidP="007A309D">
      <w:pPr>
        <w:spacing w:before="120"/>
        <w:jc w:val="both"/>
        <w:rPr>
          <w:b/>
        </w:rPr>
      </w:pPr>
      <w:r w:rsidRPr="00B86BCE">
        <w:rPr>
          <w:b/>
        </w:rPr>
        <w:t>Eightieth</w:t>
      </w:r>
      <w:r w:rsidR="00AB1C8B" w:rsidRPr="00B86BCE">
        <w:rPr>
          <w:b/>
        </w:rPr>
        <w:t xml:space="preserve"> session</w:t>
      </w:r>
    </w:p>
    <w:p w:rsidR="00AB1C8B" w:rsidRPr="00B86BCE" w:rsidRDefault="00AB1C8B" w:rsidP="007A309D">
      <w:pPr>
        <w:jc w:val="both"/>
      </w:pPr>
      <w:r w:rsidRPr="00B86BCE">
        <w:t xml:space="preserve">Geneva, </w:t>
      </w:r>
      <w:r w:rsidR="00B86BCE" w:rsidRPr="00B86BCE">
        <w:t>15-18</w:t>
      </w:r>
      <w:r w:rsidR="00BD2EAE" w:rsidRPr="00B86BCE">
        <w:rPr>
          <w:lang w:eastAsia="ja-JP"/>
        </w:rPr>
        <w:t xml:space="preserve"> </w:t>
      </w:r>
      <w:r w:rsidR="00E46040" w:rsidRPr="00B86BCE">
        <w:rPr>
          <w:lang w:eastAsia="ja-JP"/>
        </w:rPr>
        <w:t>September</w:t>
      </w:r>
      <w:r w:rsidR="00E33887" w:rsidRPr="00B86BCE">
        <w:rPr>
          <w:lang w:eastAsia="ja-JP"/>
        </w:rPr>
        <w:t xml:space="preserve"> </w:t>
      </w:r>
      <w:r w:rsidRPr="00B86BCE">
        <w:t>201</w:t>
      </w:r>
      <w:r w:rsidR="00242E05" w:rsidRPr="00B86BCE">
        <w:rPr>
          <w:lang w:eastAsia="ja-JP"/>
        </w:rPr>
        <w:t>5</w:t>
      </w:r>
    </w:p>
    <w:p w:rsidR="00AB1C8B" w:rsidRPr="00B86BCE" w:rsidRDefault="00AB1C8B" w:rsidP="007A309D">
      <w:pPr>
        <w:jc w:val="both"/>
      </w:pPr>
      <w:r w:rsidRPr="00B86BCE">
        <w:t xml:space="preserve">Item </w:t>
      </w:r>
      <w:r w:rsidR="00B86BCE" w:rsidRPr="00B86BCE">
        <w:t>5(a)</w:t>
      </w:r>
      <w:r w:rsidR="00E46040" w:rsidRPr="00B86BCE">
        <w:t xml:space="preserve"> </w:t>
      </w:r>
      <w:r w:rsidRPr="00B86BCE">
        <w:t>of the provisional agenda</w:t>
      </w:r>
    </w:p>
    <w:p w:rsidR="00AB1C8B" w:rsidRPr="00CF20B1" w:rsidRDefault="00B86BCE" w:rsidP="007A309D">
      <w:pPr>
        <w:jc w:val="both"/>
        <w:rPr>
          <w:b/>
        </w:rPr>
      </w:pPr>
      <w:r w:rsidRPr="00B86BCE">
        <w:rPr>
          <w:b/>
        </w:rPr>
        <w:t>Motorcycle braking</w:t>
      </w:r>
      <w:r w:rsidR="00CF319D" w:rsidRPr="00B86BCE">
        <w:rPr>
          <w:b/>
        </w:rPr>
        <w:t xml:space="preserve"> </w:t>
      </w:r>
      <w:r w:rsidR="00A40636" w:rsidRPr="00B86BCE">
        <w:rPr>
          <w:b/>
        </w:rPr>
        <w:t xml:space="preserve">–Regulation No. </w:t>
      </w:r>
      <w:r w:rsidR="00E46040" w:rsidRPr="00B86BCE">
        <w:rPr>
          <w:b/>
        </w:rPr>
        <w:t>78</w:t>
      </w:r>
    </w:p>
    <w:p w:rsidR="00866E93" w:rsidRDefault="008C2F5C" w:rsidP="002566CB">
      <w:pPr>
        <w:pStyle w:val="HChG"/>
        <w:ind w:right="993"/>
        <w:jc w:val="both"/>
      </w:pPr>
      <w:r>
        <w:tab/>
      </w:r>
      <w:r>
        <w:tab/>
      </w:r>
      <w:r w:rsidR="003E38C4">
        <w:t xml:space="preserve">Proposal for </w:t>
      </w:r>
      <w:r w:rsidR="006A78AC">
        <w:rPr>
          <w:lang w:val="en-US"/>
        </w:rPr>
        <w:t>a</w:t>
      </w:r>
      <w:r w:rsidR="00C569B1">
        <w:rPr>
          <w:lang w:val="en-US"/>
        </w:rPr>
        <w:t>n amendment to Regulation No. 78</w:t>
      </w:r>
      <w:r w:rsidR="009124B0">
        <w:rPr>
          <w:lang w:val="en-US"/>
        </w:rPr>
        <w:t xml:space="preserve"> (Motorcycle Braking)</w:t>
      </w:r>
      <w:r w:rsidR="00C569B1">
        <w:rPr>
          <w:lang w:val="en-US"/>
        </w:rPr>
        <w:t xml:space="preserve"> </w:t>
      </w:r>
    </w:p>
    <w:p w:rsidR="00AB1C8B" w:rsidRPr="00866E93" w:rsidRDefault="00AB1C8B" w:rsidP="002566CB">
      <w:pPr>
        <w:pStyle w:val="HChG"/>
        <w:ind w:right="993"/>
        <w:jc w:val="both"/>
        <w:rPr>
          <w:b w:val="0"/>
          <w:sz w:val="24"/>
          <w:szCs w:val="24"/>
        </w:rPr>
      </w:pPr>
      <w:r w:rsidRPr="00866E93">
        <w:rPr>
          <w:sz w:val="24"/>
          <w:szCs w:val="24"/>
        </w:rPr>
        <w:tab/>
      </w:r>
      <w:r w:rsidRPr="00866E93">
        <w:rPr>
          <w:sz w:val="24"/>
          <w:szCs w:val="24"/>
        </w:rPr>
        <w:tab/>
      </w:r>
      <w:r w:rsidR="00866E93" w:rsidRPr="00567C3E">
        <w:rPr>
          <w:bCs/>
          <w:sz w:val="24"/>
          <w:szCs w:val="24"/>
        </w:rPr>
        <w:t xml:space="preserve">Submitted by the expert from </w:t>
      </w:r>
      <w:r w:rsidR="00D97268" w:rsidRPr="003E38C4">
        <w:rPr>
          <w:bCs/>
          <w:sz w:val="24"/>
          <w:szCs w:val="24"/>
        </w:rPr>
        <w:t xml:space="preserve">the </w:t>
      </w:r>
      <w:r w:rsidR="0063735A">
        <w:rPr>
          <w:bCs/>
          <w:sz w:val="24"/>
          <w:szCs w:val="24"/>
        </w:rPr>
        <w:t xml:space="preserve">International Motorcycle </w:t>
      </w:r>
      <w:r w:rsidR="00B86BCE">
        <w:rPr>
          <w:bCs/>
          <w:sz w:val="24"/>
          <w:szCs w:val="24"/>
        </w:rPr>
        <w:t xml:space="preserve">Manufacturers Association </w:t>
      </w:r>
      <w:r w:rsidR="00B86BCE" w:rsidRPr="00866E93">
        <w:rPr>
          <w:rStyle w:val="FootnoteReference"/>
          <w:b w:val="0"/>
          <w:sz w:val="24"/>
          <w:szCs w:val="24"/>
          <w:vertAlign w:val="baseline"/>
        </w:rPr>
        <w:footnoteReference w:customMarkFollows="1" w:id="2"/>
        <w:t>*</w:t>
      </w:r>
    </w:p>
    <w:p w:rsidR="002807CC" w:rsidRDefault="003E38C4" w:rsidP="002566CB">
      <w:pPr>
        <w:keepNext/>
        <w:keepLines/>
        <w:spacing w:line="240" w:lineRule="auto"/>
        <w:ind w:left="1134" w:right="993" w:firstLine="567"/>
        <w:jc w:val="both"/>
      </w:pPr>
      <w:r w:rsidRPr="00B102FE">
        <w:t xml:space="preserve">The text reproduced below was prepared by the </w:t>
      </w:r>
      <w:r>
        <w:t xml:space="preserve">expert of </w:t>
      </w:r>
      <w:r w:rsidR="00C569B1">
        <w:t>the International Motorcycle Manufacturer</w:t>
      </w:r>
      <w:r w:rsidR="00881ED1">
        <w:t xml:space="preserve">s Association </w:t>
      </w:r>
      <w:r w:rsidR="00B86BCE">
        <w:t xml:space="preserve">(IMMA) </w:t>
      </w:r>
      <w:r w:rsidR="00881ED1">
        <w:t xml:space="preserve">proposing Electromagnetic Compatibility (EMC) requirements </w:t>
      </w:r>
      <w:r w:rsidR="00664126">
        <w:t>for</w:t>
      </w:r>
      <w:r w:rsidR="00881ED1">
        <w:t xml:space="preserve"> UN Regulation No. 78. </w:t>
      </w:r>
      <w:r w:rsidR="00175B5A" w:rsidRPr="00CF20B1">
        <w:t>The modifications to the existing text of the Regulation are marked in bold for new or str</w:t>
      </w:r>
      <w:r w:rsidR="00175B5A">
        <w:t>ike</w:t>
      </w:r>
      <w:r w:rsidR="00175B5A" w:rsidRPr="00CF20B1">
        <w:t>through for deleted characters</w:t>
      </w:r>
      <w:r w:rsidR="00175B5A">
        <w:t>.</w:t>
      </w:r>
    </w:p>
    <w:p w:rsidR="00AB1C8B" w:rsidRPr="00CF20B1" w:rsidRDefault="00AB1C8B" w:rsidP="002566CB">
      <w:pPr>
        <w:pStyle w:val="SingleTxtG"/>
        <w:ind w:right="993" w:firstLine="567"/>
      </w:pPr>
    </w:p>
    <w:p w:rsidR="009854F7" w:rsidRPr="00B86BCE" w:rsidRDefault="00AB1C8B" w:rsidP="00B86BCE">
      <w:pPr>
        <w:pStyle w:val="HChG"/>
      </w:pPr>
      <w:r w:rsidRPr="00CF20B1">
        <w:br w:type="page"/>
      </w:r>
      <w:r w:rsidR="00AD504E" w:rsidRPr="00B86BCE">
        <w:lastRenderedPageBreak/>
        <w:tab/>
        <w:t>I.</w:t>
      </w:r>
      <w:r w:rsidR="00AD504E" w:rsidRPr="00B86BCE">
        <w:tab/>
      </w:r>
      <w:r w:rsidR="009854F7" w:rsidRPr="00B86BCE">
        <w:t>Proposal</w:t>
      </w:r>
    </w:p>
    <w:p w:rsidR="0069768E" w:rsidRPr="00B86BCE" w:rsidRDefault="0069768E" w:rsidP="00B86BCE">
      <w:pPr>
        <w:autoSpaceDE w:val="0"/>
        <w:autoSpaceDN w:val="0"/>
        <w:adjustRightInd w:val="0"/>
        <w:spacing w:after="120" w:line="240" w:lineRule="auto"/>
        <w:ind w:left="1134" w:right="1134"/>
        <w:rPr>
          <w:iCs/>
          <w:szCs w:val="21"/>
        </w:rPr>
      </w:pPr>
      <w:r>
        <w:rPr>
          <w:i/>
          <w:iCs/>
          <w:szCs w:val="21"/>
        </w:rPr>
        <w:t>Insert new paragraph 5.1.14</w:t>
      </w:r>
      <w:r w:rsidR="00643650">
        <w:rPr>
          <w:i/>
          <w:iCs/>
          <w:szCs w:val="21"/>
        </w:rPr>
        <w:t>.</w:t>
      </w:r>
      <w:bookmarkStart w:id="0" w:name="_GoBack"/>
      <w:bookmarkEnd w:id="0"/>
      <w:r w:rsidRPr="00EF32E8">
        <w:rPr>
          <w:iCs/>
          <w:szCs w:val="21"/>
        </w:rPr>
        <w:t>, to read:</w:t>
      </w:r>
      <w:bookmarkStart w:id="1" w:name="_Toc365964509"/>
    </w:p>
    <w:p w:rsidR="0069768E" w:rsidRPr="0069768E" w:rsidRDefault="00E46040" w:rsidP="00B86BCE">
      <w:pPr>
        <w:spacing w:after="120" w:line="240" w:lineRule="auto"/>
        <w:ind w:left="2259" w:right="993" w:hanging="1125"/>
        <w:jc w:val="both"/>
        <w:rPr>
          <w:b/>
        </w:rPr>
      </w:pPr>
      <w:r w:rsidRPr="009124B0">
        <w:rPr>
          <w:szCs w:val="21"/>
        </w:rPr>
        <w:t>"</w:t>
      </w:r>
      <w:r w:rsidR="0069768E" w:rsidRPr="00CF319D">
        <w:rPr>
          <w:b/>
          <w:szCs w:val="21"/>
        </w:rPr>
        <w:t>5.1.14.</w:t>
      </w:r>
      <w:r w:rsidR="0069768E" w:rsidRPr="00CF319D">
        <w:rPr>
          <w:b/>
          <w:szCs w:val="21"/>
        </w:rPr>
        <w:tab/>
        <w:t xml:space="preserve">The effectiveness of </w:t>
      </w:r>
      <w:r w:rsidR="0069768E" w:rsidRPr="00CF319D">
        <w:rPr>
          <w:rFonts w:eastAsia="MS Mincho"/>
          <w:b/>
        </w:rPr>
        <w:t>the</w:t>
      </w:r>
      <w:r w:rsidR="0069768E" w:rsidRPr="00CF319D">
        <w:rPr>
          <w:b/>
          <w:szCs w:val="21"/>
        </w:rPr>
        <w:t xml:space="preserve"> braking system, including the anti-lock system, shall not be adversely affected by magnetic or electrical fields. This shall be demonstrated by fulfilling the technical requirements and respecting the transitional provisions of UN Regulation No. 10</w:t>
      </w:r>
      <w:r w:rsidRPr="00CF319D">
        <w:rPr>
          <w:b/>
          <w:szCs w:val="21"/>
        </w:rPr>
        <w:t xml:space="preserve">, </w:t>
      </w:r>
      <w:r w:rsidR="0069768E" w:rsidRPr="00CF319D">
        <w:rPr>
          <w:b/>
          <w:szCs w:val="21"/>
        </w:rPr>
        <w:t>04</w:t>
      </w:r>
      <w:r w:rsidRPr="00CF319D">
        <w:rPr>
          <w:b/>
          <w:szCs w:val="21"/>
        </w:rPr>
        <w:t xml:space="preserve"> series of amendments</w:t>
      </w:r>
      <w:r w:rsidR="0069768E" w:rsidRPr="00CF319D">
        <w:rPr>
          <w:b/>
          <w:szCs w:val="21"/>
        </w:rPr>
        <w:t xml:space="preserve"> or later</w:t>
      </w:r>
      <w:r w:rsidRPr="00CF319D">
        <w:rPr>
          <w:b/>
          <w:szCs w:val="21"/>
          <w:vertAlign w:val="superscript"/>
        </w:rPr>
        <w:t>1</w:t>
      </w:r>
      <w:r w:rsidR="0069768E" w:rsidRPr="00CF319D">
        <w:rPr>
          <w:b/>
          <w:szCs w:val="21"/>
        </w:rPr>
        <w:t xml:space="preserve">, or by an equivalent test to be agreed </w:t>
      </w:r>
      <w:r w:rsidR="00664126">
        <w:rPr>
          <w:b/>
          <w:szCs w:val="21"/>
        </w:rPr>
        <w:t xml:space="preserve">upon </w:t>
      </w:r>
      <w:r w:rsidR="0069768E" w:rsidRPr="00CF319D">
        <w:rPr>
          <w:b/>
          <w:szCs w:val="21"/>
        </w:rPr>
        <w:t>between manufacturer and Technical Service.</w:t>
      </w:r>
      <w:r w:rsidR="0069768E" w:rsidRPr="00CF319D">
        <w:rPr>
          <w:b/>
        </w:rPr>
        <w:t xml:space="preserve"> </w:t>
      </w:r>
      <w:r w:rsidR="0069768E" w:rsidRPr="009124B0">
        <w:t>"</w:t>
      </w:r>
    </w:p>
    <w:p w:rsidR="0069768E" w:rsidRPr="004D23A9" w:rsidRDefault="0069768E" w:rsidP="00B86BCE">
      <w:pPr>
        <w:spacing w:after="120"/>
        <w:rPr>
          <w:i/>
        </w:rPr>
      </w:pPr>
      <w:r>
        <w:tab/>
      </w:r>
      <w:r>
        <w:tab/>
      </w:r>
      <w:r w:rsidRPr="0069768E">
        <w:rPr>
          <w:i/>
          <w:iCs/>
          <w:szCs w:val="21"/>
        </w:rPr>
        <w:t>I</w:t>
      </w:r>
      <w:r w:rsidRPr="004D23A9">
        <w:rPr>
          <w:i/>
        </w:rPr>
        <w:t>n</w:t>
      </w:r>
      <w:r>
        <w:rPr>
          <w:i/>
        </w:rPr>
        <w:t xml:space="preserve">sert footnote at bottom of page, </w:t>
      </w:r>
      <w:r w:rsidRPr="00E46040">
        <w:t>to read</w:t>
      </w:r>
      <w:r w:rsidR="00E46040">
        <w:t>:</w:t>
      </w:r>
    </w:p>
    <w:p w:rsidR="00CF319D" w:rsidRPr="00B86BCE" w:rsidRDefault="00E46040" w:rsidP="00B86BCE">
      <w:pPr>
        <w:spacing w:after="120" w:line="240" w:lineRule="auto"/>
        <w:ind w:left="1134" w:right="993"/>
        <w:jc w:val="both"/>
        <w:rPr>
          <w:b/>
          <w:sz w:val="18"/>
          <w:szCs w:val="18"/>
        </w:rPr>
      </w:pPr>
      <w:r w:rsidRPr="00B86BCE">
        <w:rPr>
          <w:b/>
          <w:sz w:val="18"/>
          <w:szCs w:val="18"/>
        </w:rPr>
        <w:t>"</w:t>
      </w:r>
      <w:proofErr w:type="gramStart"/>
      <w:r w:rsidR="0069768E" w:rsidRPr="00B86BCE">
        <w:rPr>
          <w:b/>
          <w:sz w:val="18"/>
          <w:szCs w:val="18"/>
          <w:vertAlign w:val="superscript"/>
        </w:rPr>
        <w:t>1</w:t>
      </w:r>
      <w:r w:rsidR="00B86BCE" w:rsidRPr="00B86BCE">
        <w:rPr>
          <w:b/>
          <w:sz w:val="18"/>
          <w:szCs w:val="18"/>
        </w:rPr>
        <w:t xml:space="preserve"> </w:t>
      </w:r>
      <w:r w:rsidR="0069768E" w:rsidRPr="00B86BCE">
        <w:rPr>
          <w:b/>
          <w:sz w:val="18"/>
          <w:szCs w:val="18"/>
        </w:rPr>
        <w:t xml:space="preserve"> </w:t>
      </w:r>
      <w:r w:rsidR="0069768E" w:rsidRPr="00B86BCE">
        <w:rPr>
          <w:rFonts w:eastAsia="MS Mincho"/>
          <w:b/>
          <w:sz w:val="18"/>
          <w:szCs w:val="18"/>
        </w:rPr>
        <w:t>Testing</w:t>
      </w:r>
      <w:proofErr w:type="gramEnd"/>
      <w:r w:rsidR="0069768E" w:rsidRPr="00B86BCE">
        <w:rPr>
          <w:b/>
          <w:sz w:val="18"/>
          <w:szCs w:val="18"/>
        </w:rPr>
        <w:t xml:space="preserve"> according to UN Regulation No. 10 may be used to demonstrate immunity of anti-lock (or other electron</w:t>
      </w:r>
      <w:r w:rsidR="003E3A4A" w:rsidRPr="00B86BCE">
        <w:rPr>
          <w:b/>
          <w:sz w:val="18"/>
          <w:szCs w:val="18"/>
        </w:rPr>
        <w:t>ic braking) systems. However, a</w:t>
      </w:r>
      <w:r w:rsidR="0069768E" w:rsidRPr="00B86BCE">
        <w:rPr>
          <w:b/>
          <w:sz w:val="18"/>
          <w:szCs w:val="18"/>
        </w:rPr>
        <w:t xml:space="preserve"> </w:t>
      </w:r>
      <w:r w:rsidRPr="00B86BCE">
        <w:rPr>
          <w:b/>
          <w:sz w:val="18"/>
          <w:szCs w:val="18"/>
        </w:rPr>
        <w:t xml:space="preserve">UN </w:t>
      </w:r>
      <w:r w:rsidR="0069768E" w:rsidRPr="00B86BCE">
        <w:rPr>
          <w:b/>
          <w:sz w:val="18"/>
          <w:szCs w:val="18"/>
        </w:rPr>
        <w:t xml:space="preserve">Regulation </w:t>
      </w:r>
      <w:r w:rsidR="003E3A4A" w:rsidRPr="00B86BCE">
        <w:rPr>
          <w:b/>
          <w:sz w:val="18"/>
          <w:szCs w:val="18"/>
        </w:rPr>
        <w:t xml:space="preserve">No. </w:t>
      </w:r>
      <w:r w:rsidR="0069768E" w:rsidRPr="00B86BCE">
        <w:rPr>
          <w:b/>
          <w:sz w:val="18"/>
          <w:szCs w:val="18"/>
        </w:rPr>
        <w:t xml:space="preserve">10 </w:t>
      </w:r>
      <w:r w:rsidRPr="00B86BCE">
        <w:rPr>
          <w:b/>
          <w:sz w:val="18"/>
          <w:szCs w:val="18"/>
        </w:rPr>
        <w:t xml:space="preserve">type approval </w:t>
      </w:r>
      <w:r w:rsidR="0069768E" w:rsidRPr="00B86BCE">
        <w:rPr>
          <w:b/>
          <w:sz w:val="18"/>
          <w:szCs w:val="18"/>
        </w:rPr>
        <w:t>certificate is not mandatory.</w:t>
      </w:r>
      <w:r w:rsidRPr="00B86BCE">
        <w:rPr>
          <w:b/>
          <w:sz w:val="18"/>
          <w:szCs w:val="18"/>
        </w:rPr>
        <w:t>"</w:t>
      </w:r>
    </w:p>
    <w:p w:rsidR="0020554F" w:rsidRPr="00B86BCE" w:rsidRDefault="0069768E" w:rsidP="00B86BCE">
      <w:pPr>
        <w:pStyle w:val="HChG"/>
      </w:pPr>
      <w:r w:rsidRPr="00B86BCE">
        <w:tab/>
      </w:r>
      <w:bookmarkEnd w:id="1"/>
      <w:r w:rsidR="0020554F" w:rsidRPr="00B86BCE">
        <w:t>II.</w:t>
      </w:r>
      <w:r w:rsidR="0020554F" w:rsidRPr="00B86BCE">
        <w:tab/>
        <w:t>Justification</w:t>
      </w:r>
    </w:p>
    <w:p w:rsidR="0034331C" w:rsidRDefault="00562E70" w:rsidP="0034331C">
      <w:pPr>
        <w:spacing w:after="120" w:line="240" w:lineRule="auto"/>
        <w:ind w:left="1134" w:right="993"/>
        <w:jc w:val="both"/>
        <w:rPr>
          <w:rFonts w:eastAsia="MS Mincho"/>
        </w:rPr>
      </w:pPr>
      <w:r>
        <w:t>1.</w:t>
      </w:r>
      <w:r>
        <w:tab/>
      </w:r>
      <w:r w:rsidR="009124B0">
        <w:t>On one hand, i</w:t>
      </w:r>
      <w:r w:rsidR="0034331C">
        <w:rPr>
          <w:rFonts w:eastAsia="MS Mincho"/>
        </w:rPr>
        <w:t>t should be clear tha</w:t>
      </w:r>
      <w:r w:rsidR="009124B0">
        <w:rPr>
          <w:rFonts w:eastAsia="MS Mincho"/>
        </w:rPr>
        <w:t>t</w:t>
      </w:r>
      <w:r w:rsidR="0034331C">
        <w:rPr>
          <w:rFonts w:eastAsia="MS Mincho"/>
        </w:rPr>
        <w:t xml:space="preserve"> a</w:t>
      </w:r>
      <w:r w:rsidR="00CF319D">
        <w:rPr>
          <w:rFonts w:eastAsia="MS Mincho"/>
        </w:rPr>
        <w:t xml:space="preserve"> UN Regulation No. </w:t>
      </w:r>
      <w:r w:rsidR="0034331C">
        <w:rPr>
          <w:rFonts w:eastAsia="MS Mincho"/>
        </w:rPr>
        <w:t>10</w:t>
      </w:r>
      <w:r w:rsidR="00CF319D">
        <w:rPr>
          <w:rFonts w:eastAsia="MS Mincho"/>
        </w:rPr>
        <w:t xml:space="preserve"> type approval</w:t>
      </w:r>
      <w:r w:rsidR="0034331C">
        <w:rPr>
          <w:rFonts w:eastAsia="MS Mincho"/>
        </w:rPr>
        <w:t xml:space="preserve"> certificate can be used to demonstrate </w:t>
      </w:r>
      <w:r w:rsidR="0034331C" w:rsidRPr="00365C90">
        <w:rPr>
          <w:rFonts w:eastAsia="MS Mincho"/>
        </w:rPr>
        <w:t>immunity of anti-lock (or other electronic braking) systems</w:t>
      </w:r>
      <w:r w:rsidR="0034331C">
        <w:rPr>
          <w:rFonts w:eastAsia="MS Mincho"/>
        </w:rPr>
        <w:t xml:space="preserve">. On the other hand, it should also be clear that an </w:t>
      </w:r>
      <w:r w:rsidR="00CF319D">
        <w:rPr>
          <w:rFonts w:eastAsia="MS Mincho"/>
        </w:rPr>
        <w:t xml:space="preserve">UN </w:t>
      </w:r>
      <w:r w:rsidR="0034331C">
        <w:rPr>
          <w:rFonts w:eastAsia="MS Mincho"/>
        </w:rPr>
        <w:t>R</w:t>
      </w:r>
      <w:r w:rsidR="00CF319D">
        <w:rPr>
          <w:rFonts w:eastAsia="MS Mincho"/>
        </w:rPr>
        <w:t xml:space="preserve">egulation No. </w:t>
      </w:r>
      <w:r w:rsidR="0034331C">
        <w:rPr>
          <w:rFonts w:eastAsia="MS Mincho"/>
        </w:rPr>
        <w:t>10</w:t>
      </w:r>
      <w:r w:rsidR="00CF319D">
        <w:rPr>
          <w:rFonts w:eastAsia="MS Mincho"/>
        </w:rPr>
        <w:t xml:space="preserve"> approval</w:t>
      </w:r>
      <w:r w:rsidR="0034331C">
        <w:rPr>
          <w:rFonts w:eastAsia="MS Mincho"/>
        </w:rPr>
        <w:t xml:space="preserve"> certificate is not mandatory. </w:t>
      </w:r>
    </w:p>
    <w:p w:rsidR="0034331C" w:rsidRPr="0034331C" w:rsidRDefault="0034331C" w:rsidP="0034331C">
      <w:pPr>
        <w:spacing w:after="120" w:line="240" w:lineRule="auto"/>
        <w:ind w:left="1134" w:right="993"/>
        <w:jc w:val="both"/>
        <w:rPr>
          <w:rFonts w:eastAsia="MS Mincho"/>
        </w:rPr>
      </w:pPr>
      <w:r>
        <w:rPr>
          <w:rFonts w:eastAsia="MS Mincho"/>
          <w:lang w:val="en-US"/>
        </w:rPr>
        <w:t>2.</w:t>
      </w:r>
      <w:r>
        <w:rPr>
          <w:rFonts w:eastAsia="MS Mincho"/>
          <w:lang w:val="en-US"/>
        </w:rPr>
        <w:tab/>
      </w:r>
      <w:r w:rsidRPr="00DF04B0">
        <w:rPr>
          <w:rFonts w:eastAsia="MS Mincho"/>
          <w:lang w:val="en-US"/>
        </w:rPr>
        <w:t xml:space="preserve">The concern is not that </w:t>
      </w:r>
      <w:r w:rsidR="00CF319D">
        <w:rPr>
          <w:rFonts w:eastAsia="MS Mincho"/>
          <w:lang w:val="en-US"/>
        </w:rPr>
        <w:t xml:space="preserve">UN </w:t>
      </w:r>
      <w:r w:rsidRPr="00DF04B0">
        <w:rPr>
          <w:rFonts w:eastAsia="MS Mincho"/>
          <w:lang w:val="en-US"/>
        </w:rPr>
        <w:t>R</w:t>
      </w:r>
      <w:r w:rsidR="00CF319D">
        <w:rPr>
          <w:rFonts w:eastAsia="MS Mincho"/>
          <w:lang w:val="en-US"/>
        </w:rPr>
        <w:t xml:space="preserve">egulation No. </w:t>
      </w:r>
      <w:r w:rsidRPr="00DF04B0">
        <w:rPr>
          <w:rFonts w:eastAsia="MS Mincho"/>
          <w:lang w:val="en-US"/>
        </w:rPr>
        <w:t xml:space="preserve">10 is difficult to apply or </w:t>
      </w:r>
      <w:r w:rsidR="00664126">
        <w:rPr>
          <w:rFonts w:eastAsia="MS Mincho"/>
          <w:lang w:val="en-US"/>
        </w:rPr>
        <w:t xml:space="preserve">not applicable to motorcycles. </w:t>
      </w:r>
      <w:r w:rsidRPr="00DF04B0">
        <w:rPr>
          <w:rFonts w:eastAsia="MS Mincho"/>
          <w:lang w:val="en-US"/>
        </w:rPr>
        <w:t xml:space="preserve">The concern is that there is nothing in </w:t>
      </w:r>
      <w:r w:rsidR="00CF319D">
        <w:rPr>
          <w:rFonts w:eastAsia="MS Mincho"/>
          <w:lang w:val="en-US"/>
        </w:rPr>
        <w:t xml:space="preserve">UN </w:t>
      </w:r>
      <w:r w:rsidRPr="00DF04B0">
        <w:rPr>
          <w:rFonts w:eastAsia="MS Mincho"/>
          <w:lang w:val="en-US"/>
        </w:rPr>
        <w:t>R</w:t>
      </w:r>
      <w:r w:rsidR="00CF319D">
        <w:rPr>
          <w:rFonts w:eastAsia="MS Mincho"/>
          <w:lang w:val="en-US"/>
        </w:rPr>
        <w:t xml:space="preserve">egulation No. </w:t>
      </w:r>
      <w:r w:rsidRPr="00DF04B0">
        <w:rPr>
          <w:rFonts w:eastAsia="MS Mincho"/>
          <w:lang w:val="en-US"/>
        </w:rPr>
        <w:t>10 that explicitly ensur</w:t>
      </w:r>
      <w:r w:rsidR="00664126">
        <w:rPr>
          <w:rFonts w:eastAsia="MS Mincho"/>
          <w:lang w:val="en-US"/>
        </w:rPr>
        <w:t>e</w:t>
      </w:r>
      <w:r w:rsidRPr="00DF04B0">
        <w:rPr>
          <w:rFonts w:eastAsia="MS Mincho"/>
          <w:lang w:val="en-US"/>
        </w:rPr>
        <w:t xml:space="preserve"> the immunity of anti-lock (or other electronic braking) systems without the agreement of a test plan between the manufacturer and Technical Service.  </w:t>
      </w:r>
    </w:p>
    <w:p w:rsidR="0034331C" w:rsidRPr="00DF04B0" w:rsidRDefault="0034331C" w:rsidP="0034331C">
      <w:pPr>
        <w:tabs>
          <w:tab w:val="left" w:pos="1701"/>
        </w:tabs>
        <w:spacing w:after="120"/>
        <w:ind w:left="1134" w:right="1134"/>
        <w:jc w:val="both"/>
        <w:rPr>
          <w:rFonts w:eastAsia="MS Mincho"/>
          <w:lang w:val="en-US"/>
        </w:rPr>
      </w:pPr>
      <w:r>
        <w:rPr>
          <w:rFonts w:eastAsia="MS Mincho"/>
          <w:lang w:val="en-US"/>
        </w:rPr>
        <w:t xml:space="preserve">3. </w:t>
      </w:r>
      <w:r>
        <w:rPr>
          <w:rFonts w:eastAsia="MS Mincho"/>
          <w:lang w:val="en-US"/>
        </w:rPr>
        <w:tab/>
        <w:t>E</w:t>
      </w:r>
      <w:r w:rsidRPr="00DF04B0">
        <w:rPr>
          <w:rFonts w:eastAsia="MS Mincho"/>
          <w:lang w:val="en-US"/>
        </w:rPr>
        <w:t xml:space="preserve">xcerpts from </w:t>
      </w:r>
      <w:r w:rsidR="00CF319D">
        <w:rPr>
          <w:rFonts w:eastAsia="MS Mincho"/>
          <w:lang w:val="en-US"/>
        </w:rPr>
        <w:t xml:space="preserve">UN </w:t>
      </w:r>
      <w:r w:rsidRPr="00DF04B0">
        <w:rPr>
          <w:rFonts w:eastAsia="MS Mincho"/>
          <w:lang w:val="en-US"/>
        </w:rPr>
        <w:t>R</w:t>
      </w:r>
      <w:r w:rsidR="00CF319D">
        <w:rPr>
          <w:rFonts w:eastAsia="MS Mincho"/>
          <w:lang w:val="en-US"/>
        </w:rPr>
        <w:t xml:space="preserve">egulation No. </w:t>
      </w:r>
      <w:r w:rsidRPr="00DF04B0">
        <w:rPr>
          <w:rFonts w:eastAsia="MS Mincho"/>
          <w:lang w:val="en-US"/>
        </w:rPr>
        <w:t>10</w:t>
      </w:r>
      <w:r w:rsidR="00CF319D">
        <w:rPr>
          <w:rFonts w:eastAsia="MS Mincho"/>
          <w:lang w:val="en-US"/>
        </w:rPr>
        <w:t xml:space="preserve">, </w:t>
      </w:r>
      <w:r w:rsidRPr="00DF04B0">
        <w:rPr>
          <w:rFonts w:eastAsia="MS Mincho"/>
          <w:lang w:val="en-US"/>
        </w:rPr>
        <w:t>04</w:t>
      </w:r>
      <w:r w:rsidR="00CF319D">
        <w:rPr>
          <w:rFonts w:eastAsia="MS Mincho"/>
          <w:lang w:val="en-US"/>
        </w:rPr>
        <w:t xml:space="preserve"> series of amendments</w:t>
      </w:r>
      <w:r w:rsidRPr="00DF04B0">
        <w:rPr>
          <w:rFonts w:eastAsia="MS Mincho"/>
          <w:lang w:val="en-US"/>
        </w:rPr>
        <w:t>, Annex 6, section 2.1.1.2</w:t>
      </w:r>
      <w:r>
        <w:rPr>
          <w:rFonts w:eastAsia="MS Mincho"/>
          <w:lang w:val="en-US"/>
        </w:rPr>
        <w:t xml:space="preserve"> states that</w:t>
      </w:r>
      <w:r w:rsidRPr="00DF04B0">
        <w:rPr>
          <w:rFonts w:eastAsia="MS Mincho"/>
          <w:lang w:val="en-US"/>
        </w:rPr>
        <w:t>: “Other vehicle systems, which can affect immunity related functions must be tested in a way to be agreed between manufacturer and Technical Service.”</w:t>
      </w:r>
    </w:p>
    <w:p w:rsidR="0034331C" w:rsidRPr="00DF04B0" w:rsidRDefault="002E2093" w:rsidP="0034331C">
      <w:pPr>
        <w:tabs>
          <w:tab w:val="left" w:pos="1701"/>
        </w:tabs>
        <w:spacing w:after="120"/>
        <w:ind w:left="1134" w:right="1134"/>
        <w:jc w:val="both"/>
        <w:rPr>
          <w:rFonts w:eastAsia="MS Mincho"/>
          <w:lang w:val="en-US"/>
        </w:rPr>
      </w:pPr>
      <w:r>
        <w:rPr>
          <w:rFonts w:eastAsia="MS Mincho"/>
          <w:noProof/>
          <w:lang w:eastAsia="en-GB"/>
        </w:rPr>
        <w:drawing>
          <wp:inline distT="0" distB="0" distL="0" distR="0">
            <wp:extent cx="4725670" cy="106045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670" cy="1060450"/>
                    </a:xfrm>
                    <a:prstGeom prst="rect">
                      <a:avLst/>
                    </a:prstGeom>
                    <a:noFill/>
                    <a:ln>
                      <a:noFill/>
                    </a:ln>
                  </pic:spPr>
                </pic:pic>
              </a:graphicData>
            </a:graphic>
          </wp:inline>
        </w:drawing>
      </w:r>
    </w:p>
    <w:p w:rsidR="0034331C" w:rsidRDefault="0034331C" w:rsidP="0034331C">
      <w:pPr>
        <w:tabs>
          <w:tab w:val="left" w:pos="1701"/>
        </w:tabs>
        <w:spacing w:after="120"/>
        <w:ind w:left="1134" w:right="1134"/>
        <w:jc w:val="both"/>
        <w:rPr>
          <w:rFonts w:eastAsia="MS Mincho"/>
          <w:lang w:val="en-US"/>
        </w:rPr>
      </w:pPr>
      <w:r>
        <w:rPr>
          <w:rFonts w:eastAsia="MS Mincho"/>
          <w:lang w:val="en-US"/>
        </w:rPr>
        <w:t xml:space="preserve">4. </w:t>
      </w:r>
      <w:r>
        <w:rPr>
          <w:rFonts w:eastAsia="MS Mincho"/>
          <w:lang w:val="en-US"/>
        </w:rPr>
        <w:tab/>
      </w:r>
      <w:r w:rsidRPr="00DF04B0">
        <w:rPr>
          <w:rFonts w:eastAsia="MS Mincho"/>
          <w:lang w:val="en-US"/>
        </w:rPr>
        <w:t xml:space="preserve">The lack of specific requirements </w:t>
      </w:r>
      <w:r>
        <w:rPr>
          <w:rFonts w:eastAsia="MS Mincho"/>
          <w:lang w:val="en-US"/>
        </w:rPr>
        <w:t xml:space="preserve">in </w:t>
      </w:r>
      <w:r w:rsidR="00CF319D">
        <w:rPr>
          <w:rFonts w:eastAsia="MS Mincho"/>
          <w:lang w:val="en-US"/>
        </w:rPr>
        <w:t xml:space="preserve">UN </w:t>
      </w:r>
      <w:r>
        <w:rPr>
          <w:rFonts w:eastAsia="MS Mincho"/>
          <w:lang w:val="en-US"/>
        </w:rPr>
        <w:t>R</w:t>
      </w:r>
      <w:r w:rsidR="00CF319D">
        <w:rPr>
          <w:rFonts w:eastAsia="MS Mincho"/>
          <w:lang w:val="en-US"/>
        </w:rPr>
        <w:t xml:space="preserve">egulation No. </w:t>
      </w:r>
      <w:r>
        <w:rPr>
          <w:rFonts w:eastAsia="MS Mincho"/>
          <w:lang w:val="en-US"/>
        </w:rPr>
        <w:t>10 as currently written</w:t>
      </w:r>
      <w:r w:rsidRPr="00DF04B0">
        <w:rPr>
          <w:rFonts w:eastAsia="MS Mincho"/>
          <w:lang w:val="en-US"/>
        </w:rPr>
        <w:t xml:space="preserve"> provides the opportunity for varying standards.  Because of this, referencing </w:t>
      </w:r>
      <w:r w:rsidR="00CF319D">
        <w:rPr>
          <w:rFonts w:eastAsia="MS Mincho"/>
          <w:lang w:val="en-US"/>
        </w:rPr>
        <w:t xml:space="preserve">UN </w:t>
      </w:r>
      <w:r w:rsidRPr="00DF04B0">
        <w:rPr>
          <w:rFonts w:eastAsia="MS Mincho"/>
          <w:lang w:val="en-US"/>
        </w:rPr>
        <w:t>R</w:t>
      </w:r>
      <w:r w:rsidR="00CF319D">
        <w:rPr>
          <w:rFonts w:eastAsia="MS Mincho"/>
          <w:lang w:val="en-US"/>
        </w:rPr>
        <w:t xml:space="preserve">egulation No. </w:t>
      </w:r>
      <w:r w:rsidRPr="00DF04B0">
        <w:rPr>
          <w:rFonts w:eastAsia="MS Mincho"/>
          <w:lang w:val="en-US"/>
        </w:rPr>
        <w:t xml:space="preserve">10 in </w:t>
      </w:r>
      <w:r w:rsidR="00CF319D">
        <w:rPr>
          <w:rFonts w:eastAsia="MS Mincho"/>
          <w:lang w:val="en-US"/>
        </w:rPr>
        <w:t xml:space="preserve">UN </w:t>
      </w:r>
      <w:r w:rsidRPr="00DF04B0">
        <w:rPr>
          <w:rFonts w:eastAsia="MS Mincho"/>
          <w:lang w:val="en-US"/>
        </w:rPr>
        <w:t>R</w:t>
      </w:r>
      <w:r w:rsidR="00CF319D">
        <w:rPr>
          <w:rFonts w:eastAsia="MS Mincho"/>
          <w:lang w:val="en-US"/>
        </w:rPr>
        <w:t xml:space="preserve">egulation No. </w:t>
      </w:r>
      <w:r w:rsidRPr="00DF04B0">
        <w:rPr>
          <w:rFonts w:eastAsia="MS Mincho"/>
          <w:lang w:val="en-US"/>
        </w:rPr>
        <w:t xml:space="preserve">78 has limited value in ensuring additional requirements for immunity of the anti-lock system.  Ensuring immunity comes from the test plan agreed between the manufacturer and Technical Service.     </w:t>
      </w:r>
    </w:p>
    <w:p w:rsidR="0034331C" w:rsidRPr="00B86BCE" w:rsidRDefault="0034331C" w:rsidP="00B86BCE">
      <w:pPr>
        <w:tabs>
          <w:tab w:val="left" w:pos="1701"/>
        </w:tabs>
        <w:spacing w:after="120"/>
        <w:ind w:left="1134" w:right="1134"/>
        <w:jc w:val="both"/>
        <w:rPr>
          <w:rFonts w:eastAsia="MS Mincho"/>
          <w:lang w:val="en-US"/>
        </w:rPr>
      </w:pPr>
      <w:r>
        <w:rPr>
          <w:rFonts w:eastAsia="MS Mincho"/>
          <w:lang w:val="en-US"/>
        </w:rPr>
        <w:t>5.</w:t>
      </w:r>
      <w:r w:rsidR="00B86BCE">
        <w:rPr>
          <w:rFonts w:eastAsia="MS Mincho"/>
          <w:lang w:val="en-US"/>
        </w:rPr>
        <w:tab/>
      </w:r>
      <w:r w:rsidRPr="00DF04B0">
        <w:rPr>
          <w:rFonts w:eastAsia="MS Mincho"/>
          <w:lang w:val="en-US"/>
        </w:rPr>
        <w:t xml:space="preserve">Given the lack of specificity in </w:t>
      </w:r>
      <w:r w:rsidR="00CF319D">
        <w:rPr>
          <w:rFonts w:eastAsia="MS Mincho"/>
          <w:lang w:val="en-US"/>
        </w:rPr>
        <w:t xml:space="preserve">UN </w:t>
      </w:r>
      <w:r w:rsidRPr="00DF04B0">
        <w:rPr>
          <w:rFonts w:eastAsia="MS Mincho"/>
          <w:lang w:val="en-US"/>
        </w:rPr>
        <w:t>R</w:t>
      </w:r>
      <w:r w:rsidR="00CF319D">
        <w:rPr>
          <w:rFonts w:eastAsia="MS Mincho"/>
          <w:lang w:val="en-US"/>
        </w:rPr>
        <w:t xml:space="preserve">egulation No. </w:t>
      </w:r>
      <w:r w:rsidRPr="00DF04B0">
        <w:rPr>
          <w:rFonts w:eastAsia="MS Mincho"/>
          <w:lang w:val="en-US"/>
        </w:rPr>
        <w:t>10 concerning immunity of anti-lock systems</w:t>
      </w:r>
      <w:r>
        <w:rPr>
          <w:rFonts w:eastAsia="MS Mincho"/>
          <w:lang w:val="en-US"/>
        </w:rPr>
        <w:t xml:space="preserve">, allowing an agreement </w:t>
      </w:r>
      <w:r w:rsidRPr="00DF04B0">
        <w:rPr>
          <w:rFonts w:eastAsia="MS Mincho"/>
          <w:lang w:val="en-US"/>
        </w:rPr>
        <w:t>between the manufacturer and Technical Service</w:t>
      </w:r>
      <w:r>
        <w:rPr>
          <w:rFonts w:eastAsia="MS Mincho"/>
          <w:lang w:val="en-US"/>
        </w:rPr>
        <w:t xml:space="preserve"> in the above proposal provides the same protection as currently provided in </w:t>
      </w:r>
      <w:r w:rsidR="00CF319D">
        <w:rPr>
          <w:rFonts w:eastAsia="MS Mincho"/>
          <w:lang w:val="en-US"/>
        </w:rPr>
        <w:t xml:space="preserve">UN </w:t>
      </w:r>
      <w:r>
        <w:rPr>
          <w:rFonts w:eastAsia="MS Mincho"/>
          <w:lang w:val="en-US"/>
        </w:rPr>
        <w:t>R</w:t>
      </w:r>
      <w:r w:rsidR="00CF319D">
        <w:rPr>
          <w:rFonts w:eastAsia="MS Mincho"/>
          <w:lang w:val="en-US"/>
        </w:rPr>
        <w:t xml:space="preserve">egulation No. </w:t>
      </w:r>
      <w:r>
        <w:rPr>
          <w:rFonts w:eastAsia="MS Mincho"/>
          <w:lang w:val="en-US"/>
        </w:rPr>
        <w:t>10.</w:t>
      </w:r>
    </w:p>
    <w:p w:rsidR="000A1F24" w:rsidRPr="004E5C76" w:rsidRDefault="000A1F24" w:rsidP="000A1F24">
      <w:pPr>
        <w:pStyle w:val="SingleTxtG"/>
        <w:spacing w:before="120" w:after="0"/>
        <w:ind w:right="993"/>
        <w:jc w:val="center"/>
        <w:rPr>
          <w:b/>
        </w:rPr>
      </w:pPr>
      <w:r>
        <w:rPr>
          <w:u w:val="single"/>
          <w:lang w:eastAsia="en-GB"/>
        </w:rPr>
        <w:tab/>
      </w:r>
      <w:r>
        <w:rPr>
          <w:u w:val="single"/>
          <w:lang w:eastAsia="en-GB"/>
        </w:rPr>
        <w:tab/>
      </w:r>
      <w:r>
        <w:rPr>
          <w:u w:val="single"/>
          <w:lang w:eastAsia="en-GB"/>
        </w:rPr>
        <w:tab/>
      </w:r>
    </w:p>
    <w:sectPr w:rsidR="000A1F24" w:rsidRPr="004E5C76" w:rsidSect="0064365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AF" w:rsidRDefault="00F309AF"/>
  </w:endnote>
  <w:endnote w:type="continuationSeparator" w:id="0">
    <w:p w:rsidR="00F309AF" w:rsidRDefault="00F309AF"/>
  </w:endnote>
  <w:endnote w:type="continuationNotice" w:id="1">
    <w:p w:rsidR="00F309AF" w:rsidRDefault="00F3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643650">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CF319D">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2E2093">
    <w:pPr>
      <w:pStyle w:val="Footer"/>
      <w:rPr>
        <w:sz w:val="20"/>
      </w:rPr>
    </w:pPr>
    <w:r>
      <w:rPr>
        <w:noProof/>
        <w:lang w:eastAsia="en-GB"/>
      </w:rPr>
      <w:drawing>
        <wp:anchor distT="0" distB="0" distL="114300" distR="114300" simplePos="0" relativeHeight="251657728" behindDoc="0" locked="1" layoutInCell="1" allowOverlap="1" wp14:anchorId="75B03B12" wp14:editId="04D70C04">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709">
      <w:rPr>
        <w:sz w:val="20"/>
      </w:rPr>
      <w:t>GE.1</w:t>
    </w:r>
    <w:r w:rsidR="00B86BCE">
      <w:rPr>
        <w:sz w:val="20"/>
      </w:rPr>
      <w:t>5</w:t>
    </w:r>
    <w:r w:rsidR="00A7370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AF" w:rsidRPr="000B175B" w:rsidRDefault="00F309AF" w:rsidP="000B175B">
      <w:pPr>
        <w:tabs>
          <w:tab w:val="right" w:pos="2155"/>
        </w:tabs>
        <w:spacing w:after="80"/>
        <w:ind w:left="680"/>
        <w:rPr>
          <w:u w:val="single"/>
        </w:rPr>
      </w:pPr>
      <w:r>
        <w:rPr>
          <w:u w:val="single"/>
        </w:rPr>
        <w:tab/>
      </w:r>
    </w:p>
  </w:footnote>
  <w:footnote w:type="continuationSeparator" w:id="0">
    <w:p w:rsidR="00F309AF" w:rsidRPr="00FC68B7" w:rsidRDefault="00F309AF" w:rsidP="00FC68B7">
      <w:pPr>
        <w:tabs>
          <w:tab w:val="left" w:pos="2155"/>
        </w:tabs>
        <w:spacing w:after="80"/>
        <w:ind w:left="680"/>
        <w:rPr>
          <w:u w:val="single"/>
        </w:rPr>
      </w:pPr>
      <w:r>
        <w:rPr>
          <w:u w:val="single"/>
        </w:rPr>
        <w:tab/>
      </w:r>
    </w:p>
  </w:footnote>
  <w:footnote w:type="continuationNotice" w:id="1">
    <w:p w:rsidR="00F309AF" w:rsidRDefault="00F309AF"/>
  </w:footnote>
  <w:footnote w:id="2">
    <w:p w:rsidR="00B86BCE" w:rsidRPr="002232AF" w:rsidRDefault="00B86BCE" w:rsidP="00B86BCE">
      <w:pPr>
        <w:pStyle w:val="FootnoteText"/>
        <w:jc w:val="both"/>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pPr>
      <w:pStyle w:val="Header"/>
    </w:pPr>
    <w:r>
      <w:t>ECE/TRANS/WP.29/GRRF/201</w:t>
    </w:r>
    <w:r w:rsidR="00F87B5E">
      <w:t>5</w:t>
    </w:r>
    <w:r>
      <w:t>/</w:t>
    </w:r>
    <w:r w:rsidR="009124B0">
      <w:t>2</w:t>
    </w:r>
    <w:r w:rsidR="003E38C4">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09" w:rsidRPr="00923752" w:rsidRDefault="00A73709" w:rsidP="00923752">
    <w:pPr>
      <w:pStyle w:val="Header"/>
      <w:jc w:val="right"/>
    </w:pPr>
    <w:r>
      <w:t>ECE/TRANS/WP.29/GRRF/201</w:t>
    </w:r>
    <w:r w:rsidR="00F87B5E">
      <w:t>5</w:t>
    </w:r>
    <w:r>
      <w:t>/</w:t>
    </w:r>
    <w:r w:rsidR="006A78AC">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19">
    <w:nsid w:val="7E780E3F"/>
    <w:multiLevelType w:val="hybridMultilevel"/>
    <w:tmpl w:val="62AAA85E"/>
    <w:lvl w:ilvl="0" w:tplc="0813000F">
      <w:start w:val="1"/>
      <w:numFmt w:val="decimal"/>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3"/>
  </w:num>
  <w:num w:numId="14">
    <w:abstractNumId w:val="16"/>
  </w:num>
  <w:num w:numId="15">
    <w:abstractNumId w:val="17"/>
  </w:num>
  <w:num w:numId="16">
    <w:abstractNumId w:val="18"/>
  </w:num>
  <w:num w:numId="1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11EBE"/>
    <w:rsid w:val="00030044"/>
    <w:rsid w:val="00046B1F"/>
    <w:rsid w:val="00050F6B"/>
    <w:rsid w:val="00052635"/>
    <w:rsid w:val="00057E97"/>
    <w:rsid w:val="000610EE"/>
    <w:rsid w:val="000646F4"/>
    <w:rsid w:val="00072C8C"/>
    <w:rsid w:val="000733B5"/>
    <w:rsid w:val="000743D1"/>
    <w:rsid w:val="00075CAF"/>
    <w:rsid w:val="000769C3"/>
    <w:rsid w:val="00081815"/>
    <w:rsid w:val="000931C0"/>
    <w:rsid w:val="00094407"/>
    <w:rsid w:val="00094B65"/>
    <w:rsid w:val="000973F9"/>
    <w:rsid w:val="000A1F24"/>
    <w:rsid w:val="000A30C4"/>
    <w:rsid w:val="000A342C"/>
    <w:rsid w:val="000B0595"/>
    <w:rsid w:val="000B175B"/>
    <w:rsid w:val="000B2F02"/>
    <w:rsid w:val="000B3A0F"/>
    <w:rsid w:val="000B4EF7"/>
    <w:rsid w:val="000B676B"/>
    <w:rsid w:val="000C23F4"/>
    <w:rsid w:val="000C2C03"/>
    <w:rsid w:val="000C2D2E"/>
    <w:rsid w:val="000C4C94"/>
    <w:rsid w:val="000E0415"/>
    <w:rsid w:val="000F46F4"/>
    <w:rsid w:val="000F6BE3"/>
    <w:rsid w:val="000F7775"/>
    <w:rsid w:val="00103A07"/>
    <w:rsid w:val="00103A1A"/>
    <w:rsid w:val="001103AA"/>
    <w:rsid w:val="00112E6A"/>
    <w:rsid w:val="0011666B"/>
    <w:rsid w:val="00121464"/>
    <w:rsid w:val="00133987"/>
    <w:rsid w:val="00135B68"/>
    <w:rsid w:val="00165F3A"/>
    <w:rsid w:val="00175B5A"/>
    <w:rsid w:val="00182290"/>
    <w:rsid w:val="001832FB"/>
    <w:rsid w:val="0019202F"/>
    <w:rsid w:val="001A3955"/>
    <w:rsid w:val="001B4B04"/>
    <w:rsid w:val="001C2258"/>
    <w:rsid w:val="001C6663"/>
    <w:rsid w:val="001C7895"/>
    <w:rsid w:val="001C78A8"/>
    <w:rsid w:val="001D0C8C"/>
    <w:rsid w:val="001D1419"/>
    <w:rsid w:val="001D26DF"/>
    <w:rsid w:val="001D3A03"/>
    <w:rsid w:val="001D4EDD"/>
    <w:rsid w:val="001E1B44"/>
    <w:rsid w:val="001E7B67"/>
    <w:rsid w:val="001F4084"/>
    <w:rsid w:val="001F4C8C"/>
    <w:rsid w:val="00202DA8"/>
    <w:rsid w:val="0020554F"/>
    <w:rsid w:val="00205E55"/>
    <w:rsid w:val="00211202"/>
    <w:rsid w:val="00211E0B"/>
    <w:rsid w:val="002249B1"/>
    <w:rsid w:val="0023295E"/>
    <w:rsid w:val="00232EF4"/>
    <w:rsid w:val="0023387C"/>
    <w:rsid w:val="00242E05"/>
    <w:rsid w:val="00245197"/>
    <w:rsid w:val="0024772E"/>
    <w:rsid w:val="002566CB"/>
    <w:rsid w:val="00267F5F"/>
    <w:rsid w:val="002807CC"/>
    <w:rsid w:val="00286B4D"/>
    <w:rsid w:val="00293AFC"/>
    <w:rsid w:val="002B2CEE"/>
    <w:rsid w:val="002C554D"/>
    <w:rsid w:val="002D102B"/>
    <w:rsid w:val="002D1460"/>
    <w:rsid w:val="002D4643"/>
    <w:rsid w:val="002E2093"/>
    <w:rsid w:val="002F175C"/>
    <w:rsid w:val="002F2821"/>
    <w:rsid w:val="002F7DE0"/>
    <w:rsid w:val="00302E18"/>
    <w:rsid w:val="003068A3"/>
    <w:rsid w:val="003229D8"/>
    <w:rsid w:val="003231AA"/>
    <w:rsid w:val="003264C1"/>
    <w:rsid w:val="00332BBA"/>
    <w:rsid w:val="003335AD"/>
    <w:rsid w:val="00337273"/>
    <w:rsid w:val="0034331C"/>
    <w:rsid w:val="00344F05"/>
    <w:rsid w:val="0034671F"/>
    <w:rsid w:val="00352709"/>
    <w:rsid w:val="003536EE"/>
    <w:rsid w:val="003619B5"/>
    <w:rsid w:val="00361AC3"/>
    <w:rsid w:val="00365763"/>
    <w:rsid w:val="003659D8"/>
    <w:rsid w:val="00367AAF"/>
    <w:rsid w:val="003701D8"/>
    <w:rsid w:val="00371178"/>
    <w:rsid w:val="003721E2"/>
    <w:rsid w:val="00385977"/>
    <w:rsid w:val="00385A13"/>
    <w:rsid w:val="00392E47"/>
    <w:rsid w:val="003A19B5"/>
    <w:rsid w:val="003A6321"/>
    <w:rsid w:val="003A65B2"/>
    <w:rsid w:val="003A6810"/>
    <w:rsid w:val="003C0787"/>
    <w:rsid w:val="003C2CC4"/>
    <w:rsid w:val="003C534D"/>
    <w:rsid w:val="003C5E69"/>
    <w:rsid w:val="003D4646"/>
    <w:rsid w:val="003D4B23"/>
    <w:rsid w:val="003E130E"/>
    <w:rsid w:val="003E38C4"/>
    <w:rsid w:val="003E3A4A"/>
    <w:rsid w:val="003E751F"/>
    <w:rsid w:val="003F2D5A"/>
    <w:rsid w:val="003F5B08"/>
    <w:rsid w:val="003F5CFD"/>
    <w:rsid w:val="00407436"/>
    <w:rsid w:val="00410C89"/>
    <w:rsid w:val="00413EE4"/>
    <w:rsid w:val="004218B0"/>
    <w:rsid w:val="00422E03"/>
    <w:rsid w:val="00426B9B"/>
    <w:rsid w:val="00431C30"/>
    <w:rsid w:val="004325CB"/>
    <w:rsid w:val="00434D7E"/>
    <w:rsid w:val="00437F32"/>
    <w:rsid w:val="0044130A"/>
    <w:rsid w:val="00442A83"/>
    <w:rsid w:val="00452D12"/>
    <w:rsid w:val="0045495B"/>
    <w:rsid w:val="004561E5"/>
    <w:rsid w:val="0047284E"/>
    <w:rsid w:val="0048397A"/>
    <w:rsid w:val="00485CBB"/>
    <w:rsid w:val="004866B7"/>
    <w:rsid w:val="00490CBA"/>
    <w:rsid w:val="004A19C8"/>
    <w:rsid w:val="004A2E1E"/>
    <w:rsid w:val="004B0758"/>
    <w:rsid w:val="004B1EE6"/>
    <w:rsid w:val="004C0977"/>
    <w:rsid w:val="004C2461"/>
    <w:rsid w:val="004C3897"/>
    <w:rsid w:val="004C7462"/>
    <w:rsid w:val="004E5C76"/>
    <w:rsid w:val="004E6A8B"/>
    <w:rsid w:val="004E77B2"/>
    <w:rsid w:val="004E7DDB"/>
    <w:rsid w:val="004F2B31"/>
    <w:rsid w:val="00504B2D"/>
    <w:rsid w:val="00515214"/>
    <w:rsid w:val="00515314"/>
    <w:rsid w:val="00517F61"/>
    <w:rsid w:val="0052136D"/>
    <w:rsid w:val="0052775E"/>
    <w:rsid w:val="005420F2"/>
    <w:rsid w:val="0054229A"/>
    <w:rsid w:val="0054349A"/>
    <w:rsid w:val="0056209A"/>
    <w:rsid w:val="005628B6"/>
    <w:rsid w:val="00562E70"/>
    <w:rsid w:val="00567C3E"/>
    <w:rsid w:val="00570087"/>
    <w:rsid w:val="0058660B"/>
    <w:rsid w:val="00592EDF"/>
    <w:rsid w:val="005941EC"/>
    <w:rsid w:val="0059724D"/>
    <w:rsid w:val="005A198E"/>
    <w:rsid w:val="005A796A"/>
    <w:rsid w:val="005A7E6C"/>
    <w:rsid w:val="005B320C"/>
    <w:rsid w:val="005B3DB3"/>
    <w:rsid w:val="005B4E13"/>
    <w:rsid w:val="005B5059"/>
    <w:rsid w:val="005B5205"/>
    <w:rsid w:val="005B6B49"/>
    <w:rsid w:val="005C342F"/>
    <w:rsid w:val="005C7D1E"/>
    <w:rsid w:val="005E06CA"/>
    <w:rsid w:val="005E06E4"/>
    <w:rsid w:val="005E116A"/>
    <w:rsid w:val="005E436A"/>
    <w:rsid w:val="005F4882"/>
    <w:rsid w:val="005F7B75"/>
    <w:rsid w:val="006001EE"/>
    <w:rsid w:val="00605042"/>
    <w:rsid w:val="00611FC4"/>
    <w:rsid w:val="006176FB"/>
    <w:rsid w:val="00620F30"/>
    <w:rsid w:val="00633C1B"/>
    <w:rsid w:val="0063735A"/>
    <w:rsid w:val="00640B26"/>
    <w:rsid w:val="00641EB1"/>
    <w:rsid w:val="00642099"/>
    <w:rsid w:val="00643650"/>
    <w:rsid w:val="006438A8"/>
    <w:rsid w:val="00650739"/>
    <w:rsid w:val="00652D0A"/>
    <w:rsid w:val="00660E46"/>
    <w:rsid w:val="00662BB6"/>
    <w:rsid w:val="00664126"/>
    <w:rsid w:val="006652DB"/>
    <w:rsid w:val="006673C6"/>
    <w:rsid w:val="00671B51"/>
    <w:rsid w:val="0067362F"/>
    <w:rsid w:val="00676606"/>
    <w:rsid w:val="00676A10"/>
    <w:rsid w:val="0068160B"/>
    <w:rsid w:val="00684C21"/>
    <w:rsid w:val="0069768E"/>
    <w:rsid w:val="006A2530"/>
    <w:rsid w:val="006A78AC"/>
    <w:rsid w:val="006B664D"/>
    <w:rsid w:val="006B6707"/>
    <w:rsid w:val="006C3589"/>
    <w:rsid w:val="006D010D"/>
    <w:rsid w:val="006D37AF"/>
    <w:rsid w:val="006D51D0"/>
    <w:rsid w:val="006D5CDE"/>
    <w:rsid w:val="006D5FB9"/>
    <w:rsid w:val="006D658E"/>
    <w:rsid w:val="006E135A"/>
    <w:rsid w:val="006E4EB9"/>
    <w:rsid w:val="006E564B"/>
    <w:rsid w:val="006E609C"/>
    <w:rsid w:val="006E7191"/>
    <w:rsid w:val="006F22FE"/>
    <w:rsid w:val="00703577"/>
    <w:rsid w:val="00705894"/>
    <w:rsid w:val="0070777D"/>
    <w:rsid w:val="0071190E"/>
    <w:rsid w:val="00722867"/>
    <w:rsid w:val="00723AE9"/>
    <w:rsid w:val="00723D74"/>
    <w:rsid w:val="0072632A"/>
    <w:rsid w:val="007327D5"/>
    <w:rsid w:val="007363F0"/>
    <w:rsid w:val="0074277F"/>
    <w:rsid w:val="00750230"/>
    <w:rsid w:val="00755113"/>
    <w:rsid w:val="00760184"/>
    <w:rsid w:val="0076036E"/>
    <w:rsid w:val="007629C8"/>
    <w:rsid w:val="00764D11"/>
    <w:rsid w:val="0077047D"/>
    <w:rsid w:val="007935BF"/>
    <w:rsid w:val="007939B6"/>
    <w:rsid w:val="00794AC5"/>
    <w:rsid w:val="00795653"/>
    <w:rsid w:val="007A1B90"/>
    <w:rsid w:val="007A309D"/>
    <w:rsid w:val="007A3A71"/>
    <w:rsid w:val="007A4ECC"/>
    <w:rsid w:val="007B0806"/>
    <w:rsid w:val="007B67CF"/>
    <w:rsid w:val="007B6BA5"/>
    <w:rsid w:val="007C3390"/>
    <w:rsid w:val="007C3474"/>
    <w:rsid w:val="007C4F4B"/>
    <w:rsid w:val="007C5BDC"/>
    <w:rsid w:val="007D04D4"/>
    <w:rsid w:val="007D6462"/>
    <w:rsid w:val="007E01E9"/>
    <w:rsid w:val="007E049A"/>
    <w:rsid w:val="007E5A27"/>
    <w:rsid w:val="007E63F3"/>
    <w:rsid w:val="007F3B0C"/>
    <w:rsid w:val="007F6611"/>
    <w:rsid w:val="00807027"/>
    <w:rsid w:val="00811920"/>
    <w:rsid w:val="00815AD0"/>
    <w:rsid w:val="00815EDB"/>
    <w:rsid w:val="0082426B"/>
    <w:rsid w:val="008242D7"/>
    <w:rsid w:val="008257B1"/>
    <w:rsid w:val="00832334"/>
    <w:rsid w:val="0084186D"/>
    <w:rsid w:val="00843191"/>
    <w:rsid w:val="00843767"/>
    <w:rsid w:val="00846421"/>
    <w:rsid w:val="00847D58"/>
    <w:rsid w:val="00857CEB"/>
    <w:rsid w:val="00866E93"/>
    <w:rsid w:val="008679D9"/>
    <w:rsid w:val="00872A32"/>
    <w:rsid w:val="00881ED1"/>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D0B2B"/>
    <w:rsid w:val="008E0678"/>
    <w:rsid w:val="008E103D"/>
    <w:rsid w:val="008E136C"/>
    <w:rsid w:val="008F31D2"/>
    <w:rsid w:val="00905CD3"/>
    <w:rsid w:val="009124B0"/>
    <w:rsid w:val="00915EF6"/>
    <w:rsid w:val="009223CA"/>
    <w:rsid w:val="00923752"/>
    <w:rsid w:val="00927489"/>
    <w:rsid w:val="00932C6B"/>
    <w:rsid w:val="009354C2"/>
    <w:rsid w:val="00940F93"/>
    <w:rsid w:val="009439AE"/>
    <w:rsid w:val="009448C3"/>
    <w:rsid w:val="0095525F"/>
    <w:rsid w:val="00960B13"/>
    <w:rsid w:val="009676D1"/>
    <w:rsid w:val="00973B8D"/>
    <w:rsid w:val="009760F3"/>
    <w:rsid w:val="00976CFB"/>
    <w:rsid w:val="00984186"/>
    <w:rsid w:val="009854F7"/>
    <w:rsid w:val="009856EA"/>
    <w:rsid w:val="0099366F"/>
    <w:rsid w:val="009A0830"/>
    <w:rsid w:val="009A0E8D"/>
    <w:rsid w:val="009A4022"/>
    <w:rsid w:val="009A6F78"/>
    <w:rsid w:val="009B26E7"/>
    <w:rsid w:val="009B3851"/>
    <w:rsid w:val="009B64BB"/>
    <w:rsid w:val="009C0593"/>
    <w:rsid w:val="009D3358"/>
    <w:rsid w:val="009E306B"/>
    <w:rsid w:val="009E5E02"/>
    <w:rsid w:val="009E6F05"/>
    <w:rsid w:val="009F2BCB"/>
    <w:rsid w:val="00A00697"/>
    <w:rsid w:val="00A00A3F"/>
    <w:rsid w:val="00A01489"/>
    <w:rsid w:val="00A1143E"/>
    <w:rsid w:val="00A132C2"/>
    <w:rsid w:val="00A14816"/>
    <w:rsid w:val="00A22689"/>
    <w:rsid w:val="00A3026E"/>
    <w:rsid w:val="00A338F1"/>
    <w:rsid w:val="00A35BE0"/>
    <w:rsid w:val="00A40636"/>
    <w:rsid w:val="00A40C1F"/>
    <w:rsid w:val="00A541F4"/>
    <w:rsid w:val="00A6129C"/>
    <w:rsid w:val="00A66A2B"/>
    <w:rsid w:val="00A72F22"/>
    <w:rsid w:val="00A7360F"/>
    <w:rsid w:val="00A73709"/>
    <w:rsid w:val="00A748A6"/>
    <w:rsid w:val="00A769F4"/>
    <w:rsid w:val="00A776B4"/>
    <w:rsid w:val="00A810BD"/>
    <w:rsid w:val="00A85E21"/>
    <w:rsid w:val="00A94361"/>
    <w:rsid w:val="00A97E44"/>
    <w:rsid w:val="00AA293C"/>
    <w:rsid w:val="00AB0C0D"/>
    <w:rsid w:val="00AB1C8B"/>
    <w:rsid w:val="00AB25DF"/>
    <w:rsid w:val="00AB5D6D"/>
    <w:rsid w:val="00AC2BF5"/>
    <w:rsid w:val="00AD0F83"/>
    <w:rsid w:val="00AD504E"/>
    <w:rsid w:val="00AD5904"/>
    <w:rsid w:val="00AE2A97"/>
    <w:rsid w:val="00AF344D"/>
    <w:rsid w:val="00AF44D0"/>
    <w:rsid w:val="00B03569"/>
    <w:rsid w:val="00B167E8"/>
    <w:rsid w:val="00B16F6F"/>
    <w:rsid w:val="00B30179"/>
    <w:rsid w:val="00B421C1"/>
    <w:rsid w:val="00B50556"/>
    <w:rsid w:val="00B53C21"/>
    <w:rsid w:val="00B55C71"/>
    <w:rsid w:val="00B56E4A"/>
    <w:rsid w:val="00B56E9C"/>
    <w:rsid w:val="00B60F79"/>
    <w:rsid w:val="00B62D5C"/>
    <w:rsid w:val="00B64B1F"/>
    <w:rsid w:val="00B65299"/>
    <w:rsid w:val="00B6553F"/>
    <w:rsid w:val="00B67E16"/>
    <w:rsid w:val="00B71619"/>
    <w:rsid w:val="00B72D0A"/>
    <w:rsid w:val="00B75481"/>
    <w:rsid w:val="00B764D8"/>
    <w:rsid w:val="00B77D05"/>
    <w:rsid w:val="00B81206"/>
    <w:rsid w:val="00B81E12"/>
    <w:rsid w:val="00B85C51"/>
    <w:rsid w:val="00B86BCE"/>
    <w:rsid w:val="00B875D5"/>
    <w:rsid w:val="00B94C56"/>
    <w:rsid w:val="00BB43E2"/>
    <w:rsid w:val="00BC1019"/>
    <w:rsid w:val="00BC1EC0"/>
    <w:rsid w:val="00BC3FA0"/>
    <w:rsid w:val="00BC74E9"/>
    <w:rsid w:val="00BD2EAE"/>
    <w:rsid w:val="00BD3B3B"/>
    <w:rsid w:val="00BD4230"/>
    <w:rsid w:val="00BD79DD"/>
    <w:rsid w:val="00BD7F4D"/>
    <w:rsid w:val="00BF0365"/>
    <w:rsid w:val="00BF30B3"/>
    <w:rsid w:val="00BF5B34"/>
    <w:rsid w:val="00BF68A8"/>
    <w:rsid w:val="00C11A03"/>
    <w:rsid w:val="00C145D2"/>
    <w:rsid w:val="00C14FBF"/>
    <w:rsid w:val="00C177A9"/>
    <w:rsid w:val="00C22C0C"/>
    <w:rsid w:val="00C27032"/>
    <w:rsid w:val="00C31401"/>
    <w:rsid w:val="00C37032"/>
    <w:rsid w:val="00C401E1"/>
    <w:rsid w:val="00C408AE"/>
    <w:rsid w:val="00C4527F"/>
    <w:rsid w:val="00C45283"/>
    <w:rsid w:val="00C4617E"/>
    <w:rsid w:val="00C463DD"/>
    <w:rsid w:val="00C4724C"/>
    <w:rsid w:val="00C52D75"/>
    <w:rsid w:val="00C54AC7"/>
    <w:rsid w:val="00C569B1"/>
    <w:rsid w:val="00C629A0"/>
    <w:rsid w:val="00C64629"/>
    <w:rsid w:val="00C70888"/>
    <w:rsid w:val="00C745C3"/>
    <w:rsid w:val="00C7582B"/>
    <w:rsid w:val="00C82317"/>
    <w:rsid w:val="00C847D9"/>
    <w:rsid w:val="00C96DF2"/>
    <w:rsid w:val="00CB2E29"/>
    <w:rsid w:val="00CB3E03"/>
    <w:rsid w:val="00CB5FFB"/>
    <w:rsid w:val="00CC4F22"/>
    <w:rsid w:val="00CD22A1"/>
    <w:rsid w:val="00CD4AA6"/>
    <w:rsid w:val="00CE21BA"/>
    <w:rsid w:val="00CE4A8F"/>
    <w:rsid w:val="00CF20B1"/>
    <w:rsid w:val="00CF319D"/>
    <w:rsid w:val="00D01544"/>
    <w:rsid w:val="00D10E2D"/>
    <w:rsid w:val="00D152C1"/>
    <w:rsid w:val="00D2031B"/>
    <w:rsid w:val="00D248B6"/>
    <w:rsid w:val="00D25C23"/>
    <w:rsid w:val="00D25FE2"/>
    <w:rsid w:val="00D26E07"/>
    <w:rsid w:val="00D26FEE"/>
    <w:rsid w:val="00D31D3B"/>
    <w:rsid w:val="00D36E50"/>
    <w:rsid w:val="00D43252"/>
    <w:rsid w:val="00D466D6"/>
    <w:rsid w:val="00D47EEA"/>
    <w:rsid w:val="00D508C1"/>
    <w:rsid w:val="00D67EB2"/>
    <w:rsid w:val="00D70325"/>
    <w:rsid w:val="00D7306C"/>
    <w:rsid w:val="00D73933"/>
    <w:rsid w:val="00D769DB"/>
    <w:rsid w:val="00D773DF"/>
    <w:rsid w:val="00D86A1D"/>
    <w:rsid w:val="00D91CE7"/>
    <w:rsid w:val="00D93DA4"/>
    <w:rsid w:val="00D95303"/>
    <w:rsid w:val="00D97268"/>
    <w:rsid w:val="00D978C6"/>
    <w:rsid w:val="00DA3C1C"/>
    <w:rsid w:val="00DA7B18"/>
    <w:rsid w:val="00DB5483"/>
    <w:rsid w:val="00DC6D39"/>
    <w:rsid w:val="00DE34D4"/>
    <w:rsid w:val="00DE5AD0"/>
    <w:rsid w:val="00DF0429"/>
    <w:rsid w:val="00DF37B7"/>
    <w:rsid w:val="00DF636C"/>
    <w:rsid w:val="00DF6D92"/>
    <w:rsid w:val="00E046DF"/>
    <w:rsid w:val="00E22780"/>
    <w:rsid w:val="00E22B0C"/>
    <w:rsid w:val="00E27346"/>
    <w:rsid w:val="00E27BB0"/>
    <w:rsid w:val="00E33887"/>
    <w:rsid w:val="00E40A45"/>
    <w:rsid w:val="00E46040"/>
    <w:rsid w:val="00E560CA"/>
    <w:rsid w:val="00E6007E"/>
    <w:rsid w:val="00E629CD"/>
    <w:rsid w:val="00E64500"/>
    <w:rsid w:val="00E71BC8"/>
    <w:rsid w:val="00E7260F"/>
    <w:rsid w:val="00E73F5D"/>
    <w:rsid w:val="00E756D5"/>
    <w:rsid w:val="00E75E2D"/>
    <w:rsid w:val="00E77E4E"/>
    <w:rsid w:val="00E96630"/>
    <w:rsid w:val="00EA2A77"/>
    <w:rsid w:val="00EA3961"/>
    <w:rsid w:val="00EB3A57"/>
    <w:rsid w:val="00EB7920"/>
    <w:rsid w:val="00EC0A5B"/>
    <w:rsid w:val="00EC0C03"/>
    <w:rsid w:val="00EC10BA"/>
    <w:rsid w:val="00EC74F9"/>
    <w:rsid w:val="00ED02A7"/>
    <w:rsid w:val="00ED228F"/>
    <w:rsid w:val="00ED3F96"/>
    <w:rsid w:val="00ED4DF6"/>
    <w:rsid w:val="00ED7A2A"/>
    <w:rsid w:val="00EE1A48"/>
    <w:rsid w:val="00EF1D7F"/>
    <w:rsid w:val="00F03C32"/>
    <w:rsid w:val="00F0480F"/>
    <w:rsid w:val="00F243E1"/>
    <w:rsid w:val="00F30754"/>
    <w:rsid w:val="00F309AF"/>
    <w:rsid w:val="00F31E5F"/>
    <w:rsid w:val="00F342BF"/>
    <w:rsid w:val="00F42969"/>
    <w:rsid w:val="00F518BA"/>
    <w:rsid w:val="00F57A62"/>
    <w:rsid w:val="00F6100A"/>
    <w:rsid w:val="00F6124B"/>
    <w:rsid w:val="00F61740"/>
    <w:rsid w:val="00F6615A"/>
    <w:rsid w:val="00F71A97"/>
    <w:rsid w:val="00F75A7F"/>
    <w:rsid w:val="00F87B5E"/>
    <w:rsid w:val="00F93781"/>
    <w:rsid w:val="00F9526F"/>
    <w:rsid w:val="00F96367"/>
    <w:rsid w:val="00FA2414"/>
    <w:rsid w:val="00FA6945"/>
    <w:rsid w:val="00FB613B"/>
    <w:rsid w:val="00FB6F2C"/>
    <w:rsid w:val="00FC68B7"/>
    <w:rsid w:val="00FD0CCA"/>
    <w:rsid w:val="00FD3F98"/>
    <w:rsid w:val="00FD4699"/>
    <w:rsid w:val="00FD755A"/>
    <w:rsid w:val="00FE106A"/>
    <w:rsid w:val="00FE1804"/>
    <w:rsid w:val="00FE22EB"/>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 w:type="paragraph" w:customStyle="1" w:styleId="notessoustab">
    <w:name w:val="notes sous tab"/>
    <w:basedOn w:val="Normal"/>
    <w:qFormat/>
    <w:rsid w:val="006A78AC"/>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99"/>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eastAsia="x-none"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semiHidden/>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uiPriority w:val="99"/>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rsid w:val="00F87B5E"/>
    <w:pPr>
      <w:ind w:left="2268" w:hanging="1134"/>
    </w:pPr>
    <w:rPr>
      <w:rFonts w:eastAsia="MS Mincho"/>
    </w:rPr>
  </w:style>
  <w:style w:type="character" w:customStyle="1" w:styleId="hps">
    <w:name w:val="hps"/>
    <w:rsid w:val="000769C3"/>
  </w:style>
  <w:style w:type="paragraph" w:customStyle="1" w:styleId="notessoustab">
    <w:name w:val="notes sous tab"/>
    <w:basedOn w:val="Normal"/>
    <w:qFormat/>
    <w:rsid w:val="006A78AC"/>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3EAA-1B94-4FAE-B0D8-9A73DC68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2</Pages>
  <Words>474</Words>
  <Characters>2703</Characters>
  <Application>Microsoft Office Word</Application>
  <DocSecurity>0</DocSecurity>
  <Lines>22</Lines>
  <Paragraphs>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2</cp:revision>
  <cp:lastPrinted>2014-11-10T09:08:00Z</cp:lastPrinted>
  <dcterms:created xsi:type="dcterms:W3CDTF">2015-07-02T08:36:00Z</dcterms:created>
  <dcterms:modified xsi:type="dcterms:W3CDTF">2015-07-02T08:36:00Z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