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90" w:rsidRPr="00E06DFF" w:rsidRDefault="00953C90" w:rsidP="00953C90">
      <w:pPr>
        <w:spacing w:line="240" w:lineRule="auto"/>
        <w:rPr>
          <w:sz w:val="2"/>
          <w:lang w:val="fr-CH"/>
        </w:rPr>
        <w:sectPr w:rsidR="00953C90" w:rsidRPr="00E06DFF" w:rsidSect="00953C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E06DFF">
        <w:rPr>
          <w:rStyle w:val="CommentReference"/>
          <w:lang w:val="fr-CH"/>
        </w:rPr>
        <w:commentReference w:id="0"/>
      </w:r>
      <w:bookmarkStart w:id="1" w:name="_GoBack"/>
      <w:bookmarkEnd w:id="1"/>
    </w:p>
    <w:p w:rsidR="00953C90" w:rsidRPr="00E06DFF" w:rsidRDefault="00953C90" w:rsidP="00E06DF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06DFF">
        <w:rPr>
          <w:lang w:val="fr-CH"/>
        </w:rPr>
        <w:lastRenderedPageBreak/>
        <w:t>Commission économique pour l</w:t>
      </w:r>
      <w:r w:rsidR="003B5A13">
        <w:rPr>
          <w:lang w:val="fr-CH"/>
        </w:rPr>
        <w:t>’</w:t>
      </w:r>
      <w:r w:rsidRPr="00E06DFF">
        <w:rPr>
          <w:lang w:val="fr-CH"/>
        </w:rPr>
        <w:t>Europe</w:t>
      </w:r>
    </w:p>
    <w:p w:rsidR="00E06DFF" w:rsidRPr="00E06DFF" w:rsidRDefault="00E06DFF" w:rsidP="00E06DF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lang w:val="fr-CH"/>
        </w:rPr>
      </w:pPr>
    </w:p>
    <w:p w:rsidR="00953C90" w:rsidRPr="00E06DFF" w:rsidRDefault="00953C90" w:rsidP="00E06DF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E06DFF">
        <w:rPr>
          <w:b w:val="0"/>
          <w:bCs/>
          <w:lang w:val="fr-CH"/>
        </w:rPr>
        <w:t>Comité des transports intérieurs</w:t>
      </w:r>
    </w:p>
    <w:p w:rsidR="00953C90" w:rsidRPr="00E06DFF" w:rsidRDefault="00953C90" w:rsidP="00E06DFF">
      <w:pPr>
        <w:pStyle w:val="H1"/>
        <w:spacing w:line="120" w:lineRule="exact"/>
        <w:rPr>
          <w:b w:val="0"/>
          <w:sz w:val="10"/>
          <w:lang w:val="fr-CH"/>
        </w:rPr>
      </w:pPr>
    </w:p>
    <w:p w:rsidR="00E06DFF" w:rsidRPr="00E06DFF" w:rsidRDefault="00E06DFF" w:rsidP="00E06DF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06DFF">
        <w:rPr>
          <w:lang w:val="fr-CH"/>
        </w:rPr>
        <w:t>Forum mondial de l</w:t>
      </w:r>
      <w:r w:rsidR="003B5A13">
        <w:rPr>
          <w:lang w:val="fr-CH"/>
        </w:rPr>
        <w:t>’</w:t>
      </w:r>
      <w:r w:rsidRPr="00E06DFF">
        <w:rPr>
          <w:lang w:val="fr-CH"/>
        </w:rPr>
        <w:t xml:space="preserve">harmonisation </w:t>
      </w:r>
      <w:r w:rsidRPr="00E06DFF">
        <w:rPr>
          <w:lang w:val="fr-CH"/>
        </w:rPr>
        <w:br/>
        <w:t>des Règlements concernant les véhicules</w:t>
      </w:r>
    </w:p>
    <w:p w:rsidR="00E06DFF" w:rsidRPr="00E06DFF" w:rsidRDefault="00E06DFF" w:rsidP="00E06DFF">
      <w:pPr>
        <w:spacing w:line="120" w:lineRule="exact"/>
        <w:rPr>
          <w:b/>
          <w:sz w:val="10"/>
          <w:lang w:val="fr-CH"/>
        </w:rPr>
      </w:pPr>
    </w:p>
    <w:p w:rsidR="00E06DFF" w:rsidRPr="00E06DFF" w:rsidRDefault="00E06DFF" w:rsidP="00E06DF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06DFF">
        <w:rPr>
          <w:lang w:val="fr-CH"/>
        </w:rPr>
        <w:t>Groupe de travail de l</w:t>
      </w:r>
      <w:r w:rsidR="003B5A13">
        <w:rPr>
          <w:lang w:val="fr-CH"/>
        </w:rPr>
        <w:t>’</w:t>
      </w:r>
      <w:r w:rsidRPr="00E06DFF">
        <w:rPr>
          <w:lang w:val="fr-CH"/>
        </w:rPr>
        <w:t>éclairage et de la signalisation lumineuse</w:t>
      </w:r>
    </w:p>
    <w:p w:rsidR="00E06DFF" w:rsidRPr="00E06DFF" w:rsidRDefault="00E06DFF" w:rsidP="00E06DFF">
      <w:pPr>
        <w:spacing w:line="120" w:lineRule="exact"/>
        <w:rPr>
          <w:b/>
          <w:bCs/>
          <w:sz w:val="10"/>
          <w:lang w:val="fr-CH"/>
        </w:rPr>
      </w:pPr>
    </w:p>
    <w:p w:rsidR="00E06DFF" w:rsidRPr="00E06DFF" w:rsidRDefault="00E06DFF" w:rsidP="00E06DF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06DFF">
        <w:rPr>
          <w:lang w:val="fr-CH"/>
        </w:rPr>
        <w:t>Soixante-quatorzième session</w:t>
      </w:r>
    </w:p>
    <w:p w:rsidR="00E06DFF" w:rsidRPr="00E06DFF" w:rsidRDefault="00E06DFF" w:rsidP="00E06DFF">
      <w:pPr>
        <w:rPr>
          <w:lang w:val="fr-CH"/>
        </w:rPr>
      </w:pPr>
      <w:r w:rsidRPr="00E06DFF">
        <w:rPr>
          <w:lang w:val="fr-CH"/>
        </w:rPr>
        <w:t>Genève, 20-23</w:t>
      </w:r>
      <w:r>
        <w:rPr>
          <w:lang w:val="fr-CH"/>
        </w:rPr>
        <w:t> </w:t>
      </w:r>
      <w:r w:rsidRPr="00E06DFF">
        <w:rPr>
          <w:lang w:val="fr-CH"/>
        </w:rPr>
        <w:t>octobre 2015</w:t>
      </w:r>
    </w:p>
    <w:p w:rsidR="00E06DFF" w:rsidRPr="00E06DFF" w:rsidRDefault="00E06DFF" w:rsidP="00E06DFF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>Point 7 </w:t>
      </w:r>
      <w:r w:rsidRPr="00E06DFF">
        <w:rPr>
          <w:lang w:val="fr-CH"/>
        </w:rPr>
        <w:t>d) de l</w:t>
      </w:r>
      <w:r w:rsidR="003B5A13">
        <w:rPr>
          <w:lang w:val="fr-CH"/>
        </w:rPr>
        <w:t>’</w:t>
      </w:r>
      <w:r w:rsidRPr="00E06DFF">
        <w:rPr>
          <w:lang w:val="fr-CH"/>
        </w:rPr>
        <w:t>ordre du jour provisoire</w:t>
      </w:r>
    </w:p>
    <w:p w:rsidR="00E06DFF" w:rsidRPr="00E06DFF" w:rsidRDefault="00E06DFF" w:rsidP="00E06DF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06DFF">
        <w:rPr>
          <w:lang w:val="fr-CH"/>
        </w:rPr>
        <w:t xml:space="preserve">Autres </w:t>
      </w:r>
      <w:r w:rsidR="00AA6E37" w:rsidRPr="00E06DFF">
        <w:rPr>
          <w:lang w:val="fr-CH"/>
        </w:rPr>
        <w:t xml:space="preserve">Règlements </w:t>
      </w:r>
      <w:r w:rsidRPr="00E06DFF">
        <w:rPr>
          <w:lang w:val="fr-CH"/>
        </w:rPr>
        <w:t>−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 xml:space="preserve"> 53 (Installation </w:t>
      </w:r>
      <w:r w:rsidRPr="00E06DFF">
        <w:rPr>
          <w:lang w:val="fr-CH"/>
        </w:rPr>
        <w:br/>
        <w:t>des dispositifs d</w:t>
      </w:r>
      <w:r w:rsidR="003B5A13">
        <w:rPr>
          <w:lang w:val="fr-CH"/>
        </w:rPr>
        <w:t>’</w:t>
      </w:r>
      <w:r w:rsidRPr="00E06DFF">
        <w:rPr>
          <w:lang w:val="fr-CH"/>
        </w:rPr>
        <w:t xml:space="preserve">éclairage et de signalisation lumineuse </w:t>
      </w:r>
      <w:r w:rsidRPr="00E06DFF">
        <w:rPr>
          <w:lang w:val="fr-CH"/>
        </w:rPr>
        <w:br/>
        <w:t>sur les véhicules de la catégorie L</w:t>
      </w:r>
      <w:r w:rsidRPr="00E06DFF">
        <w:rPr>
          <w:vertAlign w:val="subscript"/>
          <w:lang w:val="fr-CH"/>
        </w:rPr>
        <w:t>3</w:t>
      </w:r>
      <w:r w:rsidRPr="00E06DFF">
        <w:rPr>
          <w:lang w:val="fr-CH"/>
        </w:rPr>
        <w:t>)</w:t>
      </w:r>
    </w:p>
    <w:p w:rsidR="00E06DFF" w:rsidRPr="00E06DFF" w:rsidRDefault="00E06DFF" w:rsidP="00E06DFF">
      <w:pPr>
        <w:spacing w:line="120" w:lineRule="exact"/>
        <w:rPr>
          <w:sz w:val="10"/>
          <w:lang w:val="fr-CH"/>
        </w:rPr>
      </w:pPr>
    </w:p>
    <w:p w:rsidR="00E06DFF" w:rsidRPr="00E06DFF" w:rsidRDefault="00E06DFF" w:rsidP="00E06DFF">
      <w:pPr>
        <w:spacing w:line="120" w:lineRule="exact"/>
        <w:rPr>
          <w:sz w:val="10"/>
          <w:lang w:val="fr-CH"/>
        </w:rPr>
      </w:pPr>
    </w:p>
    <w:p w:rsidR="00E06DFF" w:rsidRPr="00E06DFF" w:rsidRDefault="00E06DFF" w:rsidP="00E06DFF">
      <w:pPr>
        <w:spacing w:line="120" w:lineRule="exact"/>
        <w:rPr>
          <w:sz w:val="10"/>
          <w:lang w:val="fr-CH"/>
        </w:rPr>
      </w:pPr>
    </w:p>
    <w:p w:rsidR="00E06DFF" w:rsidRPr="00E06DFF" w:rsidRDefault="00E06DFF" w:rsidP="00E06D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06DFF">
        <w:rPr>
          <w:lang w:val="fr-CH"/>
        </w:rPr>
        <w:tab/>
      </w:r>
      <w:r w:rsidRPr="00E06DFF">
        <w:rPr>
          <w:lang w:val="fr-CH"/>
        </w:rPr>
        <w:tab/>
        <w:t>Propo</w:t>
      </w:r>
      <w:r>
        <w:rPr>
          <w:lang w:val="fr-CH"/>
        </w:rPr>
        <w:t>sition de complément à la série </w:t>
      </w:r>
      <w:r w:rsidRPr="00E06DFF">
        <w:rPr>
          <w:lang w:val="fr-CH"/>
        </w:rPr>
        <w:t xml:space="preserve">01 </w:t>
      </w:r>
      <w:r>
        <w:rPr>
          <w:lang w:val="fr-CH"/>
        </w:rPr>
        <w:br/>
      </w:r>
      <w:r w:rsidRPr="00E06DFF">
        <w:rPr>
          <w:lang w:val="fr-CH"/>
        </w:rPr>
        <w:t>d</w:t>
      </w:r>
      <w:r w:rsidR="003B5A13">
        <w:rPr>
          <w:lang w:val="fr-CH"/>
        </w:rPr>
        <w:t>’</w:t>
      </w:r>
      <w:r w:rsidRPr="00E06DFF">
        <w:rPr>
          <w:lang w:val="fr-CH"/>
        </w:rPr>
        <w:t>amendements au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 xml:space="preserve"> 53 </w:t>
      </w:r>
      <w:r>
        <w:rPr>
          <w:lang w:val="fr-CH"/>
        </w:rPr>
        <w:br/>
      </w:r>
      <w:r w:rsidRPr="00E06DFF">
        <w:rPr>
          <w:lang w:val="fr-CH"/>
        </w:rPr>
        <w:t>(Installation des dispositifs d</w:t>
      </w:r>
      <w:r w:rsidR="003B5A13">
        <w:rPr>
          <w:lang w:val="fr-CH"/>
        </w:rPr>
        <w:t>’</w:t>
      </w:r>
      <w:r w:rsidRPr="00E06DFF">
        <w:rPr>
          <w:lang w:val="fr-CH"/>
        </w:rPr>
        <w:t xml:space="preserve">éclairage </w:t>
      </w:r>
      <w:r>
        <w:rPr>
          <w:lang w:val="fr-CH"/>
        </w:rPr>
        <w:br/>
      </w:r>
      <w:r w:rsidRPr="00E06DFF">
        <w:rPr>
          <w:lang w:val="fr-CH"/>
        </w:rPr>
        <w:t xml:space="preserve">et de signalisation lumineuse sur les véhicules </w:t>
      </w:r>
      <w:r>
        <w:rPr>
          <w:lang w:val="fr-CH"/>
        </w:rPr>
        <w:br/>
      </w:r>
      <w:r w:rsidRPr="00E06DFF">
        <w:rPr>
          <w:lang w:val="fr-CH"/>
        </w:rPr>
        <w:t>de la catégorie L</w:t>
      </w:r>
      <w:r w:rsidRPr="00E06DFF">
        <w:rPr>
          <w:vertAlign w:val="subscript"/>
          <w:lang w:val="fr-CH"/>
        </w:rPr>
        <w:t>3</w:t>
      </w:r>
      <w:r w:rsidRPr="00E06DFF">
        <w:rPr>
          <w:lang w:val="fr-CH"/>
        </w:rPr>
        <w:t>)</w:t>
      </w:r>
    </w:p>
    <w:p w:rsidR="00E06DFF" w:rsidRPr="00E06DFF" w:rsidRDefault="00E06DFF" w:rsidP="00E06DFF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06DFF" w:rsidRPr="00E06DFF" w:rsidRDefault="00E06DFF" w:rsidP="00E06DFF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06DFF" w:rsidRPr="00E06DFF" w:rsidRDefault="00E06DFF" w:rsidP="00E06D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06DFF">
        <w:rPr>
          <w:lang w:val="fr-CH"/>
        </w:rPr>
        <w:tab/>
      </w:r>
      <w:r w:rsidRPr="00E06DFF">
        <w:rPr>
          <w:lang w:val="fr-CH"/>
        </w:rPr>
        <w:tab/>
        <w:t>Communication des experts de l</w:t>
      </w:r>
      <w:r w:rsidR="003B5A13">
        <w:rPr>
          <w:lang w:val="fr-CH"/>
        </w:rPr>
        <w:t>’</w:t>
      </w:r>
      <w:r w:rsidRPr="00E06DFF">
        <w:rPr>
          <w:lang w:val="fr-CH"/>
        </w:rPr>
        <w:t>Allemagne et de l</w:t>
      </w:r>
      <w:r w:rsidR="003B5A13">
        <w:rPr>
          <w:lang w:val="fr-CH"/>
        </w:rPr>
        <w:t>’</w:t>
      </w:r>
      <w:r w:rsidRPr="00E06DFF">
        <w:rPr>
          <w:lang w:val="fr-CH"/>
        </w:rPr>
        <w:t>Association internationale des constructeurs de motocycles</w:t>
      </w:r>
      <w:r w:rsidRPr="00E06DFF">
        <w:rPr>
          <w:rStyle w:val="FootnoteReference"/>
          <w:b w:val="0"/>
          <w:bCs/>
          <w:color w:val="943634" w:themeColor="accent2" w:themeShade="BF"/>
          <w:sz w:val="20"/>
          <w:szCs w:val="20"/>
          <w:vertAlign w:val="baseline"/>
        </w:rPr>
        <w:footnoteReference w:customMarkFollows="1" w:id="1"/>
        <w:t>*</w:t>
      </w:r>
    </w:p>
    <w:p w:rsidR="00E06DFF" w:rsidRPr="00E06DFF" w:rsidRDefault="00E06DFF" w:rsidP="00E06DFF">
      <w:pPr>
        <w:pStyle w:val="SingleTxt"/>
        <w:spacing w:after="0" w:line="120" w:lineRule="exact"/>
        <w:rPr>
          <w:sz w:val="10"/>
          <w:lang w:val="fr-CH"/>
        </w:rPr>
      </w:pPr>
    </w:p>
    <w:p w:rsidR="00E06DFF" w:rsidRPr="00E06DFF" w:rsidRDefault="00E06DFF" w:rsidP="00E06DFF">
      <w:pPr>
        <w:pStyle w:val="SingleTxt"/>
        <w:spacing w:after="0" w:line="120" w:lineRule="exact"/>
        <w:rPr>
          <w:sz w:val="10"/>
          <w:lang w:val="fr-CH"/>
        </w:rPr>
      </w:pPr>
    </w:p>
    <w:p w:rsidR="00E06DFF" w:rsidRPr="00E06DFF" w:rsidRDefault="00E06DFF" w:rsidP="00E06DFF">
      <w:pPr>
        <w:pStyle w:val="SingleTxt"/>
        <w:rPr>
          <w:lang w:val="fr-CH"/>
        </w:rPr>
      </w:pPr>
      <w:r w:rsidRPr="00E06DFF">
        <w:rPr>
          <w:lang w:val="fr-CH"/>
        </w:rPr>
        <w:tab/>
        <w:t>Le texte reproduit ci-après a été établi par les experts de l</w:t>
      </w:r>
      <w:r w:rsidR="003B5A13">
        <w:rPr>
          <w:lang w:val="fr-CH"/>
        </w:rPr>
        <w:t>’</w:t>
      </w:r>
      <w:r w:rsidRPr="00E06DFF">
        <w:rPr>
          <w:lang w:val="fr-CH"/>
        </w:rPr>
        <w:t>Allemagne et de l</w:t>
      </w:r>
      <w:r w:rsidR="003B5A13">
        <w:rPr>
          <w:lang w:val="fr-CH"/>
        </w:rPr>
        <w:t>’</w:t>
      </w:r>
      <w:r w:rsidRPr="00E06DFF">
        <w:rPr>
          <w:lang w:val="fr-CH"/>
        </w:rPr>
        <w:t>Association internationale des constructeurs de motocycles (IMMA) en vue de supprimer les références aux projecteurs de la cl</w:t>
      </w:r>
      <w:r>
        <w:rPr>
          <w:lang w:val="fr-CH"/>
        </w:rPr>
        <w:t>asse </w:t>
      </w:r>
      <w:r w:rsidRPr="00E06DFF">
        <w:rPr>
          <w:lang w:val="fr-CH"/>
        </w:rPr>
        <w:t>B du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113. Les modifications qu</w:t>
      </w:r>
      <w:r w:rsidR="003B5A13">
        <w:rPr>
          <w:lang w:val="fr-CH"/>
        </w:rPr>
        <w:t>’</w:t>
      </w:r>
      <w:r w:rsidRPr="00E06DFF">
        <w:rPr>
          <w:lang w:val="fr-CH"/>
        </w:rPr>
        <w:t>il est proposé d</w:t>
      </w:r>
      <w:r w:rsidR="003B5A13">
        <w:rPr>
          <w:lang w:val="fr-CH"/>
        </w:rPr>
        <w:t>’</w:t>
      </w:r>
      <w:r w:rsidRPr="00E06DFF">
        <w:rPr>
          <w:lang w:val="fr-CH"/>
        </w:rPr>
        <w:t>apporter au texte actuel du Règlement sont signalées en caractères gras pour les ajouts et en caractères biffés pour les suppressions.</w:t>
      </w:r>
    </w:p>
    <w:p w:rsidR="00E06DFF" w:rsidRPr="00E06DFF" w:rsidRDefault="00E06DFF" w:rsidP="00E06DFF">
      <w:pPr>
        <w:pStyle w:val="SingleTxt"/>
        <w:rPr>
          <w:lang w:val="fr-CH"/>
        </w:rPr>
      </w:pPr>
      <w:r w:rsidRPr="00E06DFF">
        <w:rPr>
          <w:lang w:val="fr-CH"/>
        </w:rPr>
        <w:br w:type="page"/>
      </w:r>
    </w:p>
    <w:p w:rsidR="00E06DFF" w:rsidRPr="00E06DFF" w:rsidRDefault="00E06DFF" w:rsidP="00E06D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lastRenderedPageBreak/>
        <w:tab/>
      </w:r>
      <w:r w:rsidRPr="00E06DFF">
        <w:rPr>
          <w:lang w:val="fr-CH"/>
        </w:rPr>
        <w:t>I.</w:t>
      </w:r>
      <w:r w:rsidRPr="00E06DFF">
        <w:rPr>
          <w:lang w:val="fr-CH"/>
        </w:rPr>
        <w:tab/>
        <w:t>Proposition</w:t>
      </w:r>
    </w:p>
    <w:p w:rsidR="00E06DFF" w:rsidRPr="00E06DFF" w:rsidRDefault="00E06DFF" w:rsidP="00E06DFF">
      <w:pPr>
        <w:pStyle w:val="SingleTxt"/>
        <w:spacing w:after="0" w:line="120" w:lineRule="exact"/>
        <w:rPr>
          <w:i/>
          <w:iCs/>
          <w:sz w:val="10"/>
          <w:lang w:val="fr-CH"/>
        </w:rPr>
      </w:pPr>
    </w:p>
    <w:p w:rsidR="00E06DFF" w:rsidRPr="00E06DFF" w:rsidRDefault="00E06DFF" w:rsidP="00E06DFF">
      <w:pPr>
        <w:pStyle w:val="SingleTxt"/>
        <w:spacing w:after="0" w:line="120" w:lineRule="exact"/>
        <w:rPr>
          <w:i/>
          <w:iCs/>
          <w:sz w:val="10"/>
          <w:lang w:val="fr-CH"/>
        </w:rPr>
      </w:pPr>
    </w:p>
    <w:p w:rsidR="00E06DFF" w:rsidRPr="00E06DFF" w:rsidRDefault="00E06DFF" w:rsidP="00E06DFF">
      <w:pPr>
        <w:pStyle w:val="SingleTxt"/>
        <w:rPr>
          <w:i/>
          <w:iCs/>
          <w:lang w:val="fr-CH"/>
        </w:rPr>
      </w:pPr>
      <w:r w:rsidRPr="00E06DFF">
        <w:rPr>
          <w:i/>
          <w:iCs/>
          <w:lang w:val="fr-CH"/>
        </w:rPr>
        <w:t>Paragraphes 6.1.1 à 6.1.1.2</w:t>
      </w:r>
      <w:r w:rsidRPr="00E06DFF">
        <w:rPr>
          <w:iCs/>
          <w:lang w:val="fr-CH"/>
        </w:rPr>
        <w:t>, modifier comme suit</w:t>
      </w:r>
      <w:r>
        <w:rPr>
          <w:iCs/>
          <w:lang w:val="fr-CH"/>
        </w:rPr>
        <w:t> </w:t>
      </w:r>
      <w:r w:rsidRPr="00E06DFF">
        <w:rPr>
          <w:iCs/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 w:rsidRPr="00E06DFF">
        <w:rPr>
          <w:lang w:val="fr-CH"/>
        </w:rPr>
        <w:t>« 6.1.1</w:t>
      </w:r>
      <w:r w:rsidRPr="00E06DFF">
        <w:rPr>
          <w:lang w:val="fr-CH"/>
        </w:rPr>
        <w:tab/>
        <w:t>Nombre</w:t>
      </w:r>
      <w:r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 w:rsidRPr="00E06DFF">
        <w:rPr>
          <w:lang w:val="fr-CH"/>
        </w:rPr>
        <w:t>6.1.1.1</w:t>
      </w:r>
      <w:r w:rsidRPr="00E06DFF">
        <w:rPr>
          <w:lang w:val="fr-CH"/>
        </w:rPr>
        <w:tab/>
        <w:t>Pour les motocycles d</w:t>
      </w:r>
      <w:r w:rsidR="003B5A13">
        <w:rPr>
          <w:lang w:val="fr-CH"/>
        </w:rPr>
        <w:t>’</w:t>
      </w:r>
      <w:r w:rsidRPr="00E06DFF">
        <w:rPr>
          <w:lang w:val="fr-CH"/>
        </w:rPr>
        <w:t>une cylindrée ≤125 cm</w:t>
      </w:r>
      <w:r w:rsidRPr="00E06DFF">
        <w:rPr>
          <w:vertAlign w:val="superscript"/>
          <w:lang w:val="fr-CH"/>
        </w:rPr>
        <w:t>3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Un ou deux du type homologué selon</w:t>
      </w:r>
      <w:r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a)</w:t>
      </w:r>
      <w:r w:rsidRPr="00E06DFF">
        <w:rPr>
          <w:lang w:val="fr-CH"/>
        </w:rPr>
        <w:tab/>
        <w:t xml:space="preserve">La classe </w:t>
      </w:r>
      <w:r w:rsidRPr="00E06DFF">
        <w:rPr>
          <w:strike/>
          <w:lang w:val="fr-CH"/>
        </w:rPr>
        <w:t>B,</w:t>
      </w:r>
      <w:r w:rsidRPr="00E06DFF">
        <w:rPr>
          <w:lang w:val="fr-CH"/>
        </w:rPr>
        <w:t xml:space="preserve"> C, D </w:t>
      </w:r>
      <w:r w:rsidRPr="00E06DFF">
        <w:rPr>
          <w:bCs/>
          <w:lang w:val="fr-CH"/>
        </w:rPr>
        <w:t>ou E</w:t>
      </w:r>
      <w:r w:rsidRPr="00E06DFF">
        <w:rPr>
          <w:lang w:val="fr-CH"/>
        </w:rPr>
        <w:t xml:space="preserve"> du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113</w:t>
      </w:r>
      <w:r w:rsidR="0035517C">
        <w:rPr>
          <w:lang w:val="fr-CH"/>
        </w:rPr>
        <w:t>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b)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112;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c)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E06DFF">
        <w:t> </w:t>
      </w:r>
      <w:r w:rsidRPr="00E06DFF">
        <w:rPr>
          <w:lang w:val="fr-CH"/>
        </w:rPr>
        <w:t>1;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d)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="003B5A13">
        <w:rPr>
          <w:lang w:val="fr-CH"/>
        </w:rPr>
        <w:t>8;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e)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E06DFF">
        <w:t> </w:t>
      </w:r>
      <w:r w:rsidRPr="00E06DFF">
        <w:rPr>
          <w:lang w:val="fr-CH"/>
        </w:rPr>
        <w:t>20;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f)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57;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g)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72;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h)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98.</w:t>
      </w:r>
    </w:p>
    <w:p w:rsidR="00E06DFF" w:rsidRPr="00E06DFF" w:rsidRDefault="00E06DFF" w:rsidP="00E06DFF">
      <w:pPr>
        <w:pStyle w:val="SingleTxt"/>
        <w:rPr>
          <w:lang w:val="fr-CH"/>
        </w:rPr>
      </w:pPr>
      <w:r w:rsidRPr="00E06DFF">
        <w:rPr>
          <w:lang w:val="fr-CH"/>
        </w:rPr>
        <w:t>6.1.1.2</w:t>
      </w:r>
      <w:r w:rsidRPr="00E06DFF">
        <w:rPr>
          <w:lang w:val="fr-CH"/>
        </w:rPr>
        <w:tab/>
        <w:t>Pour les motocycles d</w:t>
      </w:r>
      <w:r w:rsidR="003B5A13">
        <w:rPr>
          <w:lang w:val="fr-CH"/>
        </w:rPr>
        <w:t>’</w:t>
      </w:r>
      <w:r w:rsidRPr="00E06DFF">
        <w:rPr>
          <w:lang w:val="fr-CH"/>
        </w:rPr>
        <w:t>une cylindrée &gt;125 cm</w:t>
      </w:r>
      <w:r w:rsidRPr="00E06DFF">
        <w:rPr>
          <w:vertAlign w:val="superscript"/>
          <w:lang w:val="fr-CH"/>
        </w:rPr>
        <w:t>3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Un ou deux du type homologué selon</w:t>
      </w:r>
      <w:r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a)</w:t>
      </w:r>
      <w:r w:rsidRPr="00E06DFF">
        <w:rPr>
          <w:lang w:val="fr-CH"/>
        </w:rPr>
        <w:tab/>
        <w:t xml:space="preserve">La classe </w:t>
      </w:r>
      <w:r w:rsidRPr="00E06DFF">
        <w:rPr>
          <w:strike/>
          <w:lang w:val="fr-CH"/>
        </w:rPr>
        <w:t>B,</w:t>
      </w:r>
      <w:r w:rsidRPr="00E06DFF">
        <w:rPr>
          <w:lang w:val="fr-CH"/>
        </w:rPr>
        <w:t xml:space="preserve"> D ou E du Règlement n</w:t>
      </w:r>
      <w:r w:rsidRPr="00E06DFF">
        <w:rPr>
          <w:vertAlign w:val="superscript"/>
          <w:lang w:val="fr-CH"/>
        </w:rPr>
        <w:t>o</w:t>
      </w:r>
      <w:r w:rsidRPr="00E06DFF">
        <w:t> </w:t>
      </w:r>
      <w:r w:rsidRPr="00E06DFF">
        <w:rPr>
          <w:lang w:val="fr-CH"/>
        </w:rPr>
        <w:t>113;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b)</w:t>
      </w:r>
      <w:r w:rsidRPr="00E06DFF">
        <w:rPr>
          <w:lang w:val="fr-CH"/>
        </w:rPr>
        <w:tab/>
      </w:r>
      <w:r w:rsidRPr="00E06DFF">
        <w:rPr>
          <w:bCs/>
          <w:lang w:val="fr-CH"/>
        </w:rPr>
        <w:t xml:space="preserve">Le Règlement </w:t>
      </w:r>
      <w:r w:rsidRPr="00E06DFF">
        <w:rPr>
          <w:lang w:val="fr-CH"/>
        </w:rPr>
        <w:t>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112;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c)</w:t>
      </w:r>
      <w:r w:rsidRPr="00E06DFF">
        <w:rPr>
          <w:lang w:val="fr-CH"/>
        </w:rPr>
        <w:tab/>
      </w:r>
      <w:r w:rsidRPr="00E06DFF">
        <w:rPr>
          <w:bCs/>
          <w:lang w:val="fr-CH"/>
        </w:rPr>
        <w:t xml:space="preserve">Le Règlement </w:t>
      </w:r>
      <w:r w:rsidRPr="00E06DFF">
        <w:rPr>
          <w:lang w:val="fr-CH"/>
        </w:rPr>
        <w:t>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1;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d)</w:t>
      </w:r>
      <w:r w:rsidRPr="00E06DFF">
        <w:rPr>
          <w:lang w:val="fr-CH"/>
        </w:rPr>
        <w:tab/>
      </w:r>
      <w:r w:rsidRPr="00E06DFF">
        <w:rPr>
          <w:bCs/>
          <w:lang w:val="fr-CH"/>
        </w:rPr>
        <w:t xml:space="preserve">Le Règlement </w:t>
      </w:r>
      <w:r w:rsidRPr="00E06DFF">
        <w:rPr>
          <w:lang w:val="fr-CH"/>
        </w:rPr>
        <w:t>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8;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e)</w:t>
      </w:r>
      <w:r w:rsidRPr="00E06DFF">
        <w:rPr>
          <w:lang w:val="fr-CH"/>
        </w:rPr>
        <w:tab/>
      </w:r>
      <w:r w:rsidRPr="00E06DFF">
        <w:rPr>
          <w:bCs/>
          <w:lang w:val="fr-CH"/>
        </w:rPr>
        <w:t xml:space="preserve">Le Règlement </w:t>
      </w:r>
      <w:r w:rsidRPr="00E06DFF">
        <w:rPr>
          <w:lang w:val="fr-CH"/>
        </w:rPr>
        <w:t>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20;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f)</w:t>
      </w:r>
      <w:r w:rsidRPr="00E06DFF">
        <w:rPr>
          <w:lang w:val="fr-CH"/>
        </w:rPr>
        <w:tab/>
      </w:r>
      <w:r w:rsidRPr="00E06DFF">
        <w:rPr>
          <w:bCs/>
          <w:lang w:val="fr-CH"/>
        </w:rPr>
        <w:t xml:space="preserve">Le Règlement </w:t>
      </w:r>
      <w:r w:rsidRPr="00E06DFF">
        <w:rPr>
          <w:lang w:val="fr-CH"/>
        </w:rPr>
        <w:t>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72;</w:t>
      </w:r>
    </w:p>
    <w:p w:rsidR="00E06DFF" w:rsidRPr="00E06DFF" w:rsidRDefault="00E06DFF" w:rsidP="00E06DFF">
      <w:pPr>
        <w:pStyle w:val="SingleTxt"/>
        <w:rPr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g)</w:t>
      </w:r>
      <w:r w:rsidRPr="00E06DFF">
        <w:rPr>
          <w:bCs/>
          <w:lang w:val="fr-CH"/>
        </w:rPr>
        <w:tab/>
        <w:t xml:space="preserve">Le Règlement </w:t>
      </w:r>
      <w:r w:rsidRPr="00E06DFF">
        <w:rPr>
          <w:lang w:val="fr-CH"/>
        </w:rPr>
        <w:t>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98.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Deux du type homologué selon</w:t>
      </w:r>
      <w:r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h)</w:t>
      </w:r>
      <w:r w:rsidRPr="00E06DFF">
        <w:rPr>
          <w:lang w:val="fr-CH"/>
        </w:rPr>
        <w:tab/>
        <w:t>La classe C du Règlement n</w:t>
      </w:r>
      <w:r w:rsidRPr="00E06DFF">
        <w:rPr>
          <w:vertAlign w:val="superscript"/>
          <w:lang w:val="fr-CH"/>
        </w:rPr>
        <w:t>o</w:t>
      </w:r>
      <w:r w:rsidRPr="00E06DFF">
        <w:rPr>
          <w:lang w:val="fr-CH"/>
        </w:rPr>
        <w:t> 113. »</w:t>
      </w:r>
      <w:r>
        <w:rPr>
          <w:lang w:val="fr-CH"/>
        </w:rPr>
        <w:t>.</w:t>
      </w:r>
    </w:p>
    <w:p w:rsidR="00E06DFF" w:rsidRPr="00E06DFF" w:rsidRDefault="00E06DFF" w:rsidP="00E06DFF">
      <w:pPr>
        <w:pStyle w:val="SingleTxt"/>
        <w:rPr>
          <w:i/>
          <w:iCs/>
          <w:lang w:val="fr-CH"/>
        </w:rPr>
      </w:pPr>
      <w:r w:rsidRPr="00E06DFF">
        <w:rPr>
          <w:i/>
          <w:iCs/>
          <w:lang w:val="fr-CH"/>
        </w:rPr>
        <w:t>Paragraphe 6.2.1 à 6.2.1.2</w:t>
      </w:r>
      <w:r w:rsidRPr="00E06DFF">
        <w:rPr>
          <w:lang w:val="fr-CH"/>
        </w:rPr>
        <w:t xml:space="preserve">, </w:t>
      </w:r>
      <w:r w:rsidRPr="00E06DFF">
        <w:rPr>
          <w:iCs/>
          <w:lang w:val="fr-CH"/>
        </w:rPr>
        <w:t>modifier comme suit</w:t>
      </w:r>
      <w:r>
        <w:rPr>
          <w:iCs/>
          <w:lang w:val="fr-CH"/>
        </w:rPr>
        <w:t> </w:t>
      </w:r>
      <w:r w:rsidRPr="00E06DFF">
        <w:rPr>
          <w:iCs/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 w:rsidRPr="00E06DFF">
        <w:rPr>
          <w:lang w:val="fr-CH"/>
        </w:rPr>
        <w:t>« 6.2.1</w:t>
      </w:r>
      <w:r w:rsidRPr="00E06DFF">
        <w:rPr>
          <w:lang w:val="fr-CH"/>
        </w:rPr>
        <w:tab/>
        <w:t>Nombre</w:t>
      </w:r>
      <w:r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 w:rsidRPr="00E06DFF">
        <w:rPr>
          <w:lang w:val="fr-CH"/>
        </w:rPr>
        <w:t>6.2.1.1</w:t>
      </w:r>
      <w:r w:rsidRPr="00E06DFF">
        <w:rPr>
          <w:lang w:val="fr-CH"/>
        </w:rPr>
        <w:tab/>
        <w:t>Pour les motocycles d</w:t>
      </w:r>
      <w:r w:rsidR="003B5A13">
        <w:rPr>
          <w:lang w:val="fr-CH"/>
        </w:rPr>
        <w:t>’</w:t>
      </w:r>
      <w:r w:rsidRPr="00E06DFF">
        <w:rPr>
          <w:lang w:val="fr-CH"/>
        </w:rPr>
        <w:t>une cylindrée ≤125 cm</w:t>
      </w:r>
      <w:r w:rsidRPr="00E06DFF">
        <w:rPr>
          <w:vertAlign w:val="superscript"/>
          <w:lang w:val="fr-CH"/>
        </w:rPr>
        <w:t>3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Un ou deux du type homologué selon</w:t>
      </w:r>
      <w:r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rPr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a)</w:t>
      </w:r>
      <w:r w:rsidRPr="00E06DFF">
        <w:rPr>
          <w:bCs/>
          <w:lang w:val="fr-CH"/>
        </w:rPr>
        <w:tab/>
        <w:t xml:space="preserve">La classe </w:t>
      </w:r>
      <w:r w:rsidRPr="00E06DFF">
        <w:rPr>
          <w:bCs/>
          <w:strike/>
          <w:lang w:val="fr-CH"/>
        </w:rPr>
        <w:t>B,</w:t>
      </w:r>
      <w:r w:rsidRPr="00E06DFF">
        <w:rPr>
          <w:bCs/>
          <w:lang w:val="fr-CH"/>
        </w:rPr>
        <w:t xml:space="preserve"> C, D ou E du Règlement n</w:t>
      </w:r>
      <w:r w:rsidRPr="00E06DFF">
        <w:rPr>
          <w:bCs/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113;</w:t>
      </w:r>
    </w:p>
    <w:p w:rsidR="00E06DFF" w:rsidRPr="00E06DFF" w:rsidRDefault="00E06DFF" w:rsidP="00E06DFF">
      <w:pPr>
        <w:pStyle w:val="SingleTxt"/>
        <w:rPr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b)</w:t>
      </w:r>
      <w:r w:rsidRPr="00E06DFF">
        <w:rPr>
          <w:bCs/>
          <w:lang w:val="fr-CH"/>
        </w:rPr>
        <w:tab/>
        <w:t>Le Règlement n</w:t>
      </w:r>
      <w:r w:rsidRPr="00E06DFF">
        <w:rPr>
          <w:bCs/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112;</w:t>
      </w:r>
    </w:p>
    <w:p w:rsidR="00E06DFF" w:rsidRPr="00E06DFF" w:rsidRDefault="00E06DFF" w:rsidP="00E06DFF">
      <w:pPr>
        <w:pStyle w:val="SingleTxt"/>
        <w:rPr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c)</w:t>
      </w:r>
      <w:r w:rsidRPr="00E06DFF">
        <w:rPr>
          <w:bCs/>
          <w:lang w:val="fr-CH"/>
        </w:rPr>
        <w:tab/>
        <w:t>Le Règlement n</w:t>
      </w:r>
      <w:r w:rsidRPr="00E06DFF">
        <w:rPr>
          <w:bCs/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1;</w:t>
      </w:r>
    </w:p>
    <w:p w:rsidR="00E06DFF" w:rsidRPr="00E06DFF" w:rsidRDefault="00E06DFF" w:rsidP="00E06DFF">
      <w:pPr>
        <w:pStyle w:val="SingleTxt"/>
        <w:rPr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d)</w:t>
      </w:r>
      <w:r w:rsidRPr="00E06DFF">
        <w:rPr>
          <w:bCs/>
          <w:lang w:val="fr-CH"/>
        </w:rPr>
        <w:tab/>
        <w:t>Le Règlement n</w:t>
      </w:r>
      <w:r w:rsidRPr="00E06DFF">
        <w:rPr>
          <w:bCs/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8;</w:t>
      </w:r>
    </w:p>
    <w:p w:rsidR="00E06DFF" w:rsidRPr="00E06DFF" w:rsidRDefault="00E06DFF" w:rsidP="00E06DFF">
      <w:pPr>
        <w:pStyle w:val="SingleTxt"/>
        <w:rPr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e)</w:t>
      </w:r>
      <w:r w:rsidRPr="00E06DFF">
        <w:rPr>
          <w:bCs/>
          <w:lang w:val="fr-CH"/>
        </w:rPr>
        <w:tab/>
        <w:t>Le Règlement n</w:t>
      </w:r>
      <w:r w:rsidRPr="00E06DFF">
        <w:rPr>
          <w:bCs/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20;</w:t>
      </w:r>
    </w:p>
    <w:p w:rsidR="00E06DFF" w:rsidRPr="00E06DFF" w:rsidRDefault="00E06DFF" w:rsidP="00E06DFF">
      <w:pPr>
        <w:pStyle w:val="SingleTxt"/>
        <w:rPr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f)</w:t>
      </w:r>
      <w:r w:rsidRPr="00E06DFF">
        <w:rPr>
          <w:bCs/>
          <w:lang w:val="fr-CH"/>
        </w:rPr>
        <w:tab/>
        <w:t>Le Règlement n</w:t>
      </w:r>
      <w:r w:rsidRPr="00E06DFF">
        <w:rPr>
          <w:bCs/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57;</w:t>
      </w:r>
    </w:p>
    <w:p w:rsidR="00E06DFF" w:rsidRPr="00E06DFF" w:rsidRDefault="00E06DFF" w:rsidP="00E06DFF">
      <w:pPr>
        <w:pStyle w:val="SingleTxt"/>
        <w:rPr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g)</w:t>
      </w:r>
      <w:r w:rsidRPr="00E06DFF">
        <w:rPr>
          <w:bCs/>
          <w:lang w:val="fr-CH"/>
        </w:rPr>
        <w:tab/>
        <w:t>Le Règlement n</w:t>
      </w:r>
      <w:r w:rsidRPr="00E06DFF">
        <w:rPr>
          <w:bCs/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72;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h)</w:t>
      </w:r>
      <w:r w:rsidRPr="00E06DFF">
        <w:rPr>
          <w:bCs/>
          <w:lang w:val="fr-CH"/>
        </w:rPr>
        <w:tab/>
        <w:t>Le Règlement n</w:t>
      </w:r>
      <w:r w:rsidRPr="00E06DFF">
        <w:rPr>
          <w:bCs/>
          <w:vertAlign w:val="superscript"/>
          <w:lang w:val="fr-CH"/>
        </w:rPr>
        <w:t>o</w:t>
      </w:r>
      <w:r w:rsidRPr="00E06DFF">
        <w:rPr>
          <w:lang w:val="fr-CH"/>
        </w:rPr>
        <w:t> </w:t>
      </w:r>
      <w:r w:rsidRPr="00E06DFF">
        <w:rPr>
          <w:bCs/>
          <w:lang w:val="fr-CH"/>
        </w:rPr>
        <w:t>98.</w:t>
      </w:r>
    </w:p>
    <w:p w:rsidR="00E06DFF" w:rsidRPr="00E06DFF" w:rsidRDefault="00E06DFF" w:rsidP="003B5A13">
      <w:pPr>
        <w:pStyle w:val="SingleTxt"/>
        <w:rPr>
          <w:lang w:val="fr-CH"/>
        </w:rPr>
      </w:pPr>
      <w:r w:rsidRPr="00E06DFF">
        <w:rPr>
          <w:lang w:val="fr-CH"/>
        </w:rPr>
        <w:lastRenderedPageBreak/>
        <w:t>6.2.1.2</w:t>
      </w:r>
      <w:r w:rsidRPr="00E06DFF">
        <w:rPr>
          <w:lang w:val="fr-CH"/>
        </w:rPr>
        <w:tab/>
        <w:t>Pour les motocycles d</w:t>
      </w:r>
      <w:r w:rsidR="003B5A13">
        <w:rPr>
          <w:lang w:val="fr-CH"/>
        </w:rPr>
        <w:t>’</w:t>
      </w:r>
      <w:r w:rsidRPr="00E06DFF">
        <w:rPr>
          <w:lang w:val="fr-CH"/>
        </w:rPr>
        <w:t>une cylindrée &gt;125 cm</w:t>
      </w:r>
      <w:r w:rsidRPr="00E06DFF">
        <w:rPr>
          <w:vertAlign w:val="superscript"/>
          <w:lang w:val="fr-CH"/>
        </w:rPr>
        <w:t>3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Un ou deux du type homologué selon</w:t>
      </w:r>
      <w:r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a)</w:t>
      </w:r>
      <w:r w:rsidRPr="00E06DFF">
        <w:rPr>
          <w:lang w:val="fr-CH"/>
        </w:rPr>
        <w:tab/>
        <w:t xml:space="preserve">La classe </w:t>
      </w:r>
      <w:r w:rsidRPr="00E06DFF">
        <w:rPr>
          <w:strike/>
          <w:lang w:val="fr-CH"/>
        </w:rPr>
        <w:t>B,</w:t>
      </w:r>
      <w:r w:rsidRPr="00E06DFF">
        <w:rPr>
          <w:lang w:val="fr-CH"/>
        </w:rPr>
        <w:t xml:space="preserve"> D ou E du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113;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b)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112;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c)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1;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d)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8;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e)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20;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f)</w:t>
      </w:r>
      <w:r w:rsidRPr="00E06DFF">
        <w:rPr>
          <w:lang w:val="fr-CH"/>
        </w:rPr>
        <w:tab/>
        <w:t>Le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72;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Pr="00E06DFF">
        <w:rPr>
          <w:bCs/>
          <w:lang w:val="fr-CH"/>
        </w:rPr>
        <w:t>g)</w:t>
      </w:r>
      <w:r w:rsidRPr="00E06DFF">
        <w:rPr>
          <w:lang w:val="fr-CH"/>
        </w:rPr>
        <w:tab/>
        <w:t xml:space="preserve">Le </w:t>
      </w:r>
      <w:r w:rsidRPr="00E06DFF">
        <w:rPr>
          <w:bCs/>
          <w:lang w:val="fr-CH"/>
        </w:rPr>
        <w:t xml:space="preserve">Règlement </w:t>
      </w:r>
      <w:r w:rsidRPr="00E06DFF">
        <w:rPr>
          <w:lang w:val="fr-CH"/>
        </w:rPr>
        <w:t>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bCs/>
          <w:lang w:val="fr-CH"/>
        </w:rPr>
        <w:t>98</w:t>
      </w:r>
      <w:r w:rsidRPr="00E06DFF">
        <w:rPr>
          <w:lang w:val="fr-CH"/>
        </w:rPr>
        <w:t>.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Deux du type homologué selon</w:t>
      </w:r>
      <w:r w:rsidR="003B5A13"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06DFF">
        <w:rPr>
          <w:lang w:val="fr-CH"/>
        </w:rPr>
        <w:t>h)</w:t>
      </w:r>
      <w:r w:rsidRPr="00E06DFF">
        <w:rPr>
          <w:lang w:val="fr-CH"/>
        </w:rPr>
        <w:tab/>
        <w:t>La classe C du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113.</w:t>
      </w:r>
      <w:r w:rsidR="003B5A13">
        <w:rPr>
          <w:lang w:val="fr-CH"/>
        </w:rPr>
        <w:t> ».</w:t>
      </w:r>
    </w:p>
    <w:p w:rsidR="00E06DFF" w:rsidRPr="00E06DFF" w:rsidRDefault="00E06DFF" w:rsidP="00E06DFF">
      <w:pPr>
        <w:pStyle w:val="SingleTxt"/>
        <w:rPr>
          <w:lang w:val="fr-CH"/>
        </w:rPr>
      </w:pPr>
      <w:r w:rsidRPr="00E06DFF">
        <w:rPr>
          <w:lang w:val="fr-CH"/>
        </w:rPr>
        <w:t>Insérer</w:t>
      </w:r>
      <w:r w:rsidRPr="00E06DFF">
        <w:rPr>
          <w:i/>
          <w:iCs/>
          <w:lang w:val="fr-CH"/>
        </w:rPr>
        <w:t xml:space="preserve"> les nouveaux paragraphes 11.4 à 11.6</w:t>
      </w:r>
      <w:r w:rsidRPr="00E06DFF">
        <w:rPr>
          <w:lang w:val="fr-CH"/>
        </w:rPr>
        <w:t>, comme suit</w:t>
      </w:r>
      <w:r>
        <w:rPr>
          <w:lang w:val="fr-CH"/>
        </w:rPr>
        <w:t> </w:t>
      </w:r>
      <w:r w:rsidRPr="00E06DFF">
        <w:rPr>
          <w:lang w:val="fr-CH"/>
        </w:rPr>
        <w:t>:</w:t>
      </w:r>
    </w:p>
    <w:p w:rsidR="00E06DFF" w:rsidRPr="00E06DFF" w:rsidRDefault="00E06DFF" w:rsidP="00E06DFF">
      <w:pPr>
        <w:pStyle w:val="SingleTxt"/>
        <w:ind w:left="2218" w:hanging="951"/>
        <w:rPr>
          <w:b/>
          <w:lang w:val="fr-CH"/>
        </w:rPr>
      </w:pPr>
      <w:r w:rsidRPr="00E06DFF">
        <w:rPr>
          <w:lang w:val="fr-CH"/>
        </w:rPr>
        <w:t>« </w:t>
      </w:r>
      <w:r w:rsidRPr="00E06DFF">
        <w:rPr>
          <w:b/>
          <w:lang w:val="fr-CH"/>
        </w:rPr>
        <w:t>11.4</w:t>
      </w:r>
      <w:r w:rsidRPr="00E06DFF">
        <w:rPr>
          <w:b/>
          <w:lang w:val="fr-CH"/>
        </w:rPr>
        <w:tab/>
        <w:t>À compter de la date officielle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>entrée en vigueur du complément [XX]</w:t>
      </w:r>
      <w:r w:rsidR="003B5A13">
        <w:rPr>
          <w:b/>
          <w:lang w:val="fr-CH"/>
        </w:rPr>
        <w:t xml:space="preserve"> à la série </w:t>
      </w:r>
      <w:r w:rsidRPr="00E06DFF">
        <w:rPr>
          <w:b/>
          <w:lang w:val="fr-CH"/>
        </w:rPr>
        <w:t>01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>amendements, aucune Partie contractante appliquant le présent Règlement ne pourra refuser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 xml:space="preserve">accorder une homologation en application du présent Règlement tel que modifié par le complément [XX] </w:t>
      </w:r>
      <w:r w:rsidR="003B5A13">
        <w:rPr>
          <w:b/>
          <w:lang w:val="fr-CH"/>
        </w:rPr>
        <w:t>à la série </w:t>
      </w:r>
      <w:r w:rsidRPr="00E06DFF">
        <w:rPr>
          <w:b/>
          <w:lang w:val="fr-CH"/>
        </w:rPr>
        <w:t>01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>amendements.</w:t>
      </w:r>
    </w:p>
    <w:p w:rsidR="00E06DFF" w:rsidRPr="00E06DFF" w:rsidRDefault="00E06DFF" w:rsidP="003B5A13">
      <w:pPr>
        <w:pStyle w:val="SingleTxt"/>
        <w:ind w:left="2218" w:hanging="951"/>
        <w:rPr>
          <w:b/>
          <w:lang w:val="fr-CH"/>
        </w:rPr>
      </w:pPr>
      <w:r w:rsidRPr="00E06DFF">
        <w:rPr>
          <w:b/>
          <w:lang w:val="fr-CH"/>
        </w:rPr>
        <w:t>11.5</w:t>
      </w:r>
      <w:r w:rsidRPr="00E06DFF">
        <w:rPr>
          <w:b/>
          <w:lang w:val="fr-CH"/>
        </w:rPr>
        <w:tab/>
      </w:r>
      <w:r>
        <w:rPr>
          <w:b/>
          <w:lang w:val="fr-CH"/>
        </w:rPr>
        <w:tab/>
      </w:r>
      <w:r w:rsidRPr="00E06DFF">
        <w:rPr>
          <w:b/>
          <w:lang w:val="fr-CH"/>
        </w:rPr>
        <w:t>Au terme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 xml:space="preserve">un délai de </w:t>
      </w:r>
      <w:r w:rsidR="003B5A13">
        <w:rPr>
          <w:b/>
          <w:lang w:val="fr-CH"/>
        </w:rPr>
        <w:t>48 </w:t>
      </w:r>
      <w:r w:rsidRPr="00E06DFF">
        <w:rPr>
          <w:b/>
          <w:lang w:val="fr-CH"/>
        </w:rPr>
        <w:t>mois après la date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>entrée en vigueur mentionnée au paragraphe</w:t>
      </w:r>
      <w:r w:rsidR="003B5A13">
        <w:rPr>
          <w:b/>
          <w:lang w:val="fr-CH"/>
        </w:rPr>
        <w:t> </w:t>
      </w:r>
      <w:r w:rsidRPr="00E06DFF">
        <w:rPr>
          <w:b/>
          <w:lang w:val="fr-CH"/>
        </w:rPr>
        <w:t>11.4 ci</w:t>
      </w:r>
      <w:r w:rsidR="003B5A13">
        <w:rPr>
          <w:b/>
          <w:lang w:val="fr-CH"/>
        </w:rPr>
        <w:t>-</w:t>
      </w:r>
      <w:r w:rsidRPr="00E06DFF">
        <w:rPr>
          <w:b/>
          <w:lang w:val="fr-CH"/>
        </w:rPr>
        <w:t>dessus, les Parties contractantes appliquant le présent Règlement n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>accorderont des homologations que si le type de véhicule en ce qui concerne le nombre et les conditions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>installation des dispositifs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 xml:space="preserve">éclairage et de signalisation lumineuse correspond aux prescriptions du complément [XX] </w:t>
      </w:r>
      <w:r w:rsidR="003B5A13">
        <w:rPr>
          <w:b/>
          <w:lang w:val="fr-CH"/>
        </w:rPr>
        <w:t>à la série </w:t>
      </w:r>
      <w:r w:rsidRPr="00E06DFF">
        <w:rPr>
          <w:b/>
          <w:lang w:val="fr-CH"/>
        </w:rPr>
        <w:t>01 d</w:t>
      </w:r>
      <w:r w:rsidR="003B5A13">
        <w:rPr>
          <w:b/>
          <w:lang w:val="fr-CH"/>
        </w:rPr>
        <w:t>’</w:t>
      </w:r>
      <w:r w:rsidRPr="00E06DFF">
        <w:rPr>
          <w:b/>
          <w:lang w:val="fr-CH"/>
        </w:rPr>
        <w:t>amendements au présent Règlement.</w:t>
      </w:r>
    </w:p>
    <w:p w:rsidR="00E06DFF" w:rsidRPr="00E06DFF" w:rsidRDefault="00E06DFF" w:rsidP="003B5A13">
      <w:pPr>
        <w:pStyle w:val="SingleTxt"/>
        <w:ind w:left="2218" w:hanging="951"/>
        <w:rPr>
          <w:b/>
          <w:lang w:val="fr-CH"/>
        </w:rPr>
      </w:pPr>
      <w:r w:rsidRPr="00E06DFF">
        <w:rPr>
          <w:b/>
          <w:lang w:val="fr-CH"/>
        </w:rPr>
        <w:t>11.6</w:t>
      </w:r>
      <w:r w:rsidRPr="00E06DFF">
        <w:rPr>
          <w:b/>
          <w:lang w:val="fr-CH"/>
        </w:rPr>
        <w:tab/>
      </w:r>
      <w:r>
        <w:rPr>
          <w:b/>
          <w:lang w:val="fr-CH"/>
        </w:rPr>
        <w:tab/>
      </w:r>
      <w:r w:rsidRPr="00E06DFF">
        <w:rPr>
          <w:b/>
          <w:lang w:val="fr-CH"/>
        </w:rPr>
        <w:t>Les homologations en vigueur accordées en vertu du présent Règlement avant l</w:t>
      </w:r>
      <w:r w:rsidR="003B5A13">
        <w:rPr>
          <w:b/>
          <w:lang w:val="fr-CH"/>
        </w:rPr>
        <w:t>a date mentionnée au paragraphe </w:t>
      </w:r>
      <w:r w:rsidRPr="00E06DFF">
        <w:rPr>
          <w:b/>
          <w:lang w:val="fr-CH"/>
        </w:rPr>
        <w:t>11.5 ci</w:t>
      </w:r>
      <w:r w:rsidR="003B5A13">
        <w:rPr>
          <w:b/>
          <w:lang w:val="fr-CH"/>
        </w:rPr>
        <w:t>-</w:t>
      </w:r>
      <w:r w:rsidRPr="00E06DFF">
        <w:rPr>
          <w:b/>
          <w:lang w:val="fr-CH"/>
        </w:rPr>
        <w:t>dessus restent valables. </w:t>
      </w:r>
      <w:r w:rsidRPr="00E06DFF">
        <w:rPr>
          <w:bCs/>
          <w:lang w:val="fr-CH"/>
        </w:rPr>
        <w:t>».</w:t>
      </w:r>
    </w:p>
    <w:p w:rsidR="00E06DFF" w:rsidRPr="00E06DFF" w:rsidRDefault="00E06DFF" w:rsidP="00E06DFF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06DFF" w:rsidRPr="00E06DFF" w:rsidRDefault="00E06DFF" w:rsidP="00E06DFF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06DFF" w:rsidRPr="00E06DFF" w:rsidRDefault="00E06DFF" w:rsidP="00E06D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06DFF">
        <w:rPr>
          <w:lang w:val="fr-CH"/>
        </w:rPr>
        <w:tab/>
        <w:t>II.</w:t>
      </w:r>
      <w:r w:rsidRPr="00E06DFF">
        <w:rPr>
          <w:lang w:val="fr-CH"/>
        </w:rPr>
        <w:tab/>
        <w:t>Justification</w:t>
      </w:r>
    </w:p>
    <w:p w:rsidR="00E06DFF" w:rsidRPr="00E06DFF" w:rsidRDefault="00E06DFF" w:rsidP="003B5A13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E06DFF" w:rsidRPr="00E06DFF" w:rsidRDefault="00E06DFF" w:rsidP="003B5A13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E06DFF" w:rsidRPr="00E06DFF" w:rsidRDefault="00E06DFF" w:rsidP="003B5A1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E06DFF">
        <w:rPr>
          <w:lang w:val="fr-CH"/>
        </w:rPr>
        <w:t>Lors de la soixante et onzième session du GRE, l</w:t>
      </w:r>
      <w:r w:rsidR="003B5A13">
        <w:rPr>
          <w:lang w:val="fr-CH"/>
        </w:rPr>
        <w:t>’</w:t>
      </w:r>
      <w:r w:rsidRPr="00E06DFF">
        <w:rPr>
          <w:lang w:val="fr-CH"/>
        </w:rPr>
        <w:t>expert de l</w:t>
      </w:r>
      <w:r w:rsidR="003B5A13">
        <w:rPr>
          <w:lang w:val="fr-CH"/>
        </w:rPr>
        <w:t>’</w:t>
      </w:r>
      <w:r w:rsidRPr="00E06DFF">
        <w:rPr>
          <w:lang w:val="fr-CH"/>
        </w:rPr>
        <w:t>Italie avait présenté une proposition visant à supprimer les renvois à des Règlements « gelés » (ECE/TRANS/WP.29/GRE/2013/43/Rev.1).</w:t>
      </w:r>
    </w:p>
    <w:p w:rsidR="00E06DFF" w:rsidRPr="00E06DFF" w:rsidRDefault="00E06DFF" w:rsidP="003B5A1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E06DFF">
        <w:rPr>
          <w:lang w:val="fr-CH"/>
        </w:rPr>
        <w:t>L</w:t>
      </w:r>
      <w:r w:rsidR="003B5A13">
        <w:rPr>
          <w:lang w:val="fr-CH"/>
        </w:rPr>
        <w:t>’</w:t>
      </w:r>
      <w:r w:rsidRPr="00E06DFF">
        <w:rPr>
          <w:lang w:val="fr-CH"/>
        </w:rPr>
        <w:t>expert de l</w:t>
      </w:r>
      <w:r w:rsidR="003B5A13">
        <w:rPr>
          <w:lang w:val="fr-CH"/>
        </w:rPr>
        <w:t>’</w:t>
      </w:r>
      <w:r w:rsidRPr="00E06DFF">
        <w:rPr>
          <w:lang w:val="fr-CH"/>
        </w:rPr>
        <w:t>Allemagne a complété ladite proposition, en particulier en suggérant de supprimer les référenc</w:t>
      </w:r>
      <w:r w:rsidR="003B5A13">
        <w:rPr>
          <w:lang w:val="fr-CH"/>
        </w:rPr>
        <w:t>es aux projecteurs de la classe </w:t>
      </w:r>
      <w:r w:rsidRPr="00E06DFF">
        <w:rPr>
          <w:lang w:val="fr-CH"/>
        </w:rPr>
        <w:t>B du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113 en raison du fait que les va</w:t>
      </w:r>
      <w:r w:rsidR="003B5A13">
        <w:rPr>
          <w:lang w:val="fr-CH"/>
        </w:rPr>
        <w:t>leurs prescrites pour la classe </w:t>
      </w:r>
      <w:r w:rsidRPr="00E06DFF">
        <w:rPr>
          <w:lang w:val="fr-CH"/>
        </w:rPr>
        <w:t>B pouvaient susciter des préoccupations en matièr</w:t>
      </w:r>
      <w:r w:rsidR="003B5A13">
        <w:rPr>
          <w:lang w:val="fr-CH"/>
        </w:rPr>
        <w:t>e de sécurité pour la catégorie </w:t>
      </w:r>
      <w:r w:rsidRPr="00E06DFF">
        <w:rPr>
          <w:lang w:val="fr-CH"/>
        </w:rPr>
        <w:t>L</w:t>
      </w:r>
      <w:r w:rsidRPr="00E06DFF">
        <w:rPr>
          <w:vertAlign w:val="subscript"/>
          <w:lang w:val="fr-CH"/>
        </w:rPr>
        <w:t>3</w:t>
      </w:r>
      <w:r w:rsidRPr="00E06DFF">
        <w:rPr>
          <w:lang w:val="fr-CH"/>
        </w:rPr>
        <w:t xml:space="preserve"> de véhicules. La suppression des référenc</w:t>
      </w:r>
      <w:r w:rsidR="003B5A13">
        <w:rPr>
          <w:lang w:val="fr-CH"/>
        </w:rPr>
        <w:t>es aux projecteurs de la classe </w:t>
      </w:r>
      <w:r w:rsidRPr="00E06DFF">
        <w:rPr>
          <w:lang w:val="fr-CH"/>
        </w:rPr>
        <w:t>B proposée par l</w:t>
      </w:r>
      <w:r w:rsidR="003B5A13">
        <w:rPr>
          <w:lang w:val="fr-CH"/>
        </w:rPr>
        <w:t>’</w:t>
      </w:r>
      <w:r w:rsidRPr="00E06DFF">
        <w:rPr>
          <w:lang w:val="fr-CH"/>
        </w:rPr>
        <w:t>expert de l</w:t>
      </w:r>
      <w:r w:rsidR="003B5A13">
        <w:rPr>
          <w:lang w:val="fr-CH"/>
        </w:rPr>
        <w:t>’</w:t>
      </w:r>
      <w:r w:rsidRPr="00E06DFF">
        <w:rPr>
          <w:lang w:val="fr-CH"/>
        </w:rPr>
        <w:t>Allemagne pouvait d</w:t>
      </w:r>
      <w:r w:rsidR="003B5A13">
        <w:rPr>
          <w:lang w:val="fr-CH"/>
        </w:rPr>
        <w:t>’</w:t>
      </w:r>
      <w:r w:rsidRPr="00E06DFF">
        <w:rPr>
          <w:lang w:val="fr-CH"/>
        </w:rPr>
        <w:t>ailleurs être étayée par l</w:t>
      </w:r>
      <w:r w:rsidR="003B5A13">
        <w:rPr>
          <w:lang w:val="fr-CH"/>
        </w:rPr>
        <w:t>’</w:t>
      </w:r>
      <w:r w:rsidRPr="00E06DFF">
        <w:rPr>
          <w:lang w:val="fr-CH"/>
        </w:rPr>
        <w:t>actuelle formulation des paragraphes 6.1.1.2 et 6.2.1.2 du Règlement n</w:t>
      </w:r>
      <w:r w:rsidRPr="00E06DFF">
        <w:rPr>
          <w:vertAlign w:val="superscript"/>
          <w:lang w:val="fr-CH"/>
        </w:rPr>
        <w:t>o</w:t>
      </w:r>
      <w:r w:rsidRPr="003B5A13">
        <w:rPr>
          <w:lang w:val="fr-CH"/>
        </w:rPr>
        <w:t> </w:t>
      </w:r>
      <w:r w:rsidRPr="00E06DFF">
        <w:rPr>
          <w:lang w:val="fr-CH"/>
        </w:rPr>
        <w:t>53 qui admettait la présence d</w:t>
      </w:r>
      <w:r w:rsidR="003B5A13">
        <w:rPr>
          <w:lang w:val="fr-CH"/>
        </w:rPr>
        <w:t>’un seul feu de la classe B</w:t>
      </w:r>
      <w:r w:rsidRPr="00E06DFF">
        <w:rPr>
          <w:lang w:val="fr-CH"/>
        </w:rPr>
        <w:t>, mais exigeait la pré</w:t>
      </w:r>
      <w:r w:rsidR="003B5A13">
        <w:rPr>
          <w:lang w:val="fr-CH"/>
        </w:rPr>
        <w:t>sence de deux feux de la classe </w:t>
      </w:r>
      <w:r w:rsidRPr="00E06DFF">
        <w:rPr>
          <w:lang w:val="fr-CH"/>
        </w:rPr>
        <w:t>C, en dépit du</w:t>
      </w:r>
      <w:r w:rsidR="003B5A13">
        <w:rPr>
          <w:lang w:val="fr-CH"/>
        </w:rPr>
        <w:t xml:space="preserve"> fait que les feux de la classe </w:t>
      </w:r>
      <w:r w:rsidRPr="00E06DFF">
        <w:rPr>
          <w:lang w:val="fr-CH"/>
        </w:rPr>
        <w:t xml:space="preserve">C fonctionnaient </w:t>
      </w:r>
      <w:r w:rsidR="003B5A13">
        <w:rPr>
          <w:lang w:val="fr-CH"/>
        </w:rPr>
        <w:t>mieux que ceux de la classe </w:t>
      </w:r>
      <w:r w:rsidRPr="00E06DFF">
        <w:rPr>
          <w:lang w:val="fr-CH"/>
        </w:rPr>
        <w:t>B (ECE/TRANS/</w:t>
      </w:r>
      <w:r w:rsidR="003B5A13">
        <w:rPr>
          <w:lang w:val="fr-CH"/>
        </w:rPr>
        <w:br/>
      </w:r>
      <w:r w:rsidRPr="00E06DFF">
        <w:rPr>
          <w:lang w:val="fr-CH"/>
        </w:rPr>
        <w:t>WP.29/GRE/2014/32).</w:t>
      </w:r>
    </w:p>
    <w:p w:rsidR="00E06DFF" w:rsidRPr="00E06DFF" w:rsidRDefault="00E06DFF" w:rsidP="003B5A1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E06DFF">
        <w:rPr>
          <w:lang w:val="fr-CH"/>
        </w:rPr>
        <w:t>L</w:t>
      </w:r>
      <w:r w:rsidR="003B5A13">
        <w:rPr>
          <w:lang w:val="fr-CH"/>
        </w:rPr>
        <w:t>’</w:t>
      </w:r>
      <w:r w:rsidRPr="00E06DFF">
        <w:rPr>
          <w:lang w:val="fr-CH"/>
        </w:rPr>
        <w:t>expert de l</w:t>
      </w:r>
      <w:r w:rsidR="003B5A13">
        <w:rPr>
          <w:lang w:val="fr-CH"/>
        </w:rPr>
        <w:t>’</w:t>
      </w:r>
      <w:r w:rsidRPr="00E06DFF">
        <w:rPr>
          <w:lang w:val="fr-CH"/>
        </w:rPr>
        <w:t>IMMA a expliqué que, pour remplacer un projecteur de la classe B par un projecteur de la classe</w:t>
      </w:r>
      <w:r w:rsidR="003B5A13">
        <w:rPr>
          <w:lang w:val="fr-CH"/>
        </w:rPr>
        <w:t> </w:t>
      </w:r>
      <w:r w:rsidRPr="00E06DFF">
        <w:rPr>
          <w:lang w:val="fr-CH"/>
        </w:rPr>
        <w:t>C ou D, il fallait procéder à des modifications majeures sur le projecteur et les pièces qui l</w:t>
      </w:r>
      <w:r w:rsidR="003B5A13">
        <w:rPr>
          <w:lang w:val="fr-CH"/>
        </w:rPr>
        <w:t>’</w:t>
      </w:r>
      <w:r w:rsidRPr="00E06DFF">
        <w:rPr>
          <w:lang w:val="fr-CH"/>
        </w:rPr>
        <w:t>entouraient et qu</w:t>
      </w:r>
      <w:r w:rsidR="003B5A13">
        <w:rPr>
          <w:lang w:val="fr-CH"/>
        </w:rPr>
        <w:t>’</w:t>
      </w:r>
      <w:r w:rsidRPr="00E06DFF">
        <w:rPr>
          <w:lang w:val="fr-CH"/>
        </w:rPr>
        <w:t xml:space="preserve">il fallait probablement un </w:t>
      </w:r>
      <w:r w:rsidRPr="00E06DFF">
        <w:rPr>
          <w:lang w:val="fr-CH"/>
        </w:rPr>
        <w:lastRenderedPageBreak/>
        <w:t>alternateur de plus forte puissance parce qu</w:t>
      </w:r>
      <w:r w:rsidR="003B5A13">
        <w:rPr>
          <w:lang w:val="fr-CH"/>
        </w:rPr>
        <w:t>’</w:t>
      </w:r>
      <w:r w:rsidRPr="00E06DFF">
        <w:rPr>
          <w:lang w:val="fr-CH"/>
        </w:rPr>
        <w:t>un plus gros projecteur consommait plus d</w:t>
      </w:r>
      <w:r w:rsidR="003B5A13">
        <w:rPr>
          <w:lang w:val="fr-CH"/>
        </w:rPr>
        <w:t>’</w:t>
      </w:r>
      <w:r w:rsidRPr="00E06DFF">
        <w:rPr>
          <w:lang w:val="fr-CH"/>
        </w:rPr>
        <w:t>électricité. Dans le cas de certains modèles de véhicules tels que ceux où le projecteur était encastré dans la carrosserie, l</w:t>
      </w:r>
      <w:r w:rsidR="003B5A13">
        <w:rPr>
          <w:lang w:val="fr-CH"/>
        </w:rPr>
        <w:t>’</w:t>
      </w:r>
      <w:r w:rsidRPr="00E06DFF">
        <w:rPr>
          <w:lang w:val="fr-CH"/>
        </w:rPr>
        <w:t>installation d</w:t>
      </w:r>
      <w:r w:rsidR="003B5A13">
        <w:rPr>
          <w:lang w:val="fr-CH"/>
        </w:rPr>
        <w:t>’</w:t>
      </w:r>
      <w:r w:rsidRPr="00E06DFF">
        <w:rPr>
          <w:lang w:val="fr-CH"/>
        </w:rPr>
        <w:t>un plus gros projecteur pouvait être impossible faute de place suffisante. En outre, pour pouvoir installer un alternateur de plus forte puissance, il faudrait revoir l</w:t>
      </w:r>
      <w:r w:rsidR="003B5A13">
        <w:rPr>
          <w:lang w:val="fr-CH"/>
        </w:rPr>
        <w:t>’</w:t>
      </w:r>
      <w:r w:rsidRPr="00E06DFF">
        <w:rPr>
          <w:lang w:val="fr-CH"/>
        </w:rPr>
        <w:t>ensemble du circuit électrique du véhicule. Pour ce faire, le secteur d</w:t>
      </w:r>
      <w:r w:rsidR="003B5A13">
        <w:rPr>
          <w:lang w:val="fr-CH"/>
        </w:rPr>
        <w:t>’</w:t>
      </w:r>
      <w:r w:rsidRPr="00E06DFF">
        <w:rPr>
          <w:lang w:val="fr-CH"/>
        </w:rPr>
        <w:t>activité a besoin de temps et effectuer des investissements importants pour mettre au point de nouveaux modèles (GRE-72-19).</w:t>
      </w:r>
    </w:p>
    <w:p w:rsidR="00E06DFF" w:rsidRPr="00E06DFF" w:rsidRDefault="00E06DFF" w:rsidP="003B5A1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E06DFF">
        <w:rPr>
          <w:lang w:val="fr-CH"/>
        </w:rPr>
        <w:t>Pour les raisons indiquées au paragraphe</w:t>
      </w:r>
      <w:r w:rsidR="003B5A13">
        <w:rPr>
          <w:lang w:val="fr-CH"/>
        </w:rPr>
        <w:t> </w:t>
      </w:r>
      <w:r w:rsidRPr="00E06DFF">
        <w:rPr>
          <w:lang w:val="fr-CH"/>
        </w:rPr>
        <w:t>3 ci</w:t>
      </w:r>
      <w:r w:rsidR="003B5A13">
        <w:rPr>
          <w:lang w:val="fr-CH"/>
        </w:rPr>
        <w:t>-</w:t>
      </w:r>
      <w:r w:rsidRPr="00E06DFF">
        <w:rPr>
          <w:lang w:val="fr-CH"/>
        </w:rPr>
        <w:t>dessus, l</w:t>
      </w:r>
      <w:r w:rsidR="003B5A13">
        <w:rPr>
          <w:lang w:val="fr-CH"/>
        </w:rPr>
        <w:t>’</w:t>
      </w:r>
      <w:r w:rsidRPr="00E06DFF">
        <w:rPr>
          <w:lang w:val="fr-CH"/>
        </w:rPr>
        <w:t xml:space="preserve">IMMA demande que des dispositions transitoires soient prises pendant </w:t>
      </w:r>
      <w:r w:rsidR="003B5A13">
        <w:rPr>
          <w:lang w:val="fr-CH"/>
        </w:rPr>
        <w:t>48 </w:t>
      </w:r>
      <w:r w:rsidRPr="00E06DFF">
        <w:rPr>
          <w:lang w:val="fr-CH"/>
        </w:rPr>
        <w:t>mois pour que le secteur puisse concevoir la carrosserie, le moteur et le circuit électrique d</w:t>
      </w:r>
      <w:r w:rsidR="003B5A13">
        <w:rPr>
          <w:lang w:val="fr-CH"/>
        </w:rPr>
        <w:t>’</w:t>
      </w:r>
      <w:r w:rsidRPr="00E06DFF">
        <w:rPr>
          <w:lang w:val="fr-CH"/>
        </w:rPr>
        <w:t>un nouveau modèle compatible avec l</w:t>
      </w:r>
      <w:r w:rsidR="003B5A13">
        <w:rPr>
          <w:lang w:val="fr-CH"/>
        </w:rPr>
        <w:t>’</w:t>
      </w:r>
      <w:r w:rsidRPr="00E06DFF">
        <w:rPr>
          <w:lang w:val="fr-CH"/>
        </w:rPr>
        <w:t>application de la norme</w:t>
      </w:r>
      <w:r w:rsidR="003B5A13">
        <w:rPr>
          <w:lang w:val="fr-CH"/>
        </w:rPr>
        <w:t xml:space="preserve"> Euro 5 </w:t>
      </w:r>
      <w:r w:rsidRPr="00E06DFF">
        <w:rPr>
          <w:lang w:val="fr-CH"/>
        </w:rPr>
        <w:t>en 2020 et après.</w:t>
      </w:r>
    </w:p>
    <w:p w:rsidR="00E06DFF" w:rsidRPr="003B5A13" w:rsidRDefault="00E06DFF" w:rsidP="003B5A1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spacing w:val="2"/>
          <w:lang w:val="fr-CH"/>
        </w:rPr>
      </w:pPr>
      <w:r w:rsidRPr="003B5A13">
        <w:rPr>
          <w:spacing w:val="2"/>
          <w:lang w:val="fr-CH"/>
        </w:rPr>
        <w:t>Conformément à la demande qui a</w:t>
      </w:r>
      <w:r w:rsidR="003B5A13" w:rsidRPr="003B5A13">
        <w:rPr>
          <w:spacing w:val="2"/>
          <w:lang w:val="fr-CH"/>
        </w:rPr>
        <w:t>vait été formulée à la soixante-</w:t>
      </w:r>
      <w:r w:rsidRPr="003B5A13">
        <w:rPr>
          <w:spacing w:val="2"/>
          <w:lang w:val="fr-CH"/>
        </w:rPr>
        <w:t>douzième session du GRE pour qu</w:t>
      </w:r>
      <w:r w:rsidR="003B5A13" w:rsidRPr="003B5A13">
        <w:rPr>
          <w:spacing w:val="2"/>
          <w:lang w:val="fr-CH"/>
        </w:rPr>
        <w:t>’</w:t>
      </w:r>
      <w:r w:rsidRPr="003B5A13">
        <w:rPr>
          <w:spacing w:val="2"/>
          <w:lang w:val="fr-CH"/>
        </w:rPr>
        <w:t>une proposition consolidée soit établie, on a élaboré le texte ci</w:t>
      </w:r>
      <w:r w:rsidR="003B5A13" w:rsidRPr="003B5A13">
        <w:rPr>
          <w:spacing w:val="2"/>
          <w:lang w:val="fr-CH"/>
        </w:rPr>
        <w:t>-</w:t>
      </w:r>
      <w:r w:rsidRPr="003B5A13">
        <w:rPr>
          <w:spacing w:val="2"/>
          <w:lang w:val="fr-CH"/>
        </w:rPr>
        <w:t>dessus en combinant les documents ECE/TRANS/WP.29/GRE/2014/32 et GRE</w:t>
      </w:r>
      <w:r w:rsidR="003B5A13" w:rsidRPr="003B5A13">
        <w:rPr>
          <w:spacing w:val="2"/>
          <w:lang w:val="fr-CH"/>
        </w:rPr>
        <w:t>-</w:t>
      </w:r>
      <w:r w:rsidRPr="003B5A13">
        <w:rPr>
          <w:spacing w:val="2"/>
          <w:lang w:val="fr-CH"/>
        </w:rPr>
        <w:t>72</w:t>
      </w:r>
      <w:r w:rsidR="003B5A13" w:rsidRPr="003B5A13">
        <w:rPr>
          <w:spacing w:val="2"/>
          <w:lang w:val="fr-CH"/>
        </w:rPr>
        <w:t>-</w:t>
      </w:r>
      <w:r w:rsidRPr="003B5A13">
        <w:rPr>
          <w:spacing w:val="2"/>
          <w:lang w:val="fr-CH"/>
        </w:rPr>
        <w:t xml:space="preserve">19. </w:t>
      </w:r>
    </w:p>
    <w:p w:rsidR="00953C90" w:rsidRPr="00E06DFF" w:rsidRDefault="00E06DFF" w:rsidP="00E06DFF">
      <w:pPr>
        <w:pStyle w:val="SingleTxt"/>
        <w:spacing w:after="0" w:line="240" w:lineRule="auto"/>
        <w:rPr>
          <w:lang w:val="fr-CH"/>
        </w:rPr>
      </w:pPr>
      <w:r w:rsidRPr="00E06DF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98217" wp14:editId="72C05CAE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953C90" w:rsidRPr="00E06DFF" w:rsidSect="00953C90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8T11:41:00Z" w:initials="Start">
    <w:p w:rsidR="00953C90" w:rsidRPr="00E06DFF" w:rsidRDefault="00953C90">
      <w:pPr>
        <w:pStyle w:val="CommentText"/>
        <w:rPr>
          <w:lang w:val="en-US"/>
        </w:rPr>
      </w:pPr>
      <w:r>
        <w:fldChar w:fldCharType="begin"/>
      </w:r>
      <w:r w:rsidRPr="00E06DFF">
        <w:rPr>
          <w:rStyle w:val="CommentReference"/>
          <w:lang w:val="en-US"/>
        </w:rPr>
        <w:instrText xml:space="preserve"> </w:instrText>
      </w:r>
      <w:r w:rsidRPr="00E06DFF">
        <w:rPr>
          <w:lang w:val="en-US"/>
        </w:rPr>
        <w:instrText>PAGE \# "'Page: '#'</w:instrText>
      </w:r>
      <w:r w:rsidRPr="00E06DFF">
        <w:rPr>
          <w:lang w:val="en-US"/>
        </w:rPr>
        <w:br/>
        <w:instrText>'"</w:instrText>
      </w:r>
      <w:r w:rsidRPr="00E06DF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06DFF">
        <w:rPr>
          <w:lang w:val="en-US"/>
        </w:rPr>
        <w:t>&lt;&lt;ODS JOB NO&gt;&gt;N1517430F&lt;&lt;ODS JOB NO&gt;&gt;</w:t>
      </w:r>
    </w:p>
    <w:p w:rsidR="00953C90" w:rsidRDefault="00953C90">
      <w:pPr>
        <w:pStyle w:val="CommentText"/>
      </w:pPr>
      <w:r>
        <w:t>&lt;&lt;ODS DOC SYMBOL1&gt;&gt;ECE/TRANS/WP.29/GRE/2015/41&lt;&lt;ODS DOC SYMBOL1&gt;&gt;</w:t>
      </w:r>
    </w:p>
    <w:p w:rsidR="00953C90" w:rsidRDefault="00953C9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E6" w:rsidRDefault="00A310E6" w:rsidP="00F3330B">
      <w:pPr>
        <w:spacing w:line="240" w:lineRule="auto"/>
      </w:pPr>
      <w:r>
        <w:separator/>
      </w:r>
    </w:p>
  </w:endnote>
  <w:endnote w:type="continuationSeparator" w:id="0">
    <w:p w:rsidR="00A310E6" w:rsidRDefault="00A310E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953C90" w:rsidTr="00953C90">
      <w:trPr>
        <w:jc w:val="center"/>
      </w:trPr>
      <w:tc>
        <w:tcPr>
          <w:tcW w:w="5088" w:type="dxa"/>
          <w:shd w:val="clear" w:color="auto" w:fill="auto"/>
        </w:tcPr>
        <w:p w:rsidR="00953C90" w:rsidRPr="00953C90" w:rsidRDefault="00953C90" w:rsidP="00953C9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322A8">
            <w:rPr>
              <w:b w:val="0"/>
              <w:w w:val="103"/>
              <w:sz w:val="14"/>
            </w:rPr>
            <w:t>GE.15-13326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953C90" w:rsidRPr="00953C90" w:rsidRDefault="00953C90" w:rsidP="00953C9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65E6D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65E6D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953C90" w:rsidRPr="00953C90" w:rsidRDefault="00953C90" w:rsidP="00953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953C90" w:rsidTr="00953C90">
      <w:trPr>
        <w:jc w:val="center"/>
      </w:trPr>
      <w:tc>
        <w:tcPr>
          <w:tcW w:w="5088" w:type="dxa"/>
          <w:shd w:val="clear" w:color="auto" w:fill="auto"/>
        </w:tcPr>
        <w:p w:rsidR="00953C90" w:rsidRPr="00953C90" w:rsidRDefault="00953C90" w:rsidP="00953C9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65E6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65E6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953C90" w:rsidRPr="00953C90" w:rsidRDefault="00953C90" w:rsidP="00953C9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322A8">
            <w:rPr>
              <w:b w:val="0"/>
              <w:w w:val="103"/>
              <w:sz w:val="14"/>
            </w:rPr>
            <w:t>GE.15-13326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53C90" w:rsidRPr="00953C90" w:rsidRDefault="00953C90" w:rsidP="00953C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90" w:rsidRDefault="00953C9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48816E" wp14:editId="5C9A1846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E/2015/4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E/2015/4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953C90" w:rsidTr="00953C90">
      <w:tc>
        <w:tcPr>
          <w:tcW w:w="3859" w:type="dxa"/>
        </w:tcPr>
        <w:p w:rsidR="00953C90" w:rsidRDefault="00953C90" w:rsidP="00953C9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322A8">
            <w:rPr>
              <w:b w:val="0"/>
              <w:sz w:val="20"/>
            </w:rPr>
            <w:t>GE.15-13326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081015    081015</w:t>
          </w:r>
        </w:p>
        <w:p w:rsidR="00953C90" w:rsidRPr="00953C90" w:rsidRDefault="00953C90" w:rsidP="00953C9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322A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*1513326*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953C90" w:rsidRDefault="00953C90" w:rsidP="00953C9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EA221EE" wp14:editId="4CFC5B8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3C90" w:rsidRPr="00953C90" w:rsidRDefault="00953C90" w:rsidP="00953C9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E6" w:rsidRPr="00E06DFF" w:rsidRDefault="00E06DFF" w:rsidP="00E06DFF">
      <w:pPr>
        <w:pStyle w:val="Footer"/>
        <w:spacing w:after="80"/>
        <w:ind w:left="792"/>
        <w:rPr>
          <w:sz w:val="16"/>
        </w:rPr>
      </w:pPr>
      <w:r w:rsidRPr="00E06DFF">
        <w:rPr>
          <w:sz w:val="16"/>
        </w:rPr>
        <w:t>__________________</w:t>
      </w:r>
    </w:p>
  </w:footnote>
  <w:footnote w:type="continuationSeparator" w:id="0">
    <w:p w:rsidR="00A310E6" w:rsidRPr="00E06DFF" w:rsidRDefault="00E06DFF" w:rsidP="00E06DFF">
      <w:pPr>
        <w:pStyle w:val="Footer"/>
        <w:spacing w:after="80"/>
        <w:ind w:left="792"/>
        <w:rPr>
          <w:sz w:val="16"/>
        </w:rPr>
      </w:pPr>
      <w:r w:rsidRPr="00E06DFF">
        <w:rPr>
          <w:sz w:val="16"/>
        </w:rPr>
        <w:t>__________________</w:t>
      </w:r>
    </w:p>
  </w:footnote>
  <w:footnote w:id="1">
    <w:p w:rsidR="00E06DFF" w:rsidRPr="00E06DFF" w:rsidRDefault="00E06DFF" w:rsidP="00E06DF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06DFF">
        <w:rPr>
          <w:color w:val="943634" w:themeColor="accent2" w:themeShade="BF"/>
          <w:spacing w:val="-2"/>
          <w:szCs w:val="17"/>
        </w:rPr>
        <w:tab/>
      </w:r>
      <w:r w:rsidRPr="00E06DFF">
        <w:rPr>
          <w:rStyle w:val="FootnoteReference"/>
          <w:color w:val="943634" w:themeColor="accent2" w:themeShade="BF"/>
          <w:spacing w:val="-2"/>
          <w:szCs w:val="17"/>
          <w:vertAlign w:val="baseline"/>
          <w:lang w:val="fr-CH"/>
        </w:rPr>
        <w:t>*</w:t>
      </w:r>
      <w:r w:rsidRPr="00E06DFF">
        <w:rPr>
          <w:color w:val="943634" w:themeColor="accent2" w:themeShade="BF"/>
          <w:spacing w:val="-2"/>
          <w:szCs w:val="17"/>
          <w:lang w:val="fr-CH"/>
        </w:rPr>
        <w:tab/>
      </w:r>
      <w:r w:rsidRPr="00E06DFF">
        <w:t xml:space="preserve">Conformément au programme de travail du Comité des transports intérieurs pour la période 2012-2016 (ECE/TRANS/224, par. 94, et ECE/TRANS/2012/12, </w:t>
      </w:r>
      <w:r>
        <w:t>activité </w:t>
      </w:r>
      <w:r w:rsidRPr="00E06DFF">
        <w:t>02.4), le Forum mondial a pour mission d</w:t>
      </w:r>
      <w:r w:rsidR="003B5A13">
        <w:t>’</w:t>
      </w:r>
      <w:r w:rsidRPr="00E06DFF">
        <w:t>élaborer, d</w:t>
      </w:r>
      <w:r w:rsidR="003B5A13">
        <w:t>’</w:t>
      </w:r>
      <w:r w:rsidRPr="00E06DFF">
        <w:t>harmoniser et de mettre à jour les Règlements en vue d</w:t>
      </w:r>
      <w:r w:rsidR="003B5A13">
        <w:t>’</w:t>
      </w:r>
      <w:r w:rsidRPr="00E06DFF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953C90" w:rsidTr="00953C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53C90" w:rsidRPr="00953C90" w:rsidRDefault="00953C90" w:rsidP="00953C9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322A8">
            <w:rPr>
              <w:b/>
              <w:color w:val="000000"/>
            </w:rPr>
            <w:t>ECE/TRANS/WP.29/GRE/2015/41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953C90" w:rsidRDefault="00953C90" w:rsidP="00953C90">
          <w:pPr>
            <w:pStyle w:val="Header"/>
          </w:pPr>
        </w:p>
      </w:tc>
    </w:tr>
  </w:tbl>
  <w:p w:rsidR="00953C90" w:rsidRPr="00953C90" w:rsidRDefault="00953C90" w:rsidP="00953C9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953C90" w:rsidTr="00953C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53C90" w:rsidRDefault="00953C90" w:rsidP="00953C90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953C90" w:rsidRPr="00953C90" w:rsidRDefault="00953C90" w:rsidP="00953C9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322A8">
            <w:rPr>
              <w:b/>
              <w:color w:val="000000"/>
            </w:rPr>
            <w:t>ECE/TRANS/WP.29/GRE/2015/41</w:t>
          </w:r>
          <w:r>
            <w:rPr>
              <w:b/>
              <w:color w:val="000000"/>
            </w:rPr>
            <w:fldChar w:fldCharType="end"/>
          </w:r>
        </w:p>
      </w:tc>
    </w:tr>
  </w:tbl>
  <w:p w:rsidR="00953C90" w:rsidRPr="00953C90" w:rsidRDefault="00953C90" w:rsidP="00953C9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953C90" w:rsidTr="00953C9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53C90" w:rsidRDefault="00953C90" w:rsidP="00953C9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53C90" w:rsidRPr="00953C90" w:rsidRDefault="00953C90" w:rsidP="00953C9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53C90" w:rsidRDefault="00953C90" w:rsidP="00953C90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953C90" w:rsidRPr="00953C90" w:rsidRDefault="00953C90" w:rsidP="00953C9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/TRANS/WP.29/GRE/2015/41</w:t>
          </w:r>
        </w:p>
      </w:tc>
    </w:tr>
    <w:tr w:rsidR="00953C90" w:rsidRPr="00953C90" w:rsidTr="00953C9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3C90" w:rsidRPr="00953C90" w:rsidRDefault="00953C90" w:rsidP="00953C90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D4A8835" wp14:editId="3F5829C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3C90" w:rsidRPr="00953C90" w:rsidRDefault="00953C90" w:rsidP="00953C90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3C90" w:rsidRPr="00953C90" w:rsidRDefault="00953C90" w:rsidP="00953C9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3C90" w:rsidRPr="00E06DFF" w:rsidRDefault="00953C90" w:rsidP="00953C90">
          <w:pPr>
            <w:pStyle w:val="Distribution"/>
            <w:rPr>
              <w:color w:val="000000"/>
              <w:lang w:val="fr-CH"/>
            </w:rPr>
          </w:pPr>
          <w:r w:rsidRPr="00E06DFF">
            <w:rPr>
              <w:color w:val="000000"/>
              <w:lang w:val="fr-CH"/>
            </w:rPr>
            <w:t>Distr. générale</w:t>
          </w:r>
        </w:p>
        <w:p w:rsidR="00953C90" w:rsidRPr="00E06DFF" w:rsidRDefault="00953C90" w:rsidP="00953C90">
          <w:pPr>
            <w:pStyle w:val="Publication"/>
            <w:rPr>
              <w:color w:val="000000"/>
              <w:lang w:val="fr-CH"/>
            </w:rPr>
          </w:pPr>
          <w:r w:rsidRPr="00E06DFF">
            <w:rPr>
              <w:color w:val="000000"/>
              <w:lang w:val="fr-CH"/>
            </w:rPr>
            <w:t>6 août 2015</w:t>
          </w:r>
        </w:p>
        <w:p w:rsidR="00953C90" w:rsidRPr="00E06DFF" w:rsidRDefault="00953C90" w:rsidP="00953C90">
          <w:pPr>
            <w:rPr>
              <w:lang w:val="fr-CH"/>
            </w:rPr>
          </w:pPr>
          <w:r w:rsidRPr="00E06DFF">
            <w:rPr>
              <w:lang w:val="fr-CH"/>
            </w:rPr>
            <w:t>Français</w:t>
          </w:r>
        </w:p>
        <w:p w:rsidR="00953C90" w:rsidRPr="00E06DFF" w:rsidRDefault="00953C90" w:rsidP="00953C90">
          <w:pPr>
            <w:pStyle w:val="Original"/>
            <w:rPr>
              <w:color w:val="000000"/>
              <w:lang w:val="fr-CH"/>
            </w:rPr>
          </w:pPr>
          <w:r w:rsidRPr="00E06DFF">
            <w:rPr>
              <w:color w:val="000000"/>
              <w:lang w:val="fr-CH"/>
            </w:rPr>
            <w:t>Original : anglais</w:t>
          </w:r>
        </w:p>
      </w:tc>
    </w:tr>
  </w:tbl>
  <w:p w:rsidR="00953C90" w:rsidRPr="00E06DFF" w:rsidRDefault="00953C90" w:rsidP="00953C90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85FF1"/>
    <w:multiLevelType w:val="singleLevel"/>
    <w:tmpl w:val="77FEB08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326*"/>
    <w:docVar w:name="CreationDt" w:val="10/8/2015 11:41 AM"/>
    <w:docVar w:name="DocCategory" w:val="Doc"/>
    <w:docVar w:name="DocType" w:val="Final"/>
    <w:docVar w:name="DutyStation" w:val="Geneva"/>
    <w:docVar w:name="FooterJN" w:val="GE.15-13326"/>
    <w:docVar w:name="jobn" w:val="GE.15-13326 (F)"/>
    <w:docVar w:name="jobnDT" w:val="GE.15-13326 (F)   081015"/>
    <w:docVar w:name="jobnDTDT" w:val="GE.15-13326 (F)   081015   081015"/>
    <w:docVar w:name="JobNo" w:val="GE.1513326F"/>
    <w:docVar w:name="JobNo2" w:val="GE.1517430F"/>
    <w:docVar w:name="LocalDrive" w:val="0"/>
    <w:docVar w:name="OandT" w:val="N.Morin"/>
    <w:docVar w:name="PaperSize" w:val="A4"/>
    <w:docVar w:name="sss1" w:val="ECE/TRANS/WP.29/GRE/2015/41"/>
    <w:docVar w:name="sss2" w:val="-"/>
    <w:docVar w:name="Symbol1" w:val="ECE/TRANS/WP.29/GRE/2015/41"/>
    <w:docVar w:name="Symbol2" w:val="-"/>
  </w:docVars>
  <w:rsids>
    <w:rsidRoot w:val="00A310E6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67975"/>
    <w:rsid w:val="001709F1"/>
    <w:rsid w:val="00177D83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2A8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17C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5A13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5A0B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5E6D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C90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10E6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6E37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371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B6933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36CD"/>
    <w:rsid w:val="00E0543E"/>
    <w:rsid w:val="00E06DFF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5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C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C9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C9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5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C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C9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C9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7E7F-3217-4B78-9150-0C4862B5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Benedicte Boudol</cp:lastModifiedBy>
  <cp:revision>2</cp:revision>
  <cp:lastPrinted>2015-10-08T12:09:00Z</cp:lastPrinted>
  <dcterms:created xsi:type="dcterms:W3CDTF">2015-10-09T08:25:00Z</dcterms:created>
  <dcterms:modified xsi:type="dcterms:W3CDTF">2015-10-09T08:25:00Z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1513326F</vt:lpwstr>
  </property>
  <property fmtid="{D5CDD505-2E9C-101B-9397-08002B2CF9AE}" pid="3" name="ODSRefJobNo">
    <vt:lpwstr>1517430F</vt:lpwstr>
  </property>
  <property fmtid="{D5CDD505-2E9C-101B-9397-08002B2CF9AE}" pid="4" name="Symbol1">
    <vt:lpwstr>ECE/TRANS/WP.29/GRE/2015/41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6 août 2015</vt:lpwstr>
  </property>
  <property fmtid="{D5CDD505-2E9C-101B-9397-08002B2CF9AE}" pid="12" name="Original">
    <vt:lpwstr>anglais</vt:lpwstr>
  </property>
  <property fmtid="{D5CDD505-2E9C-101B-9397-08002B2CF9AE}" pid="13" name="Release Date">
    <vt:lpwstr>081015</vt:lpwstr>
  </property>
</Properties>
</file>