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49" w:rsidRDefault="00842449" w:rsidP="00842449">
      <w:pPr>
        <w:spacing w:line="240" w:lineRule="auto"/>
        <w:rPr>
          <w:sz w:val="2"/>
        </w:rPr>
        <w:sectPr w:rsidR="00842449" w:rsidSect="008424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842449" w:rsidRDefault="00842449" w:rsidP="00842449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</w:t>
      </w:r>
      <w:r w:rsidR="0083395A">
        <w:rPr>
          <w:sz w:val="28"/>
        </w:rPr>
        <w:t>’</w:t>
      </w:r>
      <w:r>
        <w:rPr>
          <w:sz w:val="28"/>
        </w:rPr>
        <w:t>Europe</w:t>
      </w:r>
    </w:p>
    <w:p w:rsidR="00842449" w:rsidRDefault="00842449" w:rsidP="00842449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046691" w:rsidRDefault="00046691" w:rsidP="00046691">
      <w:pPr>
        <w:pStyle w:val="H1"/>
        <w:spacing w:after="120" w:line="300" w:lineRule="exact"/>
        <w:rPr>
          <w:sz w:val="28"/>
          <w:lang w:val="fr-CH"/>
        </w:rPr>
      </w:pPr>
      <w:r w:rsidRPr="00046691">
        <w:rPr>
          <w:sz w:val="28"/>
          <w:lang w:val="fr-CH"/>
        </w:rPr>
        <w:t>Forum mondial de l</w:t>
      </w:r>
      <w:r w:rsidR="0083395A">
        <w:rPr>
          <w:sz w:val="28"/>
          <w:lang w:val="fr-CH"/>
        </w:rPr>
        <w:t>’</w:t>
      </w:r>
      <w:r w:rsidRPr="00046691">
        <w:rPr>
          <w:sz w:val="28"/>
          <w:lang w:val="fr-CH"/>
        </w:rPr>
        <w:t xml:space="preserve">harmonisation </w:t>
      </w:r>
      <w:r>
        <w:rPr>
          <w:sz w:val="28"/>
          <w:lang w:val="fr-CH"/>
        </w:rPr>
        <w:br/>
      </w:r>
      <w:r w:rsidRPr="00046691">
        <w:rPr>
          <w:sz w:val="28"/>
          <w:lang w:val="fr-CH"/>
        </w:rPr>
        <w:t>des Règlements concernant les véhicules</w:t>
      </w:r>
    </w:p>
    <w:p w:rsidR="00DD5AB9" w:rsidRPr="00DD5AB9" w:rsidRDefault="00DD5AB9" w:rsidP="00DD5AB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046691">
        <w:rPr>
          <w:lang w:val="fr-CH"/>
        </w:rPr>
        <w:t>Groupe de travail de l</w:t>
      </w:r>
      <w:r w:rsidR="0083395A">
        <w:rPr>
          <w:lang w:val="fr-CH"/>
        </w:rPr>
        <w:t>’</w:t>
      </w:r>
      <w:r w:rsidRPr="00046691">
        <w:rPr>
          <w:lang w:val="fr-CH"/>
        </w:rPr>
        <w:t>éclairage et de la signalisation lumineuse</w:t>
      </w:r>
    </w:p>
    <w:p w:rsidR="00DD5AB9" w:rsidRDefault="00DD5AB9" w:rsidP="00DD5AB9">
      <w:pPr>
        <w:spacing w:before="120"/>
        <w:rPr>
          <w:b/>
        </w:rPr>
      </w:pPr>
      <w:r>
        <w:rPr>
          <w:b/>
          <w:bCs/>
        </w:rPr>
        <w:t xml:space="preserve">Soixante-quatorzième </w:t>
      </w:r>
      <w:r>
        <w:rPr>
          <w:b/>
        </w:rPr>
        <w:t>session</w:t>
      </w:r>
    </w:p>
    <w:p w:rsidR="00DD5AB9" w:rsidRDefault="00DD5AB9" w:rsidP="00DD5AB9">
      <w:r>
        <w:t xml:space="preserve">Genève, </w:t>
      </w:r>
      <w:r w:rsidRPr="00046691">
        <w:rPr>
          <w:lang w:val="fr-CH"/>
        </w:rPr>
        <w:t>20-23 octobre 2015</w:t>
      </w:r>
    </w:p>
    <w:p w:rsidR="00DD5AB9" w:rsidRDefault="00DD5AB9" w:rsidP="00DD5AB9">
      <w:r>
        <w:t xml:space="preserve">Point </w:t>
      </w:r>
      <w:r>
        <w:rPr>
          <w:bCs/>
        </w:rPr>
        <w:t xml:space="preserve">4) </w:t>
      </w:r>
      <w:r>
        <w:t>de l</w:t>
      </w:r>
      <w:r w:rsidR="0083395A">
        <w:t>’</w:t>
      </w:r>
      <w:r>
        <w:t>ordre du jour</w:t>
      </w:r>
    </w:p>
    <w:p w:rsidR="00046691" w:rsidRPr="00046691" w:rsidRDefault="002B7F9B" w:rsidP="002B7F9B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046691">
        <w:rPr>
          <w:lang w:val="fr-CH"/>
        </w:rPr>
        <w:t>Simplification des Règlements concernant l</w:t>
      </w:r>
      <w:r w:rsidR="0083395A">
        <w:rPr>
          <w:lang w:val="fr-CH"/>
        </w:rPr>
        <w:t>’</w:t>
      </w:r>
      <w:r w:rsidRPr="00046691">
        <w:rPr>
          <w:lang w:val="fr-CH"/>
        </w:rPr>
        <w:t xml:space="preserve">éclairage </w:t>
      </w:r>
      <w:r>
        <w:rPr>
          <w:lang w:val="fr-CH"/>
        </w:rPr>
        <w:br/>
      </w:r>
      <w:r w:rsidRPr="00046691">
        <w:rPr>
          <w:lang w:val="fr-CH"/>
        </w:rPr>
        <w:t>et la signalisation lumineuse</w:t>
      </w:r>
    </w:p>
    <w:p w:rsidR="00046691" w:rsidRPr="002B7F9B" w:rsidRDefault="00046691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2B7F9B" w:rsidRPr="002B7F9B" w:rsidRDefault="002B7F9B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2B7F9B" w:rsidRPr="002B7F9B" w:rsidRDefault="002B7F9B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046691" w:rsidRDefault="00046691" w:rsidP="002B7F9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046691">
        <w:rPr>
          <w:lang w:val="fr-CH"/>
        </w:rPr>
        <w:tab/>
      </w:r>
      <w:r w:rsidRPr="00046691">
        <w:rPr>
          <w:lang w:val="fr-CH"/>
        </w:rPr>
        <w:tab/>
        <w:t>Proposition de complément 12 à la version originale du Règlement n</w:t>
      </w:r>
      <w:r w:rsidRPr="00C26A2D">
        <w:rPr>
          <w:vertAlign w:val="superscript"/>
          <w:lang w:val="fr-CH"/>
        </w:rPr>
        <w:t>o</w:t>
      </w:r>
      <w:r w:rsidR="0083395A" w:rsidRPr="0083395A">
        <w:rPr>
          <w:lang w:val="fr-CH"/>
        </w:rPr>
        <w:t> </w:t>
      </w:r>
      <w:r w:rsidRPr="00046691">
        <w:rPr>
          <w:lang w:val="fr-CH"/>
        </w:rPr>
        <w:t>99 (Sources lumineuses à décharge)</w:t>
      </w:r>
    </w:p>
    <w:p w:rsidR="002B7F9B" w:rsidRPr="002B7F9B" w:rsidRDefault="002B7F9B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2B7F9B" w:rsidRPr="002B7F9B" w:rsidRDefault="002B7F9B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2B7F9B" w:rsidRPr="00C26A2D" w:rsidRDefault="002B7F9B" w:rsidP="00C26A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lang w:val="fr-CH"/>
        </w:rPr>
        <w:tab/>
      </w:r>
      <w:r>
        <w:rPr>
          <w:lang w:val="fr-CH"/>
        </w:rPr>
        <w:tab/>
      </w:r>
      <w:r w:rsidR="00046691" w:rsidRPr="00046691">
        <w:rPr>
          <w:lang w:val="fr-CH"/>
        </w:rPr>
        <w:t xml:space="preserve">Communication du groupe de travail informel </w:t>
      </w:r>
      <w:r>
        <w:rPr>
          <w:lang w:val="fr-CH"/>
        </w:rPr>
        <w:br/>
      </w:r>
      <w:r w:rsidR="00046691" w:rsidRPr="00046691">
        <w:rPr>
          <w:lang w:val="fr-CH"/>
        </w:rPr>
        <w:t xml:space="preserve">de la simplification des Règlements relatifs </w:t>
      </w:r>
      <w:r>
        <w:rPr>
          <w:lang w:val="fr-CH"/>
        </w:rPr>
        <w:br/>
      </w:r>
      <w:r w:rsidR="00046691" w:rsidRPr="00046691">
        <w:rPr>
          <w:lang w:val="fr-CH"/>
        </w:rPr>
        <w:t>à l</w:t>
      </w:r>
      <w:r w:rsidR="0083395A">
        <w:rPr>
          <w:lang w:val="fr-CH"/>
        </w:rPr>
        <w:t>’</w:t>
      </w:r>
      <w:r w:rsidR="00046691" w:rsidRPr="00046691">
        <w:rPr>
          <w:lang w:val="fr-CH"/>
        </w:rPr>
        <w:t>éclairage et à la signalisation lumineuse</w:t>
      </w:r>
      <w:r w:rsidR="00C26A2D" w:rsidRPr="00C26A2D">
        <w:rPr>
          <w:rFonts w:eastAsia="Calibri"/>
          <w:b w:val="0"/>
          <w:spacing w:val="5"/>
          <w:sz w:val="20"/>
          <w:szCs w:val="20"/>
          <w:lang w:val="fr-FR"/>
        </w:rPr>
        <w:footnoteReference w:customMarkFollows="1" w:id="1"/>
        <w:t>*</w:t>
      </w:r>
    </w:p>
    <w:p w:rsidR="002B7F9B" w:rsidRPr="00C26A2D" w:rsidRDefault="002B7F9B" w:rsidP="00C26A2D">
      <w:pPr>
        <w:pStyle w:val="SingleTxt"/>
        <w:spacing w:after="0" w:line="120" w:lineRule="exact"/>
        <w:rPr>
          <w:sz w:val="10"/>
          <w:lang w:val="fr-CH"/>
        </w:rPr>
      </w:pPr>
    </w:p>
    <w:p w:rsidR="00C26A2D" w:rsidRPr="002B7F9B" w:rsidRDefault="00C26A2D" w:rsidP="002B7F9B">
      <w:pPr>
        <w:pStyle w:val="SingleTxt"/>
        <w:spacing w:after="0" w:line="120" w:lineRule="exact"/>
        <w:rPr>
          <w:sz w:val="10"/>
          <w:lang w:val="fr-CH"/>
        </w:rPr>
      </w:pPr>
    </w:p>
    <w:p w:rsidR="00C26A2D" w:rsidRDefault="002B7F9B" w:rsidP="00C26A2D">
      <w:pPr>
        <w:pStyle w:val="SingleTxt"/>
        <w:rPr>
          <w:spacing w:val="0"/>
          <w:w w:val="100"/>
          <w:kern w:val="0"/>
          <w:sz w:val="24"/>
          <w:szCs w:val="24"/>
          <w:lang w:val="en-US"/>
        </w:rPr>
      </w:pPr>
      <w:r>
        <w:rPr>
          <w:lang w:val="fr-CH"/>
        </w:rPr>
        <w:tab/>
      </w:r>
      <w:r w:rsidR="00046691" w:rsidRPr="00046691">
        <w:rPr>
          <w:lang w:val="fr-CH"/>
        </w:rPr>
        <w:t>Le texte ci-après, établi par les experts du groupe de travail informel de la simplification des Règlements relatifs à l</w:t>
      </w:r>
      <w:r w:rsidR="0083395A">
        <w:rPr>
          <w:lang w:val="fr-CH"/>
        </w:rPr>
        <w:t>’</w:t>
      </w:r>
      <w:r w:rsidR="00046691" w:rsidRPr="00046691">
        <w:rPr>
          <w:lang w:val="fr-CH"/>
        </w:rPr>
        <w:t>éclairage et à la signalisation lumineuse</w:t>
      </w:r>
      <w:bookmarkStart w:id="2" w:name="OLE_LINK1"/>
      <w:r w:rsidR="00046691" w:rsidRPr="00046691">
        <w:rPr>
          <w:lang w:val="fr-CH"/>
        </w:rPr>
        <w:t xml:space="preserve">, </w:t>
      </w:r>
      <w:bookmarkEnd w:id="2"/>
      <w:r w:rsidR="00046691" w:rsidRPr="00046691">
        <w:rPr>
          <w:lang w:val="fr-CH"/>
        </w:rPr>
        <w:t>vise à simplifier la teneur et la procédure de modification des Règlements relatifs aux sources lumineuses. Les modifications qu</w:t>
      </w:r>
      <w:r w:rsidR="0083395A">
        <w:rPr>
          <w:lang w:val="fr-CH"/>
        </w:rPr>
        <w:t>’</w:t>
      </w:r>
      <w:r w:rsidR="00046691" w:rsidRPr="00046691">
        <w:rPr>
          <w:lang w:val="fr-CH"/>
        </w:rPr>
        <w:t>il est proposé d</w:t>
      </w:r>
      <w:r w:rsidR="0083395A">
        <w:rPr>
          <w:lang w:val="fr-CH"/>
        </w:rPr>
        <w:t>’</w:t>
      </w:r>
      <w:r w:rsidR="00046691" w:rsidRPr="00046691">
        <w:rPr>
          <w:lang w:val="fr-CH"/>
        </w:rPr>
        <w:t>apporter au texte actuel du Règlement sont indiquées en caractères gras pour les ajouts ou en caractères biffés pour les suppressions.</w:t>
      </w:r>
      <w:r w:rsidR="00046691" w:rsidRPr="00046691">
        <w:rPr>
          <w:lang w:val="en-US"/>
        </w:rPr>
        <w:t xml:space="preserve"> </w:t>
      </w:r>
    </w:p>
    <w:p w:rsidR="002B7F9B" w:rsidRDefault="002B7F9B">
      <w:pPr>
        <w:spacing w:line="240" w:lineRule="auto"/>
        <w:rPr>
          <w:b/>
        </w:rPr>
      </w:pPr>
      <w:r>
        <w:rPr>
          <w:b/>
        </w:rPr>
        <w:br w:type="page"/>
      </w:r>
    </w:p>
    <w:p w:rsidR="002B7F9B" w:rsidRDefault="0083395A" w:rsidP="0083395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 w:rsidR="002B7F9B" w:rsidRPr="002B0294">
        <w:t>I.</w:t>
      </w:r>
      <w:r w:rsidR="002B7F9B" w:rsidRPr="002B0294">
        <w:tab/>
        <w:t>Proposition</w:t>
      </w:r>
    </w:p>
    <w:p w:rsidR="0083395A" w:rsidRPr="0083395A" w:rsidRDefault="0083395A" w:rsidP="0083395A">
      <w:pPr>
        <w:spacing w:line="120" w:lineRule="exact"/>
        <w:rPr>
          <w:sz w:val="10"/>
        </w:rPr>
      </w:pPr>
    </w:p>
    <w:p w:rsidR="0083395A" w:rsidRPr="0083395A" w:rsidRDefault="0083395A" w:rsidP="0083395A">
      <w:pPr>
        <w:spacing w:line="120" w:lineRule="exact"/>
        <w:rPr>
          <w:sz w:val="10"/>
        </w:rPr>
      </w:pPr>
    </w:p>
    <w:p w:rsidR="002B7F9B" w:rsidRPr="002B0294" w:rsidRDefault="002B7F9B" w:rsidP="0083395A">
      <w:pPr>
        <w:pStyle w:val="SingleTxt"/>
        <w:rPr>
          <w:lang w:val="fr-CH"/>
        </w:rPr>
      </w:pPr>
      <w:r w:rsidRPr="002B0294">
        <w:rPr>
          <w:i/>
          <w:lang w:val="fr-CH"/>
        </w:rPr>
        <w:t>Titre</w:t>
      </w:r>
      <w:r w:rsidRPr="0083395A">
        <w:rPr>
          <w:lang w:val="fr-CH"/>
        </w:rPr>
        <w:t>,</w:t>
      </w:r>
      <w:r w:rsidRPr="002B0294">
        <w:rPr>
          <w:lang w:val="fr-CH"/>
        </w:rPr>
        <w:t xml:space="preserve"> sans objet en français.</w:t>
      </w:r>
    </w:p>
    <w:p w:rsidR="002B7F9B" w:rsidRPr="002B0294" w:rsidRDefault="002B7F9B" w:rsidP="0083395A">
      <w:pPr>
        <w:pStyle w:val="SingleTxt"/>
        <w:rPr>
          <w:lang w:val="fr-CH"/>
        </w:rPr>
      </w:pPr>
      <w:r w:rsidRPr="002B0294">
        <w:rPr>
          <w:i/>
          <w:lang w:val="fr-CH"/>
        </w:rPr>
        <w:t>Paragraphe 1</w:t>
      </w:r>
      <w:r w:rsidRPr="0083395A">
        <w:rPr>
          <w:lang w:val="fr-CH"/>
        </w:rPr>
        <w:t xml:space="preserve">, </w:t>
      </w:r>
      <w:r w:rsidRPr="002B0294">
        <w:rPr>
          <w:lang w:val="fr-CH"/>
        </w:rPr>
        <w:t>modifier comme suit</w:t>
      </w:r>
      <w:r w:rsidR="00C32AC9">
        <w:rPr>
          <w:lang w:val="fr-CH"/>
        </w:rPr>
        <w:t> :</w:t>
      </w:r>
    </w:p>
    <w:p w:rsidR="002B7F9B" w:rsidRPr="002B0294" w:rsidRDefault="0083395A" w:rsidP="0083395A">
      <w:pPr>
        <w:pStyle w:val="SingleTxt"/>
        <w:rPr>
          <w:snapToGrid w:val="0"/>
        </w:rPr>
      </w:pPr>
      <w:bookmarkStart w:id="3" w:name="_Toc386202957"/>
      <w:r>
        <w:rPr>
          <w:snapToGrid w:val="0"/>
        </w:rPr>
        <w:t>« </w:t>
      </w:r>
      <w:r w:rsidR="002B7F9B" w:rsidRPr="002B0294">
        <w:rPr>
          <w:snapToGrid w:val="0"/>
        </w:rPr>
        <w:t>1.</w:t>
      </w:r>
      <w:r w:rsidR="00ED0A36">
        <w:rPr>
          <w:snapToGrid w:val="0"/>
        </w:rPr>
        <w:tab/>
      </w:r>
      <w:r w:rsidR="002B7F9B" w:rsidRPr="002B0294">
        <w:rPr>
          <w:snapToGrid w:val="0"/>
        </w:rPr>
        <w:tab/>
      </w:r>
      <w:bookmarkEnd w:id="3"/>
      <w:r w:rsidR="002B7F9B" w:rsidRPr="002B0294">
        <w:rPr>
          <w:snapToGrid w:val="0"/>
        </w:rPr>
        <w:t>Domaine d</w:t>
      </w:r>
      <w:r>
        <w:rPr>
          <w:snapToGrid w:val="0"/>
        </w:rPr>
        <w:t>’</w:t>
      </w:r>
      <w:r w:rsidR="002B7F9B" w:rsidRPr="002B0294">
        <w:rPr>
          <w:snapToGrid w:val="0"/>
        </w:rPr>
        <w:t>application</w:t>
      </w:r>
    </w:p>
    <w:p w:rsidR="002B7F9B" w:rsidRPr="002B0294" w:rsidRDefault="0083395A" w:rsidP="00ED0A36">
      <w:pPr>
        <w:pStyle w:val="SingleTxt"/>
        <w:ind w:left="2218" w:hanging="951"/>
        <w:rPr>
          <w:snapToGrid w:val="0"/>
        </w:rPr>
      </w:pPr>
      <w:r>
        <w:rPr>
          <w:snapToGrid w:val="0"/>
        </w:rPr>
        <w:tab/>
      </w:r>
      <w:r w:rsidR="00ED0A36">
        <w:rPr>
          <w:snapToGrid w:val="0"/>
        </w:rPr>
        <w:tab/>
      </w:r>
      <w:r w:rsidR="002B7F9B" w:rsidRPr="002B0294">
        <w:rPr>
          <w:snapToGrid w:val="0"/>
        </w:rPr>
        <w:t>Le présent Règlement s</w:t>
      </w:r>
      <w:r>
        <w:rPr>
          <w:snapToGrid w:val="0"/>
        </w:rPr>
        <w:t>’</w:t>
      </w:r>
      <w:r w:rsidR="002B7F9B" w:rsidRPr="002B0294">
        <w:rPr>
          <w:snapToGrid w:val="0"/>
        </w:rPr>
        <w:t>applique aux sources lumineuses à décharge présentées à l</w:t>
      </w:r>
      <w:r>
        <w:rPr>
          <w:snapToGrid w:val="0"/>
        </w:rPr>
        <w:t>’</w:t>
      </w:r>
      <w:r w:rsidR="002B7F9B" w:rsidRPr="002B0294">
        <w:rPr>
          <w:snapToGrid w:val="0"/>
        </w:rPr>
        <w:t>annexe 1 du présent Règlement, qui sont destinées aux projecteurs [</w:t>
      </w:r>
      <w:r w:rsidR="002B7F9B" w:rsidRPr="002B0294">
        <w:rPr>
          <w:strike/>
          <w:snapToGrid w:val="0"/>
        </w:rPr>
        <w:t>à décharge</w:t>
      </w:r>
      <w:r w:rsidR="002B7F9B" w:rsidRPr="002B0294">
        <w:rPr>
          <w:snapToGrid w:val="0"/>
        </w:rPr>
        <w:t>] homologués pour véhicules à moteur.</w:t>
      </w:r>
      <w:r>
        <w:rPr>
          <w:snapToGrid w:val="0"/>
        </w:rPr>
        <w:t> »</w:t>
      </w:r>
      <w:r w:rsidR="002B7F9B" w:rsidRPr="002B0294">
        <w:rPr>
          <w:snapToGrid w:val="0"/>
        </w:rPr>
        <w:t>.</w:t>
      </w:r>
    </w:p>
    <w:p w:rsidR="002B7F9B" w:rsidRPr="002B0294" w:rsidRDefault="002B7F9B" w:rsidP="0083395A">
      <w:pPr>
        <w:pStyle w:val="SingleTxt"/>
        <w:rPr>
          <w:snapToGrid w:val="0"/>
        </w:rPr>
      </w:pPr>
      <w:r w:rsidRPr="002B0294">
        <w:rPr>
          <w:i/>
          <w:snapToGrid w:val="0"/>
        </w:rPr>
        <w:t>Paragraphe 2.3.4</w:t>
      </w:r>
      <w:r w:rsidRPr="0083395A">
        <w:rPr>
          <w:snapToGrid w:val="0"/>
        </w:rPr>
        <w:t>,</w:t>
      </w:r>
      <w:r w:rsidRPr="002B0294">
        <w:rPr>
          <w:snapToGrid w:val="0"/>
        </w:rPr>
        <w:t xml:space="preserve"> modifier comme suit</w:t>
      </w:r>
      <w:r w:rsidR="00C32AC9">
        <w:rPr>
          <w:snapToGrid w:val="0"/>
        </w:rPr>
        <w:t> :</w:t>
      </w:r>
    </w:p>
    <w:p w:rsidR="002B7F9B" w:rsidRPr="002B0294" w:rsidRDefault="0083395A" w:rsidP="00ED0A36">
      <w:pPr>
        <w:pStyle w:val="SingleTxt"/>
        <w:ind w:left="2218" w:hanging="951"/>
        <w:rPr>
          <w:snapToGrid w:val="0"/>
        </w:rPr>
      </w:pPr>
      <w:r>
        <w:rPr>
          <w:snapToGrid w:val="0"/>
        </w:rPr>
        <w:t>« </w:t>
      </w:r>
      <w:r w:rsidR="002B7F9B" w:rsidRPr="002B0294">
        <w:rPr>
          <w:snapToGrid w:val="0"/>
        </w:rPr>
        <w:t>2.3.4</w:t>
      </w:r>
      <w:r w:rsidR="002B7F9B" w:rsidRPr="002B0294">
        <w:rPr>
          <w:snapToGrid w:val="0"/>
        </w:rPr>
        <w:tab/>
        <w:t>Dans le cas où le ballast n</w:t>
      </w:r>
      <w:r>
        <w:rPr>
          <w:snapToGrid w:val="0"/>
        </w:rPr>
        <w:t>’</w:t>
      </w:r>
      <w:r w:rsidR="002B7F9B" w:rsidRPr="002B0294">
        <w:rPr>
          <w:snapToGrid w:val="0"/>
        </w:rPr>
        <w:t>est pas intégré à la source lumineuse, le ballast utilisé pour l</w:t>
      </w:r>
      <w:r>
        <w:rPr>
          <w:snapToGrid w:val="0"/>
        </w:rPr>
        <w:t>’</w:t>
      </w:r>
      <w:r w:rsidR="002B7F9B" w:rsidRPr="002B0294">
        <w:rPr>
          <w:snapToGrid w:val="0"/>
        </w:rPr>
        <w:t>homologation de type de la source lumineuse doit porter les marques d</w:t>
      </w:r>
      <w:r>
        <w:rPr>
          <w:snapToGrid w:val="0"/>
        </w:rPr>
        <w:t>’</w:t>
      </w:r>
      <w:r w:rsidR="002B7F9B" w:rsidRPr="002B0294">
        <w:rPr>
          <w:snapToGrid w:val="0"/>
        </w:rPr>
        <w:t xml:space="preserve">identification du type et du modèle, ainsi que la tension et la puissance nominales, conformément à la feuille </w:t>
      </w:r>
      <w:r w:rsidR="002B7F9B" w:rsidRPr="002B0294">
        <w:rPr>
          <w:strike/>
          <w:snapToGrid w:val="0"/>
        </w:rPr>
        <w:t>de données concernant le projecteur</w:t>
      </w:r>
      <w:r w:rsidR="002B7F9B" w:rsidRPr="002B0294">
        <w:rPr>
          <w:snapToGrid w:val="0"/>
        </w:rPr>
        <w:t xml:space="preserve"> </w:t>
      </w:r>
      <w:r w:rsidR="002B7F9B" w:rsidRPr="002B0294">
        <w:rPr>
          <w:b/>
          <w:snapToGrid w:val="0"/>
        </w:rPr>
        <w:t>relative à</w:t>
      </w:r>
      <w:r w:rsidR="002B7F9B" w:rsidRPr="002B0294">
        <w:rPr>
          <w:snapToGrid w:val="0"/>
        </w:rPr>
        <w:t xml:space="preserve"> </w:t>
      </w:r>
      <w:r w:rsidR="002B7F9B" w:rsidRPr="002B0294">
        <w:rPr>
          <w:b/>
          <w:snapToGrid w:val="0"/>
        </w:rPr>
        <w:t>la source lumineuse à décharge visée</w:t>
      </w:r>
      <w:r w:rsidR="002B7F9B" w:rsidRPr="002B0294">
        <w:rPr>
          <w:snapToGrid w:val="0"/>
        </w:rPr>
        <w:t>.</w:t>
      </w:r>
      <w:r>
        <w:rPr>
          <w:snapToGrid w:val="0"/>
        </w:rPr>
        <w:t> »</w:t>
      </w:r>
    </w:p>
    <w:p w:rsidR="002B7F9B" w:rsidRPr="002B0294" w:rsidRDefault="002B7F9B" w:rsidP="0083395A">
      <w:pPr>
        <w:pStyle w:val="SingleTxt"/>
        <w:rPr>
          <w:snapToGrid w:val="0"/>
        </w:rPr>
      </w:pPr>
      <w:r w:rsidRPr="002B0294">
        <w:rPr>
          <w:i/>
          <w:snapToGrid w:val="0"/>
        </w:rPr>
        <w:t>Paragraphe 3.1.1</w:t>
      </w:r>
      <w:r w:rsidRPr="0083395A">
        <w:rPr>
          <w:snapToGrid w:val="0"/>
        </w:rPr>
        <w:t xml:space="preserve">, </w:t>
      </w:r>
      <w:r w:rsidRPr="002B0294">
        <w:rPr>
          <w:snapToGrid w:val="0"/>
        </w:rPr>
        <w:t>modifier comme suit</w:t>
      </w:r>
      <w:r w:rsidR="00C32AC9">
        <w:rPr>
          <w:snapToGrid w:val="0"/>
        </w:rPr>
        <w:t> :</w:t>
      </w:r>
    </w:p>
    <w:p w:rsidR="002B7F9B" w:rsidRPr="002B0294" w:rsidRDefault="0083395A" w:rsidP="00ED0A36">
      <w:pPr>
        <w:pStyle w:val="SingleTxt"/>
        <w:ind w:left="2218" w:hanging="951"/>
      </w:pPr>
      <w:r>
        <w:t>« </w:t>
      </w:r>
      <w:r w:rsidR="002B7F9B" w:rsidRPr="002B0294">
        <w:t>3.1.1</w:t>
      </w:r>
      <w:r w:rsidR="002B7F9B" w:rsidRPr="002B0294">
        <w:tab/>
      </w:r>
      <w:r w:rsidR="00F07E01">
        <w:rPr>
          <w:lang w:val="en-CA"/>
        </w:rPr>
        <w:t>“</w:t>
      </w:r>
      <w:r w:rsidR="002B7F9B" w:rsidRPr="002B0294">
        <w:t>Source lumineuse à décharge</w:t>
      </w:r>
      <w:r w:rsidR="00F07E01">
        <w:rPr>
          <w:lang w:val="en-US"/>
        </w:rPr>
        <w:t>”</w:t>
      </w:r>
      <w:r w:rsidR="00C32AC9">
        <w:t> :</w:t>
      </w:r>
      <w:r w:rsidR="002B7F9B" w:rsidRPr="002B0294">
        <w:t xml:space="preserve"> source lumineuse </w:t>
      </w:r>
      <w:r w:rsidR="002B7F9B" w:rsidRPr="002B0294">
        <w:rPr>
          <w:b/>
        </w:rPr>
        <w:t>dont l</w:t>
      </w:r>
      <w:r>
        <w:rPr>
          <w:b/>
        </w:rPr>
        <w:t>’</w:t>
      </w:r>
      <w:r w:rsidR="002B7F9B" w:rsidRPr="002B0294">
        <w:rPr>
          <w:b/>
        </w:rPr>
        <w:t xml:space="preserve">élément émettant le rayonnement visible est </w:t>
      </w:r>
      <w:r w:rsidR="002B7F9B" w:rsidRPr="002B0294">
        <w:rPr>
          <w:strike/>
        </w:rPr>
        <w:t>dans laquelle la lumière est produite par</w:t>
      </w:r>
      <w:r w:rsidR="002B7F9B" w:rsidRPr="002B0294">
        <w:t xml:space="preserve"> un arc à décharge </w:t>
      </w:r>
      <w:r w:rsidR="002B7F9B" w:rsidRPr="002B0294">
        <w:rPr>
          <w:strike/>
        </w:rPr>
        <w:t>stabilisé</w:t>
      </w:r>
      <w:r w:rsidR="002B7F9B" w:rsidRPr="002B0294">
        <w:t>.</w:t>
      </w:r>
      <w:r>
        <w:t> »</w:t>
      </w:r>
      <w:r w:rsidR="002B7F9B" w:rsidRPr="002B0294">
        <w:t>.</w:t>
      </w:r>
    </w:p>
    <w:p w:rsidR="002B7F9B" w:rsidRPr="002B0294" w:rsidRDefault="002B7F9B" w:rsidP="0083395A">
      <w:pPr>
        <w:pStyle w:val="SingleTxt"/>
      </w:pPr>
      <w:r w:rsidRPr="00ED0A36">
        <w:rPr>
          <w:i/>
        </w:rPr>
        <w:t>Ajouter un nouveau paragraphe</w:t>
      </w:r>
      <w:r w:rsidRPr="002B0294">
        <w:t>, libellé comme suit</w:t>
      </w:r>
      <w:r w:rsidR="00C32AC9">
        <w:t> :</w:t>
      </w:r>
    </w:p>
    <w:p w:rsidR="002B7F9B" w:rsidRPr="002B0294" w:rsidRDefault="0083395A" w:rsidP="00ED0A36">
      <w:pPr>
        <w:pStyle w:val="SingleTxt"/>
        <w:ind w:left="2218" w:hanging="951"/>
        <w:rPr>
          <w:rFonts w:ascii="Times New Roman Bold" w:hAnsi="Times New Roman Bold"/>
          <w:lang w:val="fr-CH"/>
        </w:rPr>
      </w:pPr>
      <w:r>
        <w:rPr>
          <w:lang w:val="fr-CH"/>
        </w:rPr>
        <w:t>« </w:t>
      </w:r>
      <w:r w:rsidR="002B7F9B" w:rsidRPr="0083395A">
        <w:rPr>
          <w:b/>
          <w:lang w:val="fr-CH"/>
        </w:rPr>
        <w:t>3.1.10</w:t>
      </w:r>
      <w:r w:rsidR="002B7F9B" w:rsidRPr="0083395A">
        <w:rPr>
          <w:b/>
          <w:lang w:val="fr-CH"/>
        </w:rPr>
        <w:tab/>
        <w:t>Unité d</w:t>
      </w:r>
      <w:r>
        <w:rPr>
          <w:b/>
          <w:lang w:val="fr-CH"/>
        </w:rPr>
        <w:t>’</w:t>
      </w:r>
      <w:r w:rsidR="002B7F9B" w:rsidRPr="0083395A">
        <w:rPr>
          <w:b/>
          <w:lang w:val="fr-CH"/>
        </w:rPr>
        <w:t>éclairage</w:t>
      </w:r>
      <w:r w:rsidR="00C32AC9">
        <w:rPr>
          <w:b/>
          <w:lang w:val="fr-CH"/>
        </w:rPr>
        <w:t> :</w:t>
      </w:r>
      <w:r w:rsidR="002B7F9B" w:rsidRPr="0083395A">
        <w:rPr>
          <w:b/>
          <w:lang w:val="fr-CH"/>
        </w:rPr>
        <w:t xml:space="preserve"> dispositif utilisant une source lumineuse et conçu pour éclairer</w:t>
      </w:r>
      <w:bookmarkStart w:id="4" w:name="insstart"/>
      <w:bookmarkEnd w:id="4"/>
      <w:r w:rsidR="002B7F9B" w:rsidRPr="0083395A">
        <w:rPr>
          <w:b/>
          <w:lang w:val="fr-CH"/>
        </w:rPr>
        <w:t xml:space="preserve"> la route, pour éclairer la plaque d</w:t>
      </w:r>
      <w:r>
        <w:rPr>
          <w:b/>
          <w:lang w:val="fr-CH"/>
        </w:rPr>
        <w:t>’</w:t>
      </w:r>
      <w:r w:rsidR="002B7F9B" w:rsidRPr="0083395A">
        <w:rPr>
          <w:b/>
          <w:lang w:val="fr-CH"/>
        </w:rPr>
        <w:t>immatriculation arrière ou pour émettre un signal lumineux à l</w:t>
      </w:r>
      <w:r>
        <w:rPr>
          <w:b/>
          <w:lang w:val="fr-CH"/>
        </w:rPr>
        <w:t>’</w:t>
      </w:r>
      <w:r w:rsidR="002B7F9B" w:rsidRPr="0083395A">
        <w:rPr>
          <w:b/>
          <w:lang w:val="fr-CH"/>
        </w:rPr>
        <w:t>intention des autres usagers</w:t>
      </w:r>
      <w:r w:rsidR="002B7F9B" w:rsidRPr="0083395A">
        <w:rPr>
          <w:rFonts w:ascii="Times New Roman Bold" w:hAnsi="Times New Roman Bold"/>
          <w:b/>
          <w:lang w:val="fr-CH"/>
        </w:rPr>
        <w:t>.</w:t>
      </w:r>
      <w:r>
        <w:rPr>
          <w:lang w:val="fr-CH"/>
        </w:rPr>
        <w:t> »</w:t>
      </w:r>
      <w:r w:rsidR="002B7F9B" w:rsidRPr="002B0294">
        <w:rPr>
          <w:rFonts w:ascii="Times New Roman Bold" w:hAnsi="Times New Roman Bold"/>
          <w:lang w:val="fr-CH"/>
        </w:rPr>
        <w:t>.</w:t>
      </w:r>
    </w:p>
    <w:p w:rsidR="002B7F9B" w:rsidRPr="002B0294" w:rsidRDefault="002B7F9B" w:rsidP="0083395A">
      <w:pPr>
        <w:pStyle w:val="SingleTxt"/>
      </w:pPr>
      <w:r w:rsidRPr="00ED0A36">
        <w:rPr>
          <w:i/>
        </w:rPr>
        <w:t>Ajouter un nouveau paragraphe</w:t>
      </w:r>
      <w:r w:rsidRPr="002B0294">
        <w:t>, libellé comme suit</w:t>
      </w:r>
      <w:r w:rsidR="00C32AC9">
        <w:t> :</w:t>
      </w:r>
    </w:p>
    <w:p w:rsidR="002B7F9B" w:rsidRPr="002B0294" w:rsidRDefault="0083395A" w:rsidP="00ED0A36">
      <w:pPr>
        <w:pStyle w:val="SingleTxt"/>
        <w:ind w:left="2218" w:hanging="951"/>
        <w:rPr>
          <w:lang w:val="fr-CH"/>
        </w:rPr>
      </w:pPr>
      <w:r>
        <w:rPr>
          <w:lang w:val="fr-CH"/>
        </w:rPr>
        <w:t>« </w:t>
      </w:r>
      <w:r w:rsidR="002B7F9B" w:rsidRPr="0083395A">
        <w:rPr>
          <w:b/>
          <w:lang w:val="fr-CH"/>
        </w:rPr>
        <w:t>3.2.3</w:t>
      </w:r>
      <w:r w:rsidR="002B7F9B" w:rsidRPr="0083395A">
        <w:rPr>
          <w:b/>
          <w:lang w:val="fr-CH"/>
        </w:rPr>
        <w:tab/>
        <w:t>L</w:t>
      </w:r>
      <w:r w:rsidRPr="0083395A">
        <w:rPr>
          <w:b/>
          <w:lang w:val="fr-CH"/>
        </w:rPr>
        <w:t>’</w:t>
      </w:r>
      <w:r w:rsidR="002B7F9B" w:rsidRPr="0083395A">
        <w:rPr>
          <w:b/>
          <w:lang w:val="fr-CH"/>
        </w:rPr>
        <w:t>arc à décharge doit être le seul élément de la source lumineuse à décharge qui produit et émet de la lumière lorsqu</w:t>
      </w:r>
      <w:r w:rsidRPr="0083395A">
        <w:rPr>
          <w:b/>
          <w:lang w:val="fr-CH"/>
        </w:rPr>
        <w:t>’</w:t>
      </w:r>
      <w:r w:rsidR="002B7F9B" w:rsidRPr="0083395A">
        <w:rPr>
          <w:b/>
          <w:lang w:val="fr-CH"/>
        </w:rPr>
        <w:t>il est mis sous tension.</w:t>
      </w:r>
      <w:r>
        <w:rPr>
          <w:lang w:val="fr-CH"/>
        </w:rPr>
        <w:t> »</w:t>
      </w:r>
      <w:r w:rsidR="002B7F9B" w:rsidRPr="002B0294">
        <w:rPr>
          <w:lang w:val="fr-CH"/>
        </w:rPr>
        <w:t>.</w:t>
      </w:r>
    </w:p>
    <w:p w:rsidR="002B7F9B" w:rsidRPr="002B0294" w:rsidRDefault="002B7F9B" w:rsidP="0083395A">
      <w:pPr>
        <w:pStyle w:val="SingleTxt"/>
        <w:rPr>
          <w:lang w:val="fr-CH"/>
        </w:rPr>
      </w:pPr>
      <w:r w:rsidRPr="002B0294">
        <w:rPr>
          <w:i/>
          <w:lang w:val="fr-CH"/>
        </w:rPr>
        <w:t>Paragraphe 3.9.2</w:t>
      </w:r>
      <w:r w:rsidRPr="00ED0A36">
        <w:rPr>
          <w:lang w:val="fr-CH"/>
        </w:rPr>
        <w:t>,</w:t>
      </w:r>
      <w:r w:rsidRPr="002B0294">
        <w:rPr>
          <w:lang w:val="fr-CH"/>
        </w:rPr>
        <w:t xml:space="preserve"> modifier comme suit</w:t>
      </w:r>
      <w:r w:rsidR="00C32AC9">
        <w:rPr>
          <w:lang w:val="fr-CH"/>
        </w:rPr>
        <w:t> :</w:t>
      </w:r>
    </w:p>
    <w:p w:rsidR="002B7F9B" w:rsidRPr="002B0294" w:rsidRDefault="0083395A" w:rsidP="00ED0A36">
      <w:pPr>
        <w:pStyle w:val="SingleTxt"/>
        <w:ind w:left="2218" w:hanging="951"/>
      </w:pPr>
      <w:r>
        <w:t>« </w:t>
      </w:r>
      <w:r w:rsidR="002B7F9B" w:rsidRPr="002B0294">
        <w:t>3.9.2</w:t>
      </w:r>
      <w:r w:rsidR="002B7F9B" w:rsidRPr="002B0294">
        <w:tab/>
        <w:t xml:space="preserve">Les définitions de la couleur de la lumière émise qui figurent dans </w:t>
      </w:r>
      <w:r w:rsidR="002B7F9B" w:rsidRPr="002B0294">
        <w:rPr>
          <w:b/>
          <w:strike/>
        </w:rPr>
        <w:t xml:space="preserve">[la partie B du] </w:t>
      </w:r>
      <w:r w:rsidR="002B7F9B" w:rsidRPr="002B0294">
        <w:t>le Règlement n</w:t>
      </w:r>
      <w:r w:rsidR="002B7F9B" w:rsidRPr="002B0294">
        <w:rPr>
          <w:vertAlign w:val="superscript"/>
        </w:rPr>
        <w:t>o</w:t>
      </w:r>
      <w:r>
        <w:rPr>
          <w:vertAlign w:val="superscript"/>
        </w:rPr>
        <w:t> </w:t>
      </w:r>
      <w:r w:rsidR="002B7F9B" w:rsidRPr="002B0294">
        <w:t>48 et ses séries d</w:t>
      </w:r>
      <w:r>
        <w:t>’</w:t>
      </w:r>
      <w:r w:rsidR="002B7F9B" w:rsidRPr="002B0294">
        <w:t>amendements en vigueur à la date de la demande d</w:t>
      </w:r>
      <w:r>
        <w:t>’</w:t>
      </w:r>
      <w:r w:rsidR="002B7F9B" w:rsidRPr="002B0294">
        <w:t>homologation de type s</w:t>
      </w:r>
      <w:r>
        <w:t>’</w:t>
      </w:r>
      <w:r w:rsidR="002B7F9B" w:rsidRPr="002B0294">
        <w:t>appliquent au présent Règlement.</w:t>
      </w:r>
      <w:r>
        <w:t> »</w:t>
      </w:r>
      <w:r w:rsidR="002B7F9B" w:rsidRPr="002B0294">
        <w:t>.</w:t>
      </w:r>
    </w:p>
    <w:p w:rsidR="002B7F9B" w:rsidRPr="002B0294" w:rsidRDefault="002B7F9B" w:rsidP="0083395A">
      <w:pPr>
        <w:pStyle w:val="SingleTxt"/>
      </w:pPr>
      <w:r w:rsidRPr="002B0294">
        <w:rPr>
          <w:i/>
        </w:rPr>
        <w:t>Annexe 1</w:t>
      </w:r>
      <w:r w:rsidRPr="00ED0A36">
        <w:t>,</w:t>
      </w:r>
      <w:r w:rsidRPr="002B0294">
        <w:rPr>
          <w:i/>
        </w:rPr>
        <w:t xml:space="preserve"> </w:t>
      </w:r>
      <w:r w:rsidRPr="002B0294">
        <w:t>remplacer par une nouvelle annexe 1, libellée comme suit</w:t>
      </w:r>
      <w:r w:rsidR="00C32AC9">
        <w:t> :</w:t>
      </w:r>
    </w:p>
    <w:p w:rsidR="002B7F9B" w:rsidRPr="002B0294" w:rsidRDefault="0083395A" w:rsidP="0083395A">
      <w:pPr>
        <w:pStyle w:val="SingleTxt"/>
      </w:pPr>
      <w:bookmarkStart w:id="5" w:name="_Toc386202964"/>
      <w:r>
        <w:t>« </w:t>
      </w:r>
      <w:r w:rsidR="002B7F9B" w:rsidRPr="0083395A">
        <w:rPr>
          <w:b/>
        </w:rPr>
        <w:t>Annexe 1</w:t>
      </w:r>
      <w:bookmarkEnd w:id="5"/>
    </w:p>
    <w:p w:rsidR="002B7F9B" w:rsidRPr="0083395A" w:rsidRDefault="002B7F9B" w:rsidP="0083395A">
      <w:pPr>
        <w:pStyle w:val="SingleTxt"/>
        <w:rPr>
          <w:b/>
        </w:rPr>
      </w:pPr>
      <w:bookmarkStart w:id="6" w:name="_Toc386202965"/>
      <w:r w:rsidRPr="0083395A">
        <w:rPr>
          <w:b/>
        </w:rPr>
        <w:t>Feuilles* relatives aux sources lumineuses à décharge</w:t>
      </w:r>
      <w:bookmarkEnd w:id="6"/>
    </w:p>
    <w:p w:rsidR="002B7F9B" w:rsidRDefault="002B7F9B" w:rsidP="0083395A">
      <w:pPr>
        <w:pStyle w:val="SingleTxt"/>
        <w:rPr>
          <w:b/>
        </w:rPr>
      </w:pPr>
      <w:r w:rsidRPr="0083395A">
        <w:rPr>
          <w:b/>
        </w:rPr>
        <w:t>Les feuilles relatives à la catégorie de sources lumineuses à décharge et le groupe auquel appartient cette catégorie, ainsi que les restrictions d</w:t>
      </w:r>
      <w:r w:rsidR="0083395A" w:rsidRPr="0083395A">
        <w:rPr>
          <w:b/>
        </w:rPr>
        <w:t>’</w:t>
      </w:r>
      <w:r w:rsidRPr="0083395A">
        <w:rPr>
          <w:b/>
        </w:rPr>
        <w:t>utilisation correspondantes, s</w:t>
      </w:r>
      <w:r w:rsidR="0083395A" w:rsidRPr="0083395A">
        <w:rPr>
          <w:b/>
        </w:rPr>
        <w:t>’</w:t>
      </w:r>
      <w:r w:rsidRPr="0083395A">
        <w:rPr>
          <w:b/>
        </w:rPr>
        <w:t>appliquent conformément à la Résolution [n</w:t>
      </w:r>
      <w:r w:rsidRPr="0083395A">
        <w:rPr>
          <w:b/>
          <w:vertAlign w:val="superscript"/>
        </w:rPr>
        <w:t>o</w:t>
      </w:r>
      <w:r w:rsidR="0083395A" w:rsidRPr="0083395A">
        <w:rPr>
          <w:b/>
          <w:vertAlign w:val="superscript"/>
        </w:rPr>
        <w:t> </w:t>
      </w:r>
      <w:r w:rsidRPr="0083395A">
        <w:rPr>
          <w:b/>
        </w:rPr>
        <w:t>y] ou à ses révisions ultérieures applicables au moment de la demande d</w:t>
      </w:r>
      <w:r w:rsidR="0083395A" w:rsidRPr="0083395A">
        <w:rPr>
          <w:b/>
        </w:rPr>
        <w:t>’</w:t>
      </w:r>
      <w:r w:rsidRPr="0083395A">
        <w:rPr>
          <w:b/>
        </w:rPr>
        <w:t>homologation de type de la source lumineuse à décharge.</w:t>
      </w:r>
    </w:p>
    <w:p w:rsidR="002B7F9B" w:rsidRPr="00705396" w:rsidRDefault="00705396" w:rsidP="00705396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right="1267" w:hanging="288"/>
        <w:rPr>
          <w:b/>
          <w:szCs w:val="17"/>
        </w:rPr>
      </w:pPr>
      <w:r>
        <w:rPr>
          <w:b/>
          <w:szCs w:val="17"/>
        </w:rPr>
        <w:tab/>
        <w:t>*</w:t>
      </w:r>
      <w:r>
        <w:rPr>
          <w:b/>
          <w:szCs w:val="17"/>
        </w:rPr>
        <w:tab/>
      </w:r>
      <w:r w:rsidR="002B7F9B" w:rsidRPr="00705396">
        <w:rPr>
          <w:b/>
          <w:szCs w:val="17"/>
        </w:rPr>
        <w:t xml:space="preserve">À </w:t>
      </w:r>
      <w:r w:rsidR="002B7F9B" w:rsidRPr="00705396">
        <w:rPr>
          <w:b/>
          <w:w w:val="100"/>
          <w:lang w:val="fr-CH"/>
        </w:rPr>
        <w:t>compter</w:t>
      </w:r>
      <w:r w:rsidR="002B7F9B" w:rsidRPr="00705396">
        <w:rPr>
          <w:b/>
          <w:szCs w:val="17"/>
        </w:rPr>
        <w:t xml:space="preserve"> du [date], les feuilles relatives aux sources lumineuses à décharge, la liste par groupe des catégories de </w:t>
      </w:r>
      <w:r w:rsidR="00AE471B">
        <w:rPr>
          <w:b/>
          <w:szCs w:val="17"/>
        </w:rPr>
        <w:t xml:space="preserve">sources lumineuses </w:t>
      </w:r>
      <w:r w:rsidR="002B7F9B" w:rsidRPr="00705396">
        <w:rPr>
          <w:b/>
          <w:szCs w:val="17"/>
        </w:rPr>
        <w:t>et les restrictions d</w:t>
      </w:r>
      <w:r w:rsidR="0083395A" w:rsidRPr="00705396">
        <w:rPr>
          <w:b/>
          <w:szCs w:val="17"/>
        </w:rPr>
        <w:t>’</w:t>
      </w:r>
      <w:r w:rsidR="002B7F9B" w:rsidRPr="00705396">
        <w:rPr>
          <w:b/>
          <w:szCs w:val="17"/>
        </w:rPr>
        <w:t>utilisation et numéros de feuille correspondants figurent dans la Résolution [n</w:t>
      </w:r>
      <w:r w:rsidR="002B7F9B" w:rsidRPr="00705396">
        <w:rPr>
          <w:b/>
          <w:szCs w:val="17"/>
          <w:vertAlign w:val="superscript"/>
        </w:rPr>
        <w:t>o</w:t>
      </w:r>
      <w:r w:rsidR="0083395A" w:rsidRPr="00705396">
        <w:rPr>
          <w:b/>
          <w:szCs w:val="17"/>
          <w:vertAlign w:val="superscript"/>
        </w:rPr>
        <w:t> </w:t>
      </w:r>
      <w:r w:rsidR="002B7F9B" w:rsidRPr="00705396">
        <w:rPr>
          <w:b/>
          <w:szCs w:val="17"/>
        </w:rPr>
        <w:t>y] publiée sous la cote ECE/TRANS/WP.29/11XX.</w:t>
      </w:r>
      <w:r w:rsidR="0083395A" w:rsidRPr="00705396">
        <w:rPr>
          <w:b/>
          <w:szCs w:val="17"/>
        </w:rPr>
        <w:t> »</w:t>
      </w:r>
      <w:r w:rsidR="002B7F9B" w:rsidRPr="00705396">
        <w:rPr>
          <w:b/>
          <w:szCs w:val="17"/>
        </w:rPr>
        <w:t>.</w:t>
      </w:r>
    </w:p>
    <w:p w:rsidR="002B7F9B" w:rsidRPr="002B0294" w:rsidRDefault="002B7F9B" w:rsidP="00ED0A36">
      <w:pPr>
        <w:pStyle w:val="SingleTxt"/>
        <w:keepNext/>
        <w:keepLines/>
      </w:pPr>
      <w:r w:rsidRPr="0083395A">
        <w:rPr>
          <w:i/>
        </w:rPr>
        <w:lastRenderedPageBreak/>
        <w:t>Annexe 4</w:t>
      </w:r>
      <w:r w:rsidRPr="002B0294">
        <w:t>,</w:t>
      </w:r>
    </w:p>
    <w:p w:rsidR="002B7F9B" w:rsidRPr="002B0294" w:rsidRDefault="002B7F9B" w:rsidP="0083395A">
      <w:pPr>
        <w:pStyle w:val="SingleTxt"/>
        <w:rPr>
          <w:i/>
        </w:rPr>
      </w:pPr>
      <w:r w:rsidRPr="002B0294">
        <w:rPr>
          <w:i/>
        </w:rPr>
        <w:t>Paragraphe 3</w:t>
      </w:r>
      <w:r w:rsidRPr="002B0294">
        <w:t>, modifier comme suit</w:t>
      </w:r>
      <w:r w:rsidR="00C32AC9">
        <w:t> :</w:t>
      </w:r>
    </w:p>
    <w:p w:rsidR="002B7F9B" w:rsidRPr="002B0294" w:rsidRDefault="0083395A" w:rsidP="0083395A">
      <w:pPr>
        <w:pStyle w:val="SingleTxt"/>
      </w:pPr>
      <w:r>
        <w:t>« </w:t>
      </w:r>
      <w:r w:rsidR="002B7F9B" w:rsidRPr="002B0294">
        <w:t>3.</w:t>
      </w:r>
      <w:r w:rsidR="002B7F9B" w:rsidRPr="002B0294">
        <w:tab/>
      </w:r>
      <w:r w:rsidR="00ED0A36">
        <w:tab/>
      </w:r>
      <w:r w:rsidR="002B7F9B" w:rsidRPr="002B0294">
        <w:t>Position de fonctionnement</w:t>
      </w:r>
    </w:p>
    <w:p w:rsidR="002B7F9B" w:rsidRPr="002B0294" w:rsidRDefault="00ED0A36" w:rsidP="00ED0A36">
      <w:pPr>
        <w:pStyle w:val="SingleTxt"/>
        <w:ind w:left="2218" w:hanging="951"/>
      </w:pPr>
      <w:r>
        <w:tab/>
      </w:r>
      <w:r>
        <w:tab/>
      </w:r>
      <w:r w:rsidR="002B7F9B" w:rsidRPr="002B0294">
        <w:t xml:space="preserve">La position de fonctionnement est horizontale avec une tolérance de </w:t>
      </w:r>
      <w:r w:rsidR="002B7F9B" w:rsidRPr="002B0294">
        <w:sym w:font="Symbol" w:char="F0B1"/>
      </w:r>
      <w:r w:rsidR="002B7F9B" w:rsidRPr="002B0294">
        <w:t>10°, le câble d</w:t>
      </w:r>
      <w:r w:rsidR="0083395A">
        <w:t>’</w:t>
      </w:r>
      <w:r w:rsidR="002B7F9B" w:rsidRPr="002B0294">
        <w:t xml:space="preserve">alimentation étant dirigé vers le bas. Les positions pour le vieillissement et les essais doivent être identiques. Si la </w:t>
      </w:r>
      <w:r w:rsidR="002B7F9B" w:rsidRPr="002B0294">
        <w:rPr>
          <w:strike/>
        </w:rPr>
        <w:t>lampe</w:t>
      </w:r>
      <w:r w:rsidR="002B7F9B" w:rsidRPr="002B0294">
        <w:t xml:space="preserve"> </w:t>
      </w:r>
      <w:r w:rsidR="002B7F9B" w:rsidRPr="002B0294">
        <w:rPr>
          <w:b/>
        </w:rPr>
        <w:t xml:space="preserve">source lumineuse à décharge </w:t>
      </w:r>
      <w:r w:rsidR="002B7F9B" w:rsidRPr="002B0294">
        <w:t>est mise accidentellement en fonctionnement alors qu</w:t>
      </w:r>
      <w:r w:rsidR="0083395A">
        <w:t>’</w:t>
      </w:r>
      <w:r w:rsidR="002B7F9B" w:rsidRPr="002B0294">
        <w:t>elle est placée dans le mauvais sens, elle doit subir de nouveau les opérations de vieillissement avant le début des mesures. …</w:t>
      </w:r>
      <w:r w:rsidR="0083395A">
        <w:t> »</w:t>
      </w:r>
      <w:r w:rsidR="002B7F9B" w:rsidRPr="002B0294">
        <w:t>.</w:t>
      </w:r>
    </w:p>
    <w:p w:rsidR="002B7F9B" w:rsidRPr="002B0294" w:rsidRDefault="002B7F9B" w:rsidP="0083395A">
      <w:pPr>
        <w:pStyle w:val="SingleTxt"/>
      </w:pPr>
      <w:r w:rsidRPr="002B0294">
        <w:rPr>
          <w:i/>
        </w:rPr>
        <w:t>Paragraphe 10</w:t>
      </w:r>
      <w:r w:rsidRPr="00ED0A36">
        <w:t xml:space="preserve">, </w:t>
      </w:r>
      <w:r w:rsidRPr="002B0294">
        <w:t>supprimer la figure et modifier comme suit</w:t>
      </w:r>
      <w:r w:rsidR="00C32AC9">
        <w:t> :</w:t>
      </w:r>
    </w:p>
    <w:p w:rsidR="002B7F9B" w:rsidRPr="002B0294" w:rsidRDefault="00ED0A36" w:rsidP="0083395A">
      <w:pPr>
        <w:pStyle w:val="SingleTxt"/>
        <w:rPr>
          <w:lang w:eastAsia="de-DE"/>
        </w:rPr>
      </w:pPr>
      <w:r>
        <w:rPr>
          <w:lang w:eastAsia="de-DE"/>
        </w:rPr>
        <w:t>« </w:t>
      </w:r>
      <w:r w:rsidR="002B7F9B" w:rsidRPr="002B0294">
        <w:rPr>
          <w:lang w:eastAsia="de-DE"/>
        </w:rPr>
        <w:t>10.</w:t>
      </w:r>
      <w:r>
        <w:rPr>
          <w:lang w:eastAsia="de-DE"/>
        </w:rPr>
        <w:tab/>
      </w:r>
      <w:r>
        <w:rPr>
          <w:lang w:eastAsia="de-DE"/>
        </w:rPr>
        <w:tab/>
      </w:r>
      <w:r w:rsidR="002B7F9B" w:rsidRPr="002B0294">
        <w:rPr>
          <w:snapToGrid w:val="0"/>
        </w:rPr>
        <w:t>Couleur</w:t>
      </w:r>
    </w:p>
    <w:p w:rsidR="002B7F9B" w:rsidRPr="002B0294" w:rsidRDefault="002B7F9B" w:rsidP="00ED0A36">
      <w:pPr>
        <w:pStyle w:val="SingleTxt"/>
        <w:ind w:left="2218" w:hanging="951"/>
        <w:rPr>
          <w:lang w:eastAsia="de-DE"/>
        </w:rPr>
      </w:pPr>
      <w:r w:rsidRPr="002B0294">
        <w:rPr>
          <w:lang w:eastAsia="de-DE"/>
        </w:rPr>
        <w:tab/>
      </w:r>
      <w:r w:rsidR="00ED0A36">
        <w:rPr>
          <w:lang w:eastAsia="de-DE"/>
        </w:rPr>
        <w:tab/>
      </w:r>
      <w:r w:rsidRPr="002B0294">
        <w:rPr>
          <w:lang w:eastAsia="de-DE"/>
        </w:rPr>
        <w:t>La couleur de la source lumineuse doit être mesurée sur une sphère d</w:t>
      </w:r>
      <w:r w:rsidR="0083395A">
        <w:rPr>
          <w:lang w:eastAsia="de-DE"/>
        </w:rPr>
        <w:t>’</w:t>
      </w:r>
      <w:r w:rsidRPr="002B0294">
        <w:rPr>
          <w:lang w:eastAsia="de-DE"/>
        </w:rPr>
        <w:t>intégration à l</w:t>
      </w:r>
      <w:r w:rsidR="0083395A">
        <w:rPr>
          <w:lang w:eastAsia="de-DE"/>
        </w:rPr>
        <w:t>’</w:t>
      </w:r>
      <w:r w:rsidRPr="002B0294">
        <w:rPr>
          <w:lang w:eastAsia="de-DE"/>
        </w:rPr>
        <w:t>aide d</w:t>
      </w:r>
      <w:r w:rsidR="0083395A">
        <w:rPr>
          <w:lang w:eastAsia="de-DE"/>
        </w:rPr>
        <w:t>’</w:t>
      </w:r>
      <w:r w:rsidRPr="002B0294">
        <w:rPr>
          <w:lang w:eastAsia="de-DE"/>
        </w:rPr>
        <w:t xml:space="preserve">un système de mesure indiquant les coordonnées chromatiques CEI de la lumière reçue avec un degré de résolution de </w:t>
      </w:r>
      <w:r w:rsidRPr="002B0294">
        <w:rPr>
          <w:lang w:eastAsia="de-DE"/>
        </w:rPr>
        <w:sym w:font="Symbol" w:char="F0B1"/>
      </w:r>
      <w:r w:rsidR="001F4780">
        <w:rPr>
          <w:lang w:eastAsia="de-DE"/>
        </w:rPr>
        <w:t> </w:t>
      </w:r>
      <w:r w:rsidRPr="002B0294">
        <w:rPr>
          <w:lang w:eastAsia="de-DE"/>
        </w:rPr>
        <w:t>0,002.</w:t>
      </w:r>
      <w:r w:rsidRPr="002B0294">
        <w:rPr>
          <w:strike/>
          <w:lang w:eastAsia="de-DE"/>
        </w:rPr>
        <w:t xml:space="preserve"> La figure ci-après montre la zone de tolérance de couleur pour la lumière blanche et la zone de tolérance restreinte pour les sources lumineuses à décharge D1R, D1S, D2R, D2S, D3R, D3S, D4R, D4S, D5S, D6S et D8S.</w:t>
      </w:r>
      <w:r w:rsidR="0083395A">
        <w:rPr>
          <w:lang w:eastAsia="de-DE"/>
        </w:rPr>
        <w:t> »</w:t>
      </w:r>
      <w:r w:rsidRPr="002B0294">
        <w:rPr>
          <w:lang w:eastAsia="de-DE"/>
        </w:rPr>
        <w:t>.</w:t>
      </w:r>
    </w:p>
    <w:p w:rsidR="002B7F9B" w:rsidRPr="002B0294" w:rsidRDefault="002B7F9B" w:rsidP="0083395A">
      <w:pPr>
        <w:pStyle w:val="SingleTxt"/>
      </w:pPr>
      <w:r w:rsidRPr="002B0294">
        <w:rPr>
          <w:i/>
        </w:rPr>
        <w:t>Annexe 5</w:t>
      </w:r>
      <w:r w:rsidRPr="00ED0A36">
        <w:t>,</w:t>
      </w:r>
      <w:r w:rsidRPr="002B0294">
        <w:rPr>
          <w:i/>
        </w:rPr>
        <w:t xml:space="preserve"> </w:t>
      </w:r>
      <w:r w:rsidRPr="002B0294">
        <w:t>modifier comme suit</w:t>
      </w:r>
      <w:r w:rsidR="00C32AC9">
        <w:t> :</w:t>
      </w:r>
    </w:p>
    <w:p w:rsidR="002B7F9B" w:rsidRPr="002B0294" w:rsidRDefault="00ED0A36" w:rsidP="0083395A">
      <w:pPr>
        <w:pStyle w:val="SingleTxt"/>
      </w:pPr>
      <w:r>
        <w:t>« </w:t>
      </w:r>
      <w:r w:rsidR="002B7F9B" w:rsidRPr="002B0294">
        <w:t>…</w:t>
      </w:r>
    </w:p>
    <w:p w:rsidR="002B7F9B" w:rsidRPr="002B0294" w:rsidRDefault="00ED0A36" w:rsidP="0083395A">
      <w:pPr>
        <w:pStyle w:val="SingleTxt"/>
      </w:pPr>
      <w:r>
        <w:tab/>
      </w:r>
      <w:r w:rsidR="002B7F9B" w:rsidRPr="002B0294">
        <w:t>La source lumineuse à décharge doit être placée comme indiqué</w:t>
      </w:r>
      <w:r w:rsidR="00C32AC9">
        <w:rPr>
          <w:strike/>
        </w:rPr>
        <w:t> :</w:t>
      </w:r>
      <w:r w:rsidR="002B7F9B" w:rsidRPr="002B0294">
        <w:t xml:space="preserve"> </w:t>
      </w:r>
      <w:r w:rsidR="002B7F9B" w:rsidRPr="002B0294">
        <w:rPr>
          <w:b/>
        </w:rPr>
        <w:t>dans le croquis principal de la catégorie correspondante.</w:t>
      </w:r>
    </w:p>
    <w:p w:rsidR="002B7F9B" w:rsidRDefault="00ED0A36" w:rsidP="002B7F9B">
      <w:pPr>
        <w:pStyle w:val="SingleTxt"/>
        <w:rPr>
          <w:strike/>
        </w:rPr>
      </w:pPr>
      <w:r w:rsidRPr="00ED0A36">
        <w:tab/>
      </w:r>
      <w:r w:rsidR="002B7F9B" w:rsidRPr="002B0294">
        <w:rPr>
          <w:strike/>
        </w:rPr>
        <w:t>sur les figures 1 ou 2 des feuilles DxR/1 ou DxS/1;</w:t>
      </w:r>
      <w:r w:rsidR="0083395A">
        <w:rPr>
          <w:strike/>
        </w:rPr>
        <w:t xml:space="preserve">  </w:t>
      </w:r>
    </w:p>
    <w:p w:rsidR="002B7F9B" w:rsidRDefault="00ED0A36" w:rsidP="002B7F9B">
      <w:pPr>
        <w:pStyle w:val="SingleTxt"/>
        <w:rPr>
          <w:strike/>
        </w:rPr>
      </w:pPr>
      <w:r w:rsidRPr="00ED0A36">
        <w:tab/>
      </w:r>
      <w:r w:rsidR="002B7F9B" w:rsidRPr="002B0294">
        <w:rPr>
          <w:strike/>
        </w:rPr>
        <w:t>sur les figures 3 ou 4 des feuilles DxR/2 ou DxS/2.</w:t>
      </w:r>
      <w:r w:rsidR="0083395A">
        <w:rPr>
          <w:strike/>
        </w:rPr>
        <w:t xml:space="preserve">  </w:t>
      </w:r>
    </w:p>
    <w:p w:rsidR="00F07E01" w:rsidRDefault="00F07E01" w:rsidP="004F0FF0">
      <w:pPr>
        <w:pStyle w:val="SingleTxt"/>
        <w:spacing w:line="240" w:lineRule="auto"/>
        <w:rPr>
          <w:strike/>
        </w:rPr>
      </w:pPr>
      <w:r>
        <w:rPr>
          <w:noProof/>
          <w:lang w:val="en-GB" w:eastAsia="en-GB"/>
        </w:rPr>
        <w:drawing>
          <wp:inline distT="0" distB="0" distL="0" distR="0">
            <wp:extent cx="4753155" cy="2329132"/>
            <wp:effectExtent l="0" t="0" r="0" b="0"/>
            <wp:docPr id="39" name="Picture 39" descr="Annex 5-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nnex 5-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436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D7F" w:rsidRPr="000B0D7F" w:rsidRDefault="000B0D7F" w:rsidP="000B0D7F">
      <w:pPr>
        <w:pStyle w:val="SingleTxt"/>
        <w:spacing w:after="0" w:line="120" w:lineRule="exact"/>
        <w:rPr>
          <w:sz w:val="10"/>
        </w:rPr>
      </w:pPr>
    </w:p>
    <w:p w:rsidR="000B0D7F" w:rsidRPr="000B0D7F" w:rsidRDefault="000B0D7F" w:rsidP="000B0D7F">
      <w:pPr>
        <w:pStyle w:val="SingleTxt"/>
        <w:spacing w:after="0" w:line="120" w:lineRule="exact"/>
        <w:rPr>
          <w:sz w:val="10"/>
        </w:rPr>
      </w:pPr>
    </w:p>
    <w:p w:rsidR="002B7F9B" w:rsidRPr="002B0294" w:rsidRDefault="003F56DD" w:rsidP="0083395A">
      <w:pPr>
        <w:pStyle w:val="SingleTxt"/>
      </w:pPr>
      <w:r>
        <w:tab/>
      </w:r>
      <w:r w:rsidR="002B7F9B" w:rsidRPr="002B0294">
        <w:t>Un système optique doit projeter …</w:t>
      </w:r>
    </w:p>
    <w:p w:rsidR="002B7F9B" w:rsidRPr="002B0294" w:rsidRDefault="003F56DD" w:rsidP="0083395A">
      <w:pPr>
        <w:pStyle w:val="SingleTxt"/>
      </w:pPr>
      <w:r>
        <w:tab/>
      </w:r>
      <w:r w:rsidR="002B7F9B" w:rsidRPr="002B0294">
        <w:t>…</w:t>
      </w:r>
      <w:r w:rsidR="00F07E01">
        <w:t xml:space="preserve"> </w:t>
      </w:r>
    </w:p>
    <w:p w:rsidR="002B7F9B" w:rsidRPr="002B0294" w:rsidRDefault="003F56DD" w:rsidP="0083395A">
      <w:pPr>
        <w:pStyle w:val="SingleTxt"/>
      </w:pPr>
      <w:r>
        <w:tab/>
      </w:r>
      <w:r w:rsidR="002B7F9B" w:rsidRPr="002B0294">
        <w:t>D = (1 + 1/M)d + c + (b1 + b2)/2. (c, b1 et b2 sont indiqués sur les feuilles</w:t>
      </w:r>
      <w:r w:rsidR="002B7F9B" w:rsidRPr="002B0294">
        <w:rPr>
          <w:b/>
        </w:rPr>
        <w:t xml:space="preserve"> prescrivant la position des électrodes</w:t>
      </w:r>
      <w:r w:rsidR="002B7F9B" w:rsidRPr="002B0294">
        <w:t xml:space="preserve"> </w:t>
      </w:r>
      <w:r w:rsidR="002B7F9B" w:rsidRPr="002B0294">
        <w:rPr>
          <w:strike/>
        </w:rPr>
        <w:t>pertinentes DxS/5 ou DxR/5</w:t>
      </w:r>
      <w:r w:rsidR="002B7F9B" w:rsidRPr="002B0294">
        <w:t>).</w:t>
      </w:r>
    </w:p>
    <w:p w:rsidR="002B7F9B" w:rsidRPr="002B0294" w:rsidRDefault="00ED0A36" w:rsidP="000B0D7F">
      <w:pPr>
        <w:pStyle w:val="SingleTxt"/>
        <w:keepNext/>
        <w:keepLines/>
        <w:rPr>
          <w:spacing w:val="-2"/>
        </w:rPr>
      </w:pPr>
      <w:r>
        <w:lastRenderedPageBreak/>
        <w:tab/>
      </w:r>
      <w:r w:rsidR="002B7F9B" w:rsidRPr="002B0294">
        <w:t>Une échelle placée sur l</w:t>
      </w:r>
      <w:r w:rsidR="0083395A">
        <w:t>’</w:t>
      </w:r>
      <w:r w:rsidR="002B7F9B" w:rsidRPr="002B0294">
        <w:t>écran doit permettre de mesurer… Le calibre doit faire apparaître l</w:t>
      </w:r>
      <w:r w:rsidR="0083395A">
        <w:t>’</w:t>
      </w:r>
      <w:r w:rsidR="002B7F9B" w:rsidRPr="002B0294">
        <w:t>axe de référence et le plan parallèle au plan de référence à une distance</w:t>
      </w:r>
      <w:r w:rsidR="00870FE7">
        <w:t> </w:t>
      </w:r>
      <w:r w:rsidR="00870FE7">
        <w:rPr>
          <w:lang w:val="en-US"/>
        </w:rPr>
        <w:t>“</w:t>
      </w:r>
      <w:r w:rsidR="002B7F9B" w:rsidRPr="002B0294">
        <w:t>e</w:t>
      </w:r>
      <w:r w:rsidR="00870FE7">
        <w:rPr>
          <w:lang w:val="en-US"/>
        </w:rPr>
        <w:t>”</w:t>
      </w:r>
      <w:r w:rsidR="002B7F9B" w:rsidRPr="002B0294">
        <w:t xml:space="preserve"> (en mm) par rapport à lui</w:t>
      </w:r>
      <w:r w:rsidR="002B7F9B" w:rsidRPr="002B0294">
        <w:rPr>
          <w:strike/>
        </w:rPr>
        <w:t xml:space="preserve"> </w:t>
      </w:r>
      <w:r w:rsidR="002B7F9B" w:rsidRPr="002B0294">
        <w:rPr>
          <w:strike/>
          <w:spacing w:val="-2"/>
        </w:rPr>
        <w:t>(e = 27.1 pour D1R, D1S, D2R, D2S, D3R, D3S, D4R et D4S)</w:t>
      </w:r>
      <w:r w:rsidR="002B7F9B" w:rsidRPr="002B0294">
        <w:rPr>
          <w:spacing w:val="-2"/>
        </w:rPr>
        <w:t>.</w:t>
      </w:r>
    </w:p>
    <w:p w:rsidR="002B7F9B" w:rsidRPr="002B0294" w:rsidRDefault="00ED0A36" w:rsidP="0083395A">
      <w:pPr>
        <w:pStyle w:val="SingleTxt"/>
      </w:pPr>
      <w:r>
        <w:tab/>
      </w:r>
      <w:r w:rsidR="002B7F9B" w:rsidRPr="002B0294">
        <w:t>Un récepteur, monté dans le plan d</w:t>
      </w:r>
      <w:r w:rsidR="0083395A">
        <w:t>’</w:t>
      </w:r>
      <w:r w:rsidR="002B7F9B" w:rsidRPr="002B0294">
        <w:t>écran, …</w:t>
      </w:r>
    </w:p>
    <w:p w:rsidR="002B7F9B" w:rsidRPr="002B0294" w:rsidRDefault="00ED0A36" w:rsidP="0083395A">
      <w:pPr>
        <w:pStyle w:val="SingleTxt"/>
      </w:pPr>
      <w:r>
        <w:tab/>
      </w:r>
      <w:r w:rsidR="002B7F9B" w:rsidRPr="002B0294">
        <w:t>… L</w:t>
      </w:r>
      <w:r w:rsidR="0083395A">
        <w:t>’</w:t>
      </w:r>
      <w:r w:rsidR="002B7F9B" w:rsidRPr="002B0294">
        <w:t>amplitude du mouvement mesurable doit permettre d</w:t>
      </w:r>
      <w:r w:rsidR="0083395A">
        <w:t>’</w:t>
      </w:r>
      <w:r w:rsidR="002B7F9B" w:rsidRPr="002B0294">
        <w:t>effectuer les mesures requises de la courbure r et de la diffusion s de l</w:t>
      </w:r>
      <w:r w:rsidR="0083395A">
        <w:t>’</w:t>
      </w:r>
      <w:r w:rsidR="002B7F9B" w:rsidRPr="002B0294">
        <w:t xml:space="preserve">arc. </w:t>
      </w:r>
      <w:r w:rsidR="002B7F9B" w:rsidRPr="002B0294">
        <w:rPr>
          <w:b/>
        </w:rPr>
        <w:t>Pour la mesure de la lumière parasite, le récepteur doit être de forme circ</w:t>
      </w:r>
      <w:r w:rsidR="00AE471B">
        <w:rPr>
          <w:b/>
        </w:rPr>
        <w:t>ulaire avec un diamètre de 0,2M </w:t>
      </w:r>
      <w:r w:rsidR="002B7F9B" w:rsidRPr="002B0294">
        <w:rPr>
          <w:b/>
        </w:rPr>
        <w:t>mm.</w:t>
      </w:r>
      <w:r w:rsidR="0083395A">
        <w:t> »</w:t>
      </w:r>
      <w:r w:rsidR="002B7F9B" w:rsidRPr="002B0294">
        <w:t>.</w:t>
      </w:r>
    </w:p>
    <w:p w:rsidR="002B7F9B" w:rsidRPr="002B0294" w:rsidRDefault="002B7F9B" w:rsidP="0083395A">
      <w:pPr>
        <w:pStyle w:val="SingleTxt"/>
      </w:pPr>
      <w:r w:rsidRPr="00ED0A36">
        <w:rPr>
          <w:i/>
        </w:rPr>
        <w:t>Annexe 7</w:t>
      </w:r>
      <w:r w:rsidRPr="002B0294">
        <w:t>,</w:t>
      </w:r>
    </w:p>
    <w:p w:rsidR="002B7F9B" w:rsidRDefault="002B7F9B" w:rsidP="0083395A">
      <w:pPr>
        <w:pStyle w:val="SingleTxt"/>
      </w:pPr>
      <w:r w:rsidRPr="002B0294">
        <w:rPr>
          <w:i/>
        </w:rPr>
        <w:t xml:space="preserve">Tableau 1, </w:t>
      </w:r>
      <w:r w:rsidRPr="002B0294">
        <w:t>modifier comme suit</w:t>
      </w:r>
      <w:r w:rsidR="00C32AC9">
        <w:t> </w:t>
      </w:r>
      <w:r w:rsidRPr="002B0294">
        <w:t>:</w:t>
      </w:r>
    </w:p>
    <w:p w:rsidR="00870FE7" w:rsidRPr="00870FE7" w:rsidRDefault="00870FE7" w:rsidP="00870FE7">
      <w:pPr>
        <w:pStyle w:val="SingleTxt"/>
        <w:spacing w:after="0" w:line="120" w:lineRule="exact"/>
        <w:rPr>
          <w:sz w:val="10"/>
        </w:rPr>
      </w:pPr>
    </w:p>
    <w:p w:rsidR="002B7F9B" w:rsidRDefault="00ED0A36" w:rsidP="0083395A">
      <w:pPr>
        <w:pStyle w:val="SingleTxt"/>
      </w:pPr>
      <w:r>
        <w:t>« </w:t>
      </w:r>
      <w:r w:rsidR="002B7F9B" w:rsidRPr="002B0294">
        <w:t>...</w:t>
      </w:r>
    </w:p>
    <w:tbl>
      <w:tblPr>
        <w:tblW w:w="7533" w:type="dxa"/>
        <w:tblInd w:w="1263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843"/>
        <w:gridCol w:w="1843"/>
        <w:gridCol w:w="2134"/>
      </w:tblGrid>
      <w:tr w:rsidR="002B7F9B" w:rsidRPr="002B0294" w:rsidTr="00AE471B">
        <w:trPr>
          <w:cantSplit/>
          <w:tblHeader/>
        </w:trPr>
        <w:tc>
          <w:tcPr>
            <w:tcW w:w="17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>Groupe de caractéristiques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>Groupement* des procès-verbaux d</w:t>
            </w:r>
            <w:r w:rsidR="0083395A">
              <w:rPr>
                <w:i/>
                <w:sz w:val="16"/>
              </w:rPr>
              <w:t>’</w:t>
            </w:r>
            <w:r w:rsidRPr="002B0294">
              <w:rPr>
                <w:i/>
                <w:sz w:val="16"/>
              </w:rPr>
              <w:t>essais selon les types de sources lumineuses à décharge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>Échantillon annuel minimum par groupe*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Niveau acceptable de non-conformité par groupe de caractéristiques (%) </w:t>
            </w:r>
          </w:p>
        </w:tc>
      </w:tr>
      <w:tr w:rsidR="002B7F9B" w:rsidRPr="002B0294" w:rsidTr="00AE471B">
        <w:trPr>
          <w:cantSplit/>
        </w:trPr>
        <w:tc>
          <w:tcPr>
            <w:tcW w:w="171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</w:tr>
      <w:tr w:rsidR="002B7F9B" w:rsidRPr="002B0294" w:rsidTr="00AE471B">
        <w:trPr>
          <w:cantSplit/>
        </w:trPr>
        <w:tc>
          <w:tcPr>
            <w:tcW w:w="171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b/>
                <w:sz w:val="18"/>
              </w:rPr>
            </w:pPr>
            <w:r w:rsidRPr="002B0294">
              <w:rPr>
                <w:sz w:val="18"/>
              </w:rPr>
              <w:t>Tension et puissance</w:t>
            </w:r>
            <w:r w:rsidRPr="002B0294">
              <w:rPr>
                <w:b/>
                <w:sz w:val="18"/>
              </w:rPr>
              <w:t xml:space="preserve"> de la source lumineuse à décharge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2B0294">
              <w:rPr>
                <w:sz w:val="18"/>
              </w:rPr>
              <w:t>Tous types de la même catégorie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200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1</w:t>
            </w:r>
          </w:p>
        </w:tc>
      </w:tr>
      <w:tr w:rsidR="002B7F9B" w:rsidRPr="002B0294" w:rsidTr="00AE471B">
        <w:trPr>
          <w:cantSplit/>
        </w:trPr>
        <w:tc>
          <w:tcPr>
            <w:tcW w:w="17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left="113" w:right="113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  <w:tc>
          <w:tcPr>
            <w:tcW w:w="2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40" w:after="40" w:line="220" w:lineRule="exact"/>
              <w:ind w:right="113"/>
              <w:jc w:val="center"/>
              <w:rPr>
                <w:sz w:val="18"/>
              </w:rPr>
            </w:pPr>
            <w:r w:rsidRPr="002B0294">
              <w:rPr>
                <w:sz w:val="18"/>
              </w:rPr>
              <w:t>…</w:t>
            </w:r>
          </w:p>
        </w:tc>
      </w:tr>
    </w:tbl>
    <w:p w:rsidR="002B7F9B" w:rsidRDefault="002B7F9B" w:rsidP="00705396">
      <w:pPr>
        <w:pStyle w:val="SingleTxt"/>
        <w:jc w:val="right"/>
      </w:pPr>
      <w:r w:rsidRPr="002B0294">
        <w:t>...</w:t>
      </w:r>
      <w:r w:rsidR="0083395A">
        <w:t> »</w:t>
      </w:r>
      <w:r w:rsidRPr="002B0294">
        <w:t>.</w:t>
      </w:r>
    </w:p>
    <w:p w:rsidR="00870FE7" w:rsidRPr="00870FE7" w:rsidRDefault="00870FE7" w:rsidP="00870FE7">
      <w:pPr>
        <w:pStyle w:val="SingleTxt"/>
        <w:spacing w:after="0" w:line="120" w:lineRule="exact"/>
        <w:jc w:val="right"/>
        <w:rPr>
          <w:sz w:val="10"/>
        </w:rPr>
      </w:pPr>
    </w:p>
    <w:p w:rsidR="00870FE7" w:rsidRPr="00870FE7" w:rsidRDefault="00870FE7" w:rsidP="00870FE7">
      <w:pPr>
        <w:pStyle w:val="SingleTxt"/>
        <w:spacing w:after="0" w:line="120" w:lineRule="exact"/>
        <w:jc w:val="right"/>
        <w:rPr>
          <w:sz w:val="10"/>
        </w:rPr>
      </w:pPr>
    </w:p>
    <w:p w:rsidR="002B7F9B" w:rsidRDefault="002B7F9B" w:rsidP="0083395A">
      <w:pPr>
        <w:pStyle w:val="SingleTxt"/>
      </w:pPr>
      <w:bookmarkStart w:id="7" w:name="_Toc386203019"/>
      <w:r w:rsidRPr="00705396">
        <w:rPr>
          <w:i/>
        </w:rPr>
        <w:t>Tableau 3</w:t>
      </w:r>
      <w:bookmarkEnd w:id="7"/>
      <w:r w:rsidRPr="002B0294">
        <w:t>, ligne d</w:t>
      </w:r>
      <w:r w:rsidR="0083395A">
        <w:t>’</w:t>
      </w:r>
      <w:r w:rsidRPr="002B0294">
        <w:t>en-tête, modifier comme suit</w:t>
      </w:r>
      <w:r w:rsidR="00C32AC9">
        <w:t> </w:t>
      </w:r>
      <w:r w:rsidRPr="002B0294">
        <w:t>:</w:t>
      </w:r>
    </w:p>
    <w:p w:rsidR="00870FE7" w:rsidRPr="00870FE7" w:rsidRDefault="00870FE7" w:rsidP="00870FE7">
      <w:pPr>
        <w:pStyle w:val="SingleTxt"/>
        <w:spacing w:after="0" w:line="120" w:lineRule="exact"/>
        <w:rPr>
          <w:sz w:val="10"/>
        </w:rPr>
      </w:pPr>
    </w:p>
    <w:p w:rsidR="002B7F9B" w:rsidRPr="002B0294" w:rsidRDefault="00ED0A36" w:rsidP="0083395A">
      <w:pPr>
        <w:pStyle w:val="SingleTxt"/>
      </w:pPr>
      <w:r>
        <w:t>« </w:t>
      </w:r>
    </w:p>
    <w:tbl>
      <w:tblPr>
        <w:tblW w:w="7542" w:type="dxa"/>
        <w:tblInd w:w="1263" w:type="dxa"/>
        <w:tblBorders>
          <w:top w:val="single" w:sz="4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1228"/>
        <w:gridCol w:w="1229"/>
        <w:gridCol w:w="1228"/>
        <w:gridCol w:w="1228"/>
        <w:gridCol w:w="1530"/>
      </w:tblGrid>
      <w:tr w:rsidR="002B7F9B" w:rsidRPr="002B0294" w:rsidTr="00461B30">
        <w:trPr>
          <w:cantSplit/>
          <w:tblHeader/>
        </w:trPr>
        <w:tc>
          <w:tcPr>
            <w:tcW w:w="1099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Nombre des </w:t>
            </w:r>
            <w:r w:rsidRPr="002B0294">
              <w:rPr>
                <w:i/>
                <w:strike/>
                <w:sz w:val="16"/>
              </w:rPr>
              <w:t>lampes</w:t>
            </w:r>
            <w:r w:rsidRPr="002B0294">
              <w:rPr>
                <w:i/>
                <w:sz w:val="16"/>
              </w:rPr>
              <w:t xml:space="preserve"> </w:t>
            </w:r>
            <w:r w:rsidRPr="002B0294">
              <w:rPr>
                <w:b/>
                <w:i/>
                <w:sz w:val="16"/>
              </w:rPr>
              <w:t xml:space="preserve">sources lumineuses à décharge </w:t>
            </w:r>
            <w:r w:rsidRPr="002B0294">
              <w:rPr>
                <w:i/>
                <w:sz w:val="16"/>
              </w:rPr>
              <w:t xml:space="preserve">figurant sur les procès-verbaux 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Tolérance 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Nombre des </w:t>
            </w:r>
            <w:r w:rsidR="00AE471B" w:rsidRPr="002B0294">
              <w:rPr>
                <w:i/>
                <w:strike/>
                <w:sz w:val="16"/>
              </w:rPr>
              <w:t>lampes</w:t>
            </w:r>
            <w:r w:rsidR="00AE471B" w:rsidRPr="002B0294">
              <w:rPr>
                <w:i/>
                <w:sz w:val="16"/>
              </w:rPr>
              <w:t xml:space="preserve"> </w:t>
            </w:r>
            <w:r w:rsidRPr="002B0294">
              <w:rPr>
                <w:b/>
                <w:i/>
                <w:sz w:val="16"/>
              </w:rPr>
              <w:t xml:space="preserve">sources lumineuses à décharge </w:t>
            </w:r>
            <w:r w:rsidRPr="002B0294">
              <w:rPr>
                <w:i/>
                <w:sz w:val="16"/>
              </w:rPr>
              <w:t xml:space="preserve">figurant sur les procès-verbaux 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Tolérance </w:t>
            </w:r>
          </w:p>
        </w:tc>
        <w:tc>
          <w:tcPr>
            <w:tcW w:w="1228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Nombre des </w:t>
            </w:r>
            <w:r w:rsidR="00AE471B" w:rsidRPr="002B0294">
              <w:rPr>
                <w:i/>
                <w:strike/>
                <w:sz w:val="16"/>
              </w:rPr>
              <w:t>lampes</w:t>
            </w:r>
            <w:r w:rsidR="00AE471B" w:rsidRPr="002B0294">
              <w:rPr>
                <w:i/>
                <w:sz w:val="16"/>
              </w:rPr>
              <w:t xml:space="preserve"> </w:t>
            </w:r>
            <w:r w:rsidRPr="002B0294">
              <w:rPr>
                <w:b/>
                <w:i/>
                <w:sz w:val="16"/>
              </w:rPr>
              <w:t xml:space="preserve">sources lumineuses à décharge </w:t>
            </w:r>
            <w:r w:rsidRPr="002B0294">
              <w:rPr>
                <w:i/>
                <w:sz w:val="16"/>
              </w:rPr>
              <w:t xml:space="preserve">figurant sur les procès-verbaux 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2B7F9B" w:rsidRPr="002B0294" w:rsidRDefault="002B7F9B" w:rsidP="00A90244">
            <w:pPr>
              <w:spacing w:before="80" w:after="80" w:line="200" w:lineRule="exact"/>
              <w:ind w:left="113" w:right="113"/>
              <w:rPr>
                <w:i/>
                <w:sz w:val="16"/>
              </w:rPr>
            </w:pPr>
            <w:r w:rsidRPr="002B0294">
              <w:rPr>
                <w:i/>
                <w:sz w:val="16"/>
              </w:rPr>
              <w:t xml:space="preserve">Tolérance </w:t>
            </w:r>
          </w:p>
        </w:tc>
      </w:tr>
    </w:tbl>
    <w:p w:rsidR="002B7F9B" w:rsidRDefault="00705396" w:rsidP="00705396">
      <w:pPr>
        <w:pStyle w:val="SingleTxt"/>
        <w:jc w:val="right"/>
      </w:pPr>
      <w:r>
        <w:t> »</w:t>
      </w:r>
      <w:r w:rsidRPr="002B0294">
        <w:t>.</w:t>
      </w:r>
    </w:p>
    <w:p w:rsidR="0083395A" w:rsidRPr="0083395A" w:rsidRDefault="0083395A" w:rsidP="0083395A">
      <w:pPr>
        <w:pStyle w:val="SingleTxt"/>
        <w:spacing w:after="0" w:line="120" w:lineRule="exact"/>
        <w:rPr>
          <w:sz w:val="10"/>
        </w:rPr>
      </w:pPr>
    </w:p>
    <w:p w:rsidR="0083395A" w:rsidRPr="0083395A" w:rsidRDefault="0083395A" w:rsidP="0083395A">
      <w:pPr>
        <w:pStyle w:val="SingleTxt"/>
        <w:spacing w:after="0" w:line="120" w:lineRule="exact"/>
        <w:rPr>
          <w:sz w:val="10"/>
        </w:rPr>
      </w:pPr>
    </w:p>
    <w:p w:rsidR="002B7F9B" w:rsidRDefault="002B7F9B" w:rsidP="0083395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B0294">
        <w:tab/>
        <w:t>II.</w:t>
      </w:r>
      <w:r w:rsidRPr="002B0294">
        <w:tab/>
        <w:t>Justification</w:t>
      </w:r>
    </w:p>
    <w:p w:rsidR="0083395A" w:rsidRPr="0083395A" w:rsidRDefault="0083395A" w:rsidP="0083395A">
      <w:pPr>
        <w:spacing w:line="120" w:lineRule="exact"/>
        <w:rPr>
          <w:sz w:val="10"/>
        </w:rPr>
      </w:pPr>
    </w:p>
    <w:p w:rsidR="0083395A" w:rsidRPr="0083395A" w:rsidRDefault="0083395A" w:rsidP="0083395A">
      <w:pPr>
        <w:spacing w:line="120" w:lineRule="exact"/>
        <w:rPr>
          <w:sz w:val="10"/>
        </w:rPr>
      </w:pPr>
    </w:p>
    <w:p w:rsidR="002B7F9B" w:rsidRDefault="0083395A" w:rsidP="0083395A">
      <w:pPr>
        <w:pStyle w:val="SingleTxt"/>
        <w:rPr>
          <w:lang w:eastAsia="it-IT"/>
        </w:rPr>
      </w:pPr>
      <w:r>
        <w:rPr>
          <w:lang w:eastAsia="it-IT"/>
        </w:rPr>
        <w:tab/>
      </w:r>
      <w:r w:rsidR="002B7F9B" w:rsidRPr="002B0294">
        <w:rPr>
          <w:lang w:eastAsia="it-IT"/>
        </w:rPr>
        <w:t>Les modifications proposées dans le présent document font partie d</w:t>
      </w:r>
      <w:r>
        <w:rPr>
          <w:lang w:eastAsia="it-IT"/>
        </w:rPr>
        <w:t>’</w:t>
      </w:r>
      <w:r w:rsidR="002B7F9B" w:rsidRPr="002B0294">
        <w:rPr>
          <w:lang w:eastAsia="it-IT"/>
        </w:rPr>
        <w:t>un ensemble de propositions visant à simplifier les Règlements concernant les sources lumineuses.</w:t>
      </w:r>
    </w:p>
    <w:p w:rsidR="00AE471B" w:rsidRPr="00AE471B" w:rsidRDefault="00AE471B" w:rsidP="00AE471B">
      <w:pPr>
        <w:pStyle w:val="SingleTxt"/>
        <w:spacing w:after="0" w:line="240" w:lineRule="auto"/>
        <w:rPr>
          <w:b/>
        </w:rPr>
      </w:pPr>
      <w:r>
        <w:rPr>
          <w:b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AE471B" w:rsidRPr="00AE471B" w:rsidSect="0084244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13T12:44:00Z" w:initials="Start">
    <w:p w:rsidR="00842449" w:rsidRDefault="0084244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NO&gt;&gt;N1517379F&lt;&lt;ODS JOB NO&gt;&gt;</w:t>
      </w:r>
    </w:p>
    <w:p w:rsidR="00842449" w:rsidRDefault="00842449">
      <w:pPr>
        <w:pStyle w:val="CommentText"/>
      </w:pPr>
      <w:r>
        <w:t>&lt;&lt;ODS DOC SYMBOL1&gt;&gt;ECE/TRANS/WP.29/GRE/2015/26&lt;&lt;ODS DOC SYMBOL1&gt;&gt;</w:t>
      </w:r>
    </w:p>
    <w:p w:rsidR="00842449" w:rsidRDefault="0084244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38" w:rsidRDefault="00B35938" w:rsidP="00F3330B">
      <w:pPr>
        <w:spacing w:line="240" w:lineRule="auto"/>
      </w:pPr>
      <w:r>
        <w:separator/>
      </w:r>
    </w:p>
  </w:endnote>
  <w:endnote w:type="continuationSeparator" w:id="0">
    <w:p w:rsidR="00B35938" w:rsidRDefault="00B35938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42449" w:rsidTr="00842449">
      <w:trPr>
        <w:jc w:val="center"/>
      </w:trPr>
      <w:tc>
        <w:tcPr>
          <w:tcW w:w="5126" w:type="dxa"/>
          <w:shd w:val="clear" w:color="auto" w:fill="auto"/>
        </w:tcPr>
        <w:p w:rsidR="00842449" w:rsidRPr="00842449" w:rsidRDefault="00842449" w:rsidP="0084244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F1EAF">
            <w:rPr>
              <w:b w:val="0"/>
              <w:w w:val="103"/>
              <w:sz w:val="14"/>
            </w:rPr>
            <w:t>GE.15-13305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842449" w:rsidRPr="00842449" w:rsidRDefault="00842449" w:rsidP="0084244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A213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A2138"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:rsidR="00842449" w:rsidRPr="00842449" w:rsidRDefault="00842449" w:rsidP="00842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42449" w:rsidTr="00842449">
      <w:trPr>
        <w:jc w:val="center"/>
      </w:trPr>
      <w:tc>
        <w:tcPr>
          <w:tcW w:w="5126" w:type="dxa"/>
          <w:shd w:val="clear" w:color="auto" w:fill="auto"/>
        </w:tcPr>
        <w:p w:rsidR="00842449" w:rsidRPr="00842449" w:rsidRDefault="00842449" w:rsidP="0084244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A213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A2138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842449" w:rsidRPr="00842449" w:rsidRDefault="00842449" w:rsidP="0084244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AF1EAF">
            <w:rPr>
              <w:b w:val="0"/>
              <w:w w:val="103"/>
              <w:sz w:val="14"/>
            </w:rPr>
            <w:t>GE.15-13305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42449" w:rsidRPr="00842449" w:rsidRDefault="00842449" w:rsidP="00842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49" w:rsidRDefault="0084244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3F135DB" wp14:editId="07AC1623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5/26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5/26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842449" w:rsidTr="00842449">
      <w:tc>
        <w:tcPr>
          <w:tcW w:w="3859" w:type="dxa"/>
        </w:tcPr>
        <w:p w:rsidR="00842449" w:rsidRDefault="00842449" w:rsidP="0084244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AF1EAF">
            <w:rPr>
              <w:b w:val="0"/>
              <w:sz w:val="20"/>
            </w:rPr>
            <w:t>GE.15-13305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131015    1</w:t>
          </w:r>
          <w:r w:rsidR="0083395A">
            <w:rPr>
              <w:b w:val="0"/>
              <w:sz w:val="20"/>
            </w:rPr>
            <w:t>4</w:t>
          </w:r>
          <w:r>
            <w:rPr>
              <w:b w:val="0"/>
              <w:sz w:val="20"/>
            </w:rPr>
            <w:t>1015</w:t>
          </w:r>
        </w:p>
        <w:p w:rsidR="00842449" w:rsidRPr="00842449" w:rsidRDefault="00842449" w:rsidP="0084244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AF1EAF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*1513305*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842449" w:rsidRDefault="00842449" w:rsidP="0084244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FD9EEB0" wp14:editId="16A6DC1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2449" w:rsidRPr="00842449" w:rsidRDefault="00842449" w:rsidP="0084244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38" w:rsidRPr="00FD21C4" w:rsidRDefault="00FD21C4" w:rsidP="00FD21C4">
      <w:pPr>
        <w:pStyle w:val="Footer"/>
        <w:spacing w:after="80"/>
        <w:ind w:left="792"/>
        <w:rPr>
          <w:sz w:val="16"/>
        </w:rPr>
      </w:pPr>
      <w:r w:rsidRPr="00FD21C4">
        <w:rPr>
          <w:sz w:val="16"/>
        </w:rPr>
        <w:t>__________________</w:t>
      </w:r>
    </w:p>
  </w:footnote>
  <w:footnote w:type="continuationSeparator" w:id="0">
    <w:p w:rsidR="00B35938" w:rsidRPr="00FD21C4" w:rsidRDefault="00FD21C4" w:rsidP="00FD21C4">
      <w:pPr>
        <w:pStyle w:val="Footer"/>
        <w:spacing w:after="80"/>
        <w:ind w:left="792"/>
        <w:rPr>
          <w:sz w:val="16"/>
        </w:rPr>
      </w:pPr>
      <w:r w:rsidRPr="00FD21C4">
        <w:rPr>
          <w:sz w:val="16"/>
        </w:rPr>
        <w:t>__________________</w:t>
      </w:r>
    </w:p>
  </w:footnote>
  <w:footnote w:id="1">
    <w:p w:rsidR="00C26A2D" w:rsidRDefault="00C26A2D" w:rsidP="00C26A2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C26A2D">
        <w:rPr>
          <w:rStyle w:val="FootnoteReference"/>
          <w:szCs w:val="17"/>
          <w:vertAlign w:val="baseline"/>
        </w:rPr>
        <w:t>*</w:t>
      </w:r>
      <w:r w:rsidRPr="00C26A2D">
        <w:rPr>
          <w:sz w:val="16"/>
          <w:szCs w:val="16"/>
        </w:rPr>
        <w:tab/>
      </w:r>
      <w:r>
        <w:t>Conformément au programme de travail du Comité des transports intérieurs pour la période 2012-2016 (ECE/TRANS/224, par. 94, et ECE/TRANS/2012/12, activité 02.4), le Forum mondial a pour 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42449" w:rsidTr="008424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42449" w:rsidRPr="00842449" w:rsidRDefault="00842449" w:rsidP="0084244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F1EAF">
            <w:rPr>
              <w:b/>
              <w:color w:val="000000"/>
            </w:rPr>
            <w:t>ECE/TRANS/WP.29/GRE/2015/26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42449" w:rsidRDefault="00842449" w:rsidP="00842449">
          <w:pPr>
            <w:pStyle w:val="Header"/>
          </w:pPr>
        </w:p>
      </w:tc>
    </w:tr>
  </w:tbl>
  <w:p w:rsidR="00842449" w:rsidRPr="00842449" w:rsidRDefault="00842449" w:rsidP="0084244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42449" w:rsidTr="0084244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42449" w:rsidRDefault="00842449" w:rsidP="0084244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42449" w:rsidRPr="00842449" w:rsidRDefault="00842449" w:rsidP="0084244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AF1EAF">
            <w:rPr>
              <w:b/>
              <w:color w:val="000000"/>
            </w:rPr>
            <w:t>ECE/TRANS/WP.29/GRE/2015/26</w:t>
          </w:r>
          <w:r>
            <w:rPr>
              <w:b/>
              <w:color w:val="000000"/>
            </w:rPr>
            <w:fldChar w:fldCharType="end"/>
          </w:r>
        </w:p>
      </w:tc>
    </w:tr>
  </w:tbl>
  <w:p w:rsidR="00842449" w:rsidRPr="00842449" w:rsidRDefault="00842449" w:rsidP="0084244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842449" w:rsidTr="0084244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42449" w:rsidRDefault="00842449" w:rsidP="0084244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42449" w:rsidRPr="00842449" w:rsidRDefault="00842449" w:rsidP="0084244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42449" w:rsidRDefault="00842449" w:rsidP="00842449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42449" w:rsidRPr="00842449" w:rsidRDefault="00842449" w:rsidP="0084244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/TRANS/WP.29/GRE/2015/26</w:t>
          </w:r>
        </w:p>
      </w:tc>
    </w:tr>
    <w:tr w:rsidR="00842449" w:rsidRPr="00842449" w:rsidTr="0084244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2449" w:rsidRPr="00842449" w:rsidRDefault="00842449" w:rsidP="0084244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03500EB2" wp14:editId="315062F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2449" w:rsidRPr="00842449" w:rsidRDefault="00842449" w:rsidP="0084244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2449" w:rsidRPr="00842449" w:rsidRDefault="00842449" w:rsidP="0084244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42449" w:rsidRDefault="00842449" w:rsidP="00842449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842449" w:rsidRDefault="00DF2915" w:rsidP="00842449">
          <w:pPr>
            <w:pStyle w:val="Publication"/>
            <w:rPr>
              <w:color w:val="000000"/>
            </w:rPr>
          </w:pPr>
          <w:r>
            <w:rPr>
              <w:color w:val="000000"/>
            </w:rPr>
            <w:t>6 août 2015</w:t>
          </w:r>
        </w:p>
        <w:p w:rsidR="00842449" w:rsidRDefault="00842449" w:rsidP="00842449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842449" w:rsidRPr="00842449" w:rsidRDefault="00842449" w:rsidP="00842449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842449" w:rsidRPr="00842449" w:rsidRDefault="00842449" w:rsidP="00842449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hyphenationZone w:val="425"/>
  <w:doNotHyphenateCaps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305*"/>
    <w:docVar w:name="CreationDt" w:val="10/13/2015 12:44 PM"/>
    <w:docVar w:name="DocCategory" w:val="Doc"/>
    <w:docVar w:name="DocType" w:val="Final"/>
    <w:docVar w:name="DutyStation" w:val="Geneva"/>
    <w:docVar w:name="FooterJN" w:val="GE.15-13305"/>
    <w:docVar w:name="jobn" w:val="GE.15-13305 (F)"/>
    <w:docVar w:name="jobnDT" w:val="GE.15-13305 (F)   131015"/>
    <w:docVar w:name="jobnDTDT" w:val="GE.15-13305 (F)   131015   131015"/>
    <w:docVar w:name="JobNo" w:val="GE.1513305F"/>
    <w:docVar w:name="JobNo2" w:val="GE.1517379F"/>
    <w:docVar w:name="LocalDrive" w:val="0"/>
    <w:docVar w:name="OandT" w:val="VIGNY"/>
    <w:docVar w:name="PaperSize" w:val="A4"/>
    <w:docVar w:name="sss1" w:val="ECE/TRANS/WP.29/GRE/2015/26"/>
    <w:docVar w:name="sss2" w:val="-"/>
    <w:docVar w:name="Symbol1" w:val="ECE/TRANS/WP.29/GRE/2015/26"/>
    <w:docVar w:name="Symbol2" w:val="-"/>
  </w:docVars>
  <w:rsids>
    <w:rsidRoot w:val="00B35938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682D"/>
    <w:rsid w:val="000378DE"/>
    <w:rsid w:val="00040497"/>
    <w:rsid w:val="00041ABD"/>
    <w:rsid w:val="00046145"/>
    <w:rsid w:val="00046691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D7F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780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B7F9B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132B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3B4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6DD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1B30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6F89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0FF0"/>
    <w:rsid w:val="004F1F9F"/>
    <w:rsid w:val="004F2534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7AF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082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26EE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1AD3"/>
    <w:rsid w:val="007033D2"/>
    <w:rsid w:val="00704AF5"/>
    <w:rsid w:val="00705396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63DB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95A"/>
    <w:rsid w:val="00833A79"/>
    <w:rsid w:val="00833BFF"/>
    <w:rsid w:val="0083677A"/>
    <w:rsid w:val="00837284"/>
    <w:rsid w:val="0083731D"/>
    <w:rsid w:val="00837549"/>
    <w:rsid w:val="008415FE"/>
    <w:rsid w:val="00842319"/>
    <w:rsid w:val="0084244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0FE7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0E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2138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471B"/>
    <w:rsid w:val="00AE73A1"/>
    <w:rsid w:val="00AE7F88"/>
    <w:rsid w:val="00AF1EAF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5938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0F90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A2D"/>
    <w:rsid w:val="00C26CD3"/>
    <w:rsid w:val="00C3047B"/>
    <w:rsid w:val="00C30749"/>
    <w:rsid w:val="00C3163F"/>
    <w:rsid w:val="00C32AC9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263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48D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5AB9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2915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36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7E01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45F18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21C4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4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4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449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2B7F9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2B7F9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2B7F9B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2B7F9B"/>
    <w:pPr>
      <w:spacing w:after="120" w:line="240" w:lineRule="atLeast"/>
      <w:ind w:left="2268" w:right="1134" w:hanging="1134"/>
      <w:jc w:val="both"/>
    </w:pPr>
    <w:rPr>
      <w:rFonts w:eastAsia="Times New Roman"/>
      <w:snapToGrid w:val="0"/>
      <w:spacing w:val="0"/>
      <w:w w:val="100"/>
      <w:kern w:val="0"/>
      <w:szCs w:val="20"/>
      <w:lang w:val="fr-FR"/>
    </w:rPr>
  </w:style>
  <w:style w:type="character" w:customStyle="1" w:styleId="SingleTxtGChar">
    <w:name w:val="_ Single Txt_G Char"/>
    <w:link w:val="SingleTxtG"/>
    <w:rsid w:val="002B7F9B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2B7F9B"/>
    <w:rPr>
      <w:rFonts w:ascii="Times New Roman" w:eastAsia="Calibri" w:hAnsi="Times New Roman"/>
      <w:b/>
      <w:sz w:val="28"/>
      <w:lang w:val="fr-CH"/>
    </w:rPr>
  </w:style>
  <w:style w:type="character" w:customStyle="1" w:styleId="paraChar">
    <w:name w:val="para Char"/>
    <w:link w:val="para"/>
    <w:rsid w:val="002B7F9B"/>
    <w:rPr>
      <w:rFonts w:ascii="Times New Roman" w:eastAsia="Times New Roman" w:hAnsi="Times New Roman"/>
      <w:snapToGrid w:val="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842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4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44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449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2B7F9B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2B7F9B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Bullet1G">
    <w:name w:val="_Bullet 1_G"/>
    <w:basedOn w:val="Normal"/>
    <w:qFormat/>
    <w:rsid w:val="002B7F9B"/>
    <w:pPr>
      <w:numPr>
        <w:numId w:val="6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paragraph" w:customStyle="1" w:styleId="para">
    <w:name w:val="para"/>
    <w:basedOn w:val="Normal"/>
    <w:link w:val="paraChar"/>
    <w:qFormat/>
    <w:rsid w:val="002B7F9B"/>
    <w:pPr>
      <w:spacing w:after="120" w:line="240" w:lineRule="atLeast"/>
      <w:ind w:left="2268" w:right="1134" w:hanging="1134"/>
      <w:jc w:val="both"/>
    </w:pPr>
    <w:rPr>
      <w:rFonts w:eastAsia="Times New Roman"/>
      <w:snapToGrid w:val="0"/>
      <w:spacing w:val="0"/>
      <w:w w:val="100"/>
      <w:kern w:val="0"/>
      <w:szCs w:val="20"/>
      <w:lang w:val="fr-FR"/>
    </w:rPr>
  </w:style>
  <w:style w:type="character" w:customStyle="1" w:styleId="SingleTxtGChar">
    <w:name w:val="_ Single Txt_G Char"/>
    <w:link w:val="SingleTxtG"/>
    <w:rsid w:val="002B7F9B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2B7F9B"/>
    <w:rPr>
      <w:rFonts w:ascii="Times New Roman" w:eastAsia="Calibri" w:hAnsi="Times New Roman"/>
      <w:b/>
      <w:sz w:val="28"/>
      <w:lang w:val="fr-CH"/>
    </w:rPr>
  </w:style>
  <w:style w:type="character" w:customStyle="1" w:styleId="paraChar">
    <w:name w:val="para Char"/>
    <w:link w:val="para"/>
    <w:rsid w:val="002B7F9B"/>
    <w:rPr>
      <w:rFonts w:ascii="Times New Roman" w:eastAsia="Times New Roman" w:hAnsi="Times New Roman"/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6648-E484-45B5-AC93-9CF4E527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5538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Vigny</dc:creator>
  <cp:lastModifiedBy>Benedicte Boudol</cp:lastModifiedBy>
  <cp:revision>2</cp:revision>
  <cp:lastPrinted>2015-10-14T07:56:00Z</cp:lastPrinted>
  <dcterms:created xsi:type="dcterms:W3CDTF">2015-10-15T08:51:00Z</dcterms:created>
  <dcterms:modified xsi:type="dcterms:W3CDTF">2015-10-15T08:51:00Z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1513305F</vt:lpwstr>
  </property>
  <property fmtid="{D5CDD505-2E9C-101B-9397-08002B2CF9AE}" pid="3" name="ODSRefJobNo">
    <vt:lpwstr>1517379F</vt:lpwstr>
  </property>
  <property fmtid="{D5CDD505-2E9C-101B-9397-08002B2CF9AE}" pid="4" name="Symbol1">
    <vt:lpwstr>ECE/TRANS/WP.29/GRE/2015/26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VIGNY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13 octobre 2015</vt:lpwstr>
  </property>
  <property fmtid="{D5CDD505-2E9C-101B-9397-08002B2CF9AE}" pid="12" name="Original">
    <vt:lpwstr>anglais</vt:lpwstr>
  </property>
  <property fmtid="{D5CDD505-2E9C-101B-9397-08002B2CF9AE}" pid="13" name="Release Date">
    <vt:lpwstr>131015</vt:lpwstr>
  </property>
</Properties>
</file>