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F44567">
            <w:pPr>
              <w:jc w:val="right"/>
              <w:rPr>
                <w:highlight w:val="yellow"/>
              </w:rPr>
            </w:pPr>
            <w:r w:rsidRPr="00F44567">
              <w:rPr>
                <w:sz w:val="40"/>
              </w:rPr>
              <w:t>ECE</w:t>
            </w:r>
            <w:r w:rsidRPr="00F44567">
              <w:t>/TRANS/WP.29/GRE/</w:t>
            </w:r>
            <w:r w:rsidR="00A91E4C" w:rsidRPr="00F44567">
              <w:t>201</w:t>
            </w:r>
            <w:r w:rsidR="00DC64E9" w:rsidRPr="00F44567">
              <w:t>5</w:t>
            </w:r>
            <w:r w:rsidRPr="00F44567">
              <w:t>/</w:t>
            </w:r>
            <w:r w:rsidR="00F44567" w:rsidRPr="00F44567">
              <w:t>16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73E0A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93090"/>
                  <wp:effectExtent l="0" t="0" r="571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E01AFA" w:rsidP="006D66AF">
            <w:pPr>
              <w:spacing w:line="240" w:lineRule="exact"/>
            </w:pPr>
            <w:r>
              <w:t>23</w:t>
            </w:r>
            <w:bookmarkStart w:id="0" w:name="_GoBack"/>
            <w:bookmarkEnd w:id="0"/>
            <w:r w:rsidR="00F44567" w:rsidRPr="00F44567">
              <w:t xml:space="preserve"> January </w:t>
            </w:r>
            <w:r w:rsidR="00F44567">
              <w:t>2015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F44567" w:rsidRPr="0037278F" w:rsidRDefault="00F44567" w:rsidP="00F44567">
      <w:pPr>
        <w:rPr>
          <w:b/>
        </w:rPr>
      </w:pPr>
      <w:r w:rsidRPr="0037278F">
        <w:rPr>
          <w:b/>
        </w:rPr>
        <w:t>Seventy-</w:t>
      </w:r>
      <w:r>
        <w:rPr>
          <w:b/>
        </w:rPr>
        <w:t>third</w:t>
      </w:r>
      <w:r w:rsidRPr="0037278F">
        <w:rPr>
          <w:b/>
        </w:rPr>
        <w:t xml:space="preserve"> </w:t>
      </w:r>
      <w:proofErr w:type="gramStart"/>
      <w:r w:rsidRPr="0037278F">
        <w:rPr>
          <w:b/>
        </w:rPr>
        <w:t>session</w:t>
      </w:r>
      <w:proofErr w:type="gramEnd"/>
    </w:p>
    <w:p w:rsidR="00F44567" w:rsidRPr="0037278F" w:rsidRDefault="00F44567" w:rsidP="00F44567">
      <w:pPr>
        <w:rPr>
          <w:bCs/>
        </w:rPr>
      </w:pPr>
      <w:r w:rsidRPr="0037278F">
        <w:t>Geneva</w:t>
      </w:r>
      <w:r w:rsidRPr="0037278F">
        <w:rPr>
          <w:bCs/>
        </w:rPr>
        <w:t xml:space="preserve">, </w:t>
      </w:r>
      <w:r>
        <w:rPr>
          <w:bCs/>
        </w:rPr>
        <w:t>14</w:t>
      </w:r>
      <w:r w:rsidR="003E29DF">
        <w:rPr>
          <w:bCs/>
        </w:rPr>
        <w:t xml:space="preserve"> </w:t>
      </w:r>
      <w:r>
        <w:rPr>
          <w:bCs/>
        </w:rPr>
        <w:t>– 17 April 2015</w:t>
      </w:r>
    </w:p>
    <w:p w:rsidR="00F44567" w:rsidRPr="00732D26" w:rsidRDefault="00F44567" w:rsidP="00F44567">
      <w:pPr>
        <w:ind w:right="1134"/>
        <w:rPr>
          <w:b/>
          <w:bCs/>
          <w:lang w:val="en-US"/>
        </w:rPr>
      </w:pPr>
      <w:r w:rsidRPr="00732D26">
        <w:rPr>
          <w:bCs/>
          <w:lang w:val="en-US"/>
        </w:rPr>
        <w:t>Item 7 (</w:t>
      </w:r>
      <w:r>
        <w:rPr>
          <w:bCs/>
          <w:lang w:val="en-US"/>
        </w:rPr>
        <w:t>j</w:t>
      </w:r>
      <w:r w:rsidRPr="00732D26">
        <w:rPr>
          <w:bCs/>
          <w:lang w:val="en-US"/>
        </w:rPr>
        <w:t>) of the provisional agenda</w:t>
      </w:r>
      <w:r w:rsidRPr="00732D26">
        <w:rPr>
          <w:bCs/>
          <w:lang w:val="en-US"/>
        </w:rPr>
        <w:br/>
      </w:r>
      <w:r w:rsidRPr="00732D26">
        <w:rPr>
          <w:b/>
          <w:bCs/>
          <w:lang w:val="en-US"/>
        </w:rPr>
        <w:t xml:space="preserve">Other Regulations – Regulation No. </w:t>
      </w:r>
      <w:r>
        <w:rPr>
          <w:b/>
          <w:bCs/>
          <w:lang w:val="en-US"/>
        </w:rPr>
        <w:t>112</w:t>
      </w:r>
      <w:r w:rsidRPr="00732D26">
        <w:rPr>
          <w:b/>
          <w:bCs/>
          <w:lang w:val="en-US"/>
        </w:rPr>
        <w:t xml:space="preserve"> (</w:t>
      </w:r>
      <w:r w:rsidRPr="00F44567">
        <w:rPr>
          <w:b/>
          <w:bCs/>
          <w:lang w:val="en-US"/>
        </w:rPr>
        <w:t>Headlamps emitting an asymmetrical passing-beam</w:t>
      </w:r>
      <w:r w:rsidRPr="00732D26">
        <w:rPr>
          <w:b/>
          <w:bCs/>
          <w:lang w:val="en-US"/>
        </w:rPr>
        <w:t>)</w:t>
      </w:r>
    </w:p>
    <w:p w:rsidR="006D66AF" w:rsidRPr="00E50941" w:rsidRDefault="006D66AF" w:rsidP="006810B6">
      <w:pPr>
        <w:pStyle w:val="HChG"/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D452D8" w:rsidRPr="00E50941">
        <w:t xml:space="preserve">Proposal for Supplement </w:t>
      </w:r>
      <w:r w:rsidR="0044272D">
        <w:t>7</w:t>
      </w:r>
      <w:r w:rsidR="00876CCC" w:rsidRPr="00E50941">
        <w:t xml:space="preserve"> </w:t>
      </w:r>
      <w:r w:rsidR="00D452D8" w:rsidRPr="00E50941">
        <w:t>to the 0</w:t>
      </w:r>
      <w:r w:rsidR="00876CCC" w:rsidRPr="00E50941">
        <w:t>1</w:t>
      </w:r>
      <w:r w:rsidR="00D452D8" w:rsidRPr="00E50941">
        <w:t xml:space="preserve"> </w:t>
      </w:r>
      <w:r w:rsidR="00F44567">
        <w:t>s</w:t>
      </w:r>
      <w:r w:rsidR="00D452D8" w:rsidRPr="00E50941">
        <w:t>eries of</w:t>
      </w:r>
      <w:r w:rsidR="00F44567">
        <w:t xml:space="preserve"> amendments to</w:t>
      </w:r>
      <w:r w:rsidR="00D452D8" w:rsidRPr="00E50941">
        <w:t xml:space="preserve"> Regulation No.</w:t>
      </w:r>
      <w:r w:rsidR="00F923C4" w:rsidRPr="00E50941">
        <w:t xml:space="preserve"> </w:t>
      </w:r>
      <w:r w:rsidR="00876CCC" w:rsidRPr="00E50941">
        <w:t>11</w:t>
      </w:r>
      <w:r w:rsidR="0044272D">
        <w:t>2</w:t>
      </w:r>
      <w:r w:rsidR="00876CCC" w:rsidRPr="00E50941">
        <w:t xml:space="preserve"> (</w:t>
      </w:r>
      <w:r w:rsidR="0044272D" w:rsidRPr="0044272D">
        <w:t>Headlamps emitting an asymmetrical passing-beam</w:t>
      </w:r>
      <w:r w:rsidR="00876CCC" w:rsidRPr="00E50941">
        <w:t>)</w:t>
      </w:r>
    </w:p>
    <w:p w:rsidR="006D66AF" w:rsidRPr="00E50941" w:rsidRDefault="0068000A" w:rsidP="0068000A">
      <w:pPr>
        <w:pStyle w:val="H1G"/>
        <w:ind w:firstLine="0"/>
        <w:rPr>
          <w:szCs w:val="24"/>
          <w:lang w:val="en-US"/>
        </w:rPr>
      </w:pPr>
      <w:r w:rsidRPr="00E50941">
        <w:rPr>
          <w:szCs w:val="24"/>
          <w:lang w:val="en-US"/>
        </w:rPr>
        <w:t>Submitted by the expert from the International Automotive Lighting and Light Signalling Expert Group (GTB</w:t>
      </w:r>
      <w:r w:rsidR="00A91E4C" w:rsidRPr="00E50941">
        <w:rPr>
          <w:szCs w:val="24"/>
          <w:lang w:val="en-US"/>
        </w:rPr>
        <w:t>)</w:t>
      </w:r>
      <w:r w:rsidR="006D66AF" w:rsidRPr="00E50941">
        <w:rPr>
          <w:rStyle w:val="FootnoteReference"/>
          <w:b w:val="0"/>
          <w:szCs w:val="24"/>
          <w:lang w:val="en-US"/>
        </w:rPr>
        <w:footnoteReference w:customMarkFollows="1" w:id="2"/>
        <w:t>*</w:t>
      </w:r>
    </w:p>
    <w:p w:rsidR="006D66AF" w:rsidRPr="00E50941" w:rsidRDefault="00BC3F3B" w:rsidP="006D66AF">
      <w:pPr>
        <w:pStyle w:val="SingleTxtG"/>
        <w:tabs>
          <w:tab w:val="left" w:pos="8505"/>
        </w:tabs>
        <w:ind w:firstLine="567"/>
        <w:rPr>
          <w:lang w:val="en-US"/>
        </w:rPr>
      </w:pPr>
      <w:r w:rsidRPr="00E50941">
        <w:t>The text reproduced below was prepared by the expert from GTB</w:t>
      </w:r>
      <w:r w:rsidR="008C2428" w:rsidRPr="00E50941">
        <w:t xml:space="preserve"> </w:t>
      </w:r>
      <w:r w:rsidR="0062385B" w:rsidRPr="00E50941">
        <w:t xml:space="preserve">to </w:t>
      </w:r>
      <w:r w:rsidR="0044272D">
        <w:t>correct editorial errors concerning the approval markings of Annex 2</w:t>
      </w:r>
      <w:r w:rsidR="00E50941" w:rsidRPr="00E50941">
        <w:t>.</w:t>
      </w:r>
      <w:r w:rsidR="006D66AF" w:rsidRPr="00E50941">
        <w:t xml:space="preserve"> </w:t>
      </w:r>
      <w:r w:rsidR="0068000A" w:rsidRPr="00E50941">
        <w:t>The modifications to the exis</w:t>
      </w:r>
      <w:r w:rsidR="005908FB" w:rsidRPr="00E50941">
        <w:t>ting text of the Regulation are marked in bold for new or strikethrough for deleted characters</w:t>
      </w:r>
      <w:r w:rsidR="006D66AF" w:rsidRPr="00E50941">
        <w:rPr>
          <w:lang w:val="en-US"/>
        </w:rPr>
        <w:t>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A5414C" w:rsidRPr="000444B6" w:rsidRDefault="006D66AF" w:rsidP="0009532F">
      <w:pPr>
        <w:pStyle w:val="HChG"/>
        <w:spacing w:after="120" w:line="240" w:lineRule="atLeast"/>
        <w:rPr>
          <w:highlight w:val="yellow"/>
          <w:lang w:val="en-US"/>
        </w:rPr>
      </w:pPr>
      <w:r w:rsidRPr="00C970EE">
        <w:rPr>
          <w:b w:val="0"/>
          <w:lang w:val="en-US"/>
        </w:rPr>
        <w:br w:type="page"/>
      </w:r>
      <w:r w:rsidR="0003056C">
        <w:rPr>
          <w:lang w:val="en-US"/>
        </w:rPr>
        <w:lastRenderedPageBreak/>
        <w:tab/>
      </w:r>
      <w:r w:rsidR="00A5414C" w:rsidRPr="00822B30">
        <w:rPr>
          <w:lang w:val="en-US"/>
        </w:rPr>
        <w:t>I.</w:t>
      </w:r>
      <w:r w:rsidR="00A5414C" w:rsidRPr="00822B30">
        <w:rPr>
          <w:b w:val="0"/>
          <w:lang w:val="en-US"/>
        </w:rPr>
        <w:tab/>
      </w:r>
      <w:r w:rsidR="00A5414C" w:rsidRPr="00822B30">
        <w:rPr>
          <w:lang w:val="en-US"/>
        </w:rPr>
        <w:t>Proposal</w:t>
      </w:r>
    </w:p>
    <w:p w:rsidR="0009532F" w:rsidRDefault="0044272D" w:rsidP="0009532F">
      <w:pPr>
        <w:widowControl w:val="0"/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 w:eastAsia="ja-JP"/>
        </w:rPr>
      </w:pPr>
      <w:r w:rsidRPr="0044272D">
        <w:rPr>
          <w:i/>
          <w:lang w:val="en-US" w:eastAsia="ja-JP"/>
        </w:rPr>
        <w:t>Annex</w:t>
      </w:r>
      <w:r w:rsidR="00F44567">
        <w:rPr>
          <w:i/>
          <w:lang w:val="en-US" w:eastAsia="ja-JP"/>
        </w:rPr>
        <w:t xml:space="preserve"> </w:t>
      </w:r>
      <w:r w:rsidR="00330B3F">
        <w:rPr>
          <w:i/>
          <w:lang w:val="en-US" w:eastAsia="ja-JP"/>
        </w:rPr>
        <w:t>2,</w:t>
      </w:r>
      <w:r w:rsidRPr="0044272D">
        <w:rPr>
          <w:i/>
          <w:lang w:val="en-US" w:eastAsia="ja-JP"/>
        </w:rPr>
        <w:t xml:space="preserve"> figures 5</w:t>
      </w:r>
      <w:r w:rsidR="00330B3F">
        <w:rPr>
          <w:i/>
          <w:lang w:val="en-US" w:eastAsia="ja-JP"/>
        </w:rPr>
        <w:t>,</w:t>
      </w:r>
      <w:r w:rsidR="00330B3F" w:rsidRPr="0044272D">
        <w:rPr>
          <w:i/>
          <w:lang w:val="en-US" w:eastAsia="ja-JP"/>
        </w:rPr>
        <w:t xml:space="preserve"> 6,</w:t>
      </w:r>
      <w:r w:rsidR="00330B3F">
        <w:rPr>
          <w:i/>
          <w:lang w:val="en-US" w:eastAsia="ja-JP"/>
        </w:rPr>
        <w:t xml:space="preserve"> </w:t>
      </w:r>
      <w:r w:rsidR="00330B3F" w:rsidRPr="0044272D">
        <w:rPr>
          <w:i/>
          <w:lang w:val="en-US" w:eastAsia="ja-JP"/>
        </w:rPr>
        <w:t>7,</w:t>
      </w:r>
      <w:r w:rsidR="00330B3F">
        <w:rPr>
          <w:i/>
          <w:lang w:val="en-US" w:eastAsia="ja-JP"/>
        </w:rPr>
        <w:t xml:space="preserve"> </w:t>
      </w:r>
      <w:r w:rsidR="00330B3F" w:rsidRPr="0044272D">
        <w:rPr>
          <w:i/>
          <w:lang w:val="en-US" w:eastAsia="ja-JP"/>
        </w:rPr>
        <w:t>8,</w:t>
      </w:r>
      <w:r w:rsidR="00330B3F">
        <w:rPr>
          <w:i/>
          <w:lang w:val="en-US" w:eastAsia="ja-JP"/>
        </w:rPr>
        <w:t xml:space="preserve"> </w:t>
      </w:r>
      <w:r w:rsidR="00330B3F" w:rsidRPr="0044272D">
        <w:rPr>
          <w:i/>
          <w:lang w:val="en-US" w:eastAsia="ja-JP"/>
        </w:rPr>
        <w:t>9</w:t>
      </w:r>
      <w:r w:rsidRPr="0044272D">
        <w:rPr>
          <w:i/>
          <w:lang w:val="en-US" w:eastAsia="ja-JP"/>
        </w:rPr>
        <w:t xml:space="preserve"> and 10</w:t>
      </w:r>
      <w:r>
        <w:rPr>
          <w:lang w:val="en-US" w:eastAsia="ja-JP"/>
        </w:rPr>
        <w:t>,</w:t>
      </w:r>
      <w:r w:rsidR="00822B30" w:rsidRPr="00491358">
        <w:rPr>
          <w:lang w:val="en-US" w:eastAsia="ja-JP"/>
        </w:rPr>
        <w:t xml:space="preserve"> </w:t>
      </w:r>
      <w:r>
        <w:rPr>
          <w:lang w:val="en-US" w:eastAsia="ja-JP"/>
        </w:rPr>
        <w:t>amend to read</w:t>
      </w:r>
      <w:r w:rsidR="00822B30" w:rsidRPr="00491358">
        <w:rPr>
          <w:lang w:val="en-US" w:eastAsia="ja-JP"/>
        </w:rPr>
        <w:t>:</w:t>
      </w:r>
    </w:p>
    <w:p w:rsidR="0044272D" w:rsidRPr="0009532F" w:rsidRDefault="00873E0A" w:rsidP="0009532F">
      <w:pPr>
        <w:widowControl w:val="0"/>
        <w:suppressAutoHyphens w:val="0"/>
        <w:autoSpaceDE w:val="0"/>
        <w:autoSpaceDN w:val="0"/>
        <w:adjustRightInd w:val="0"/>
        <w:spacing w:after="120"/>
        <w:ind w:left="1701" w:right="1134" w:hanging="567"/>
        <w:jc w:val="both"/>
      </w:pPr>
      <w:r w:rsidRPr="000953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88B3" wp14:editId="645105E1">
                <wp:simplePos x="0" y="0"/>
                <wp:positionH relativeFrom="column">
                  <wp:posOffset>460375</wp:posOffset>
                </wp:positionH>
                <wp:positionV relativeFrom="paragraph">
                  <wp:posOffset>252095</wp:posOffset>
                </wp:positionV>
                <wp:extent cx="4783455" cy="2067560"/>
                <wp:effectExtent l="3175" t="4445" r="4445" b="44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B3F" w:rsidRDefault="00330B3F" w:rsidP="0044272D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Figure 5                                                                    </w:t>
                            </w:r>
                            <w:r w:rsidRPr="001300EE">
                              <w:rPr>
                                <w:szCs w:val="24"/>
                              </w:rPr>
                              <w:t>Figure 6</w:t>
                            </w:r>
                            <w:r w:rsidRPr="001300EE">
                              <w:rPr>
                                <w:szCs w:val="24"/>
                              </w:rPr>
                              <w:br/>
                            </w:r>
                            <w:r w:rsidRPr="001300EE">
                              <w:rPr>
                                <w:szCs w:val="24"/>
                              </w:rPr>
                              <w:br/>
                            </w:r>
                            <w:r w:rsidR="00873E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4297FF" wp14:editId="32CDED6D">
                                  <wp:extent cx="3282315" cy="161099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2315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25pt;margin-top:19.85pt;width:376.65pt;height:1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3shQIAABA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" stroked="f">
                <v:textbox>
                  <w:txbxContent>
                    <w:p w:rsidR="00330B3F" w:rsidRDefault="00330B3F" w:rsidP="0044272D">
                      <w:pPr>
                        <w:jc w:val="center"/>
                      </w:pPr>
                      <w:r>
                        <w:rPr>
                          <w:szCs w:val="24"/>
                        </w:rPr>
                        <w:t xml:space="preserve">Figure 5                                                                    </w:t>
                      </w:r>
                      <w:r w:rsidRPr="001300EE">
                        <w:rPr>
                          <w:szCs w:val="24"/>
                        </w:rPr>
                        <w:t>Figure 6</w:t>
                      </w:r>
                      <w:r w:rsidRPr="001300EE">
                        <w:rPr>
                          <w:szCs w:val="24"/>
                        </w:rPr>
                        <w:br/>
                      </w:r>
                      <w:r w:rsidRPr="001300EE">
                        <w:rPr>
                          <w:szCs w:val="24"/>
                        </w:rPr>
                        <w:br/>
                      </w:r>
                      <w:r w:rsidR="00873E0A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282315" cy="161099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2315" cy="161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32F" w:rsidRPr="0009532F">
        <w:t>"</w:t>
      </w:r>
      <w:r w:rsidR="0009532F">
        <w:tab/>
        <w:t>...</w:t>
      </w:r>
    </w:p>
    <w:p w:rsidR="0044272D" w:rsidRDefault="0044272D" w:rsidP="0009532F">
      <w:pPr>
        <w:keepNext/>
        <w:keepLines/>
        <w:tabs>
          <w:tab w:val="right" w:pos="851"/>
        </w:tabs>
        <w:spacing w:before="360" w:after="120"/>
        <w:ind w:left="1134" w:right="1134" w:hanging="1134"/>
        <w:rPr>
          <w:b/>
          <w:sz w:val="28"/>
        </w:rPr>
      </w:pPr>
    </w:p>
    <w:p w:rsidR="0044272D" w:rsidRDefault="0044272D" w:rsidP="0009532F">
      <w:pPr>
        <w:keepNext/>
        <w:keepLines/>
        <w:tabs>
          <w:tab w:val="right" w:pos="851"/>
        </w:tabs>
        <w:spacing w:before="360" w:after="120"/>
        <w:ind w:left="1134" w:right="1134" w:hanging="1134"/>
        <w:rPr>
          <w:b/>
          <w:sz w:val="28"/>
        </w:rPr>
      </w:pPr>
    </w:p>
    <w:p w:rsidR="0044272D" w:rsidRDefault="0044272D" w:rsidP="0009532F">
      <w:pPr>
        <w:keepNext/>
        <w:keepLines/>
        <w:tabs>
          <w:tab w:val="right" w:pos="851"/>
        </w:tabs>
        <w:spacing w:before="360" w:after="120"/>
        <w:ind w:left="1134" w:right="1134" w:hanging="1134"/>
        <w:rPr>
          <w:b/>
          <w:sz w:val="28"/>
        </w:rPr>
      </w:pPr>
    </w:p>
    <w:p w:rsidR="0044272D" w:rsidRDefault="0044272D" w:rsidP="0009532F">
      <w:pPr>
        <w:keepNext/>
        <w:keepLines/>
        <w:tabs>
          <w:tab w:val="right" w:pos="851"/>
        </w:tabs>
        <w:spacing w:before="360" w:after="120"/>
        <w:ind w:left="1134" w:right="1134" w:hanging="1134"/>
        <w:rPr>
          <w:b/>
          <w:sz w:val="28"/>
        </w:rPr>
      </w:pPr>
    </w:p>
    <w:p w:rsidR="0044272D" w:rsidRDefault="0044272D" w:rsidP="0009532F">
      <w:pPr>
        <w:keepNext/>
        <w:keepLines/>
        <w:tabs>
          <w:tab w:val="right" w:pos="851"/>
        </w:tabs>
        <w:spacing w:before="360" w:after="120"/>
        <w:ind w:left="1134" w:right="1134" w:hanging="1134"/>
        <w:rPr>
          <w:b/>
          <w:sz w:val="28"/>
        </w:rPr>
      </w:pPr>
    </w:p>
    <w:p w:rsidR="0044272D" w:rsidRPr="001300EE" w:rsidRDefault="0044272D" w:rsidP="0009532F">
      <w:pPr>
        <w:spacing w:after="120"/>
        <w:ind w:left="1134" w:right="1134" w:firstLine="567"/>
        <w:jc w:val="both"/>
      </w:pPr>
      <w:r w:rsidRPr="001300EE">
        <w:t>The headlamp bearing the above approval mark is a headlamp incorporating a lens of plastic material meeting the requirements of this Regulation in respect of the passing-beam only and is designed:</w:t>
      </w:r>
    </w:p>
    <w:p w:rsidR="0044272D" w:rsidRPr="00330B3F" w:rsidRDefault="0044272D" w:rsidP="0009532F">
      <w:pPr>
        <w:spacing w:after="120"/>
        <w:ind w:left="1134" w:right="1134"/>
        <w:jc w:val="both"/>
      </w:pPr>
      <w:r w:rsidRPr="00330B3F">
        <w:t xml:space="preserve">Figure 5: Class A for </w:t>
      </w:r>
      <w:r w:rsidRPr="00330B3F">
        <w:rPr>
          <w:strike/>
        </w:rPr>
        <w:t>both traffic systems</w:t>
      </w:r>
      <w:r w:rsidRPr="00330B3F">
        <w:t xml:space="preserve"> </w:t>
      </w:r>
      <w:r w:rsidR="00330B3F">
        <w:rPr>
          <w:b/>
        </w:rPr>
        <w:t>left</w:t>
      </w:r>
      <w:r w:rsidRPr="00330B3F">
        <w:rPr>
          <w:b/>
        </w:rPr>
        <w:t>-hand traffic only</w:t>
      </w:r>
      <w:r w:rsidRPr="00330B3F">
        <w:t>.</w:t>
      </w:r>
    </w:p>
    <w:p w:rsidR="0044272D" w:rsidRPr="001300EE" w:rsidRDefault="0044272D" w:rsidP="0009532F">
      <w:pPr>
        <w:spacing w:after="120"/>
        <w:ind w:left="1134" w:right="1134"/>
        <w:jc w:val="both"/>
      </w:pPr>
      <w:r w:rsidRPr="00330B3F">
        <w:t xml:space="preserve">Figure 6: Class B for </w:t>
      </w:r>
      <w:r w:rsidRPr="00330B3F">
        <w:rPr>
          <w:strike/>
        </w:rPr>
        <w:t xml:space="preserve">right-hand traffic only </w:t>
      </w:r>
      <w:r w:rsidRPr="00330B3F">
        <w:rPr>
          <w:b/>
        </w:rPr>
        <w:t>both traffic systems</w:t>
      </w:r>
      <w:r w:rsidRPr="00330B3F">
        <w:t>.</w:t>
      </w:r>
    </w:p>
    <w:p w:rsidR="0044272D" w:rsidRPr="000739D1" w:rsidRDefault="0044272D" w:rsidP="0009532F">
      <w:pPr>
        <w:tabs>
          <w:tab w:val="left" w:pos="5103"/>
        </w:tabs>
        <w:spacing w:before="360" w:after="120"/>
        <w:ind w:left="1134" w:right="1134"/>
        <w:jc w:val="both"/>
      </w:pPr>
      <w:r w:rsidRPr="000739D1">
        <w:t>Figure 7</w:t>
      </w:r>
      <w:r w:rsidRPr="000739D1">
        <w:tab/>
        <w:t>Figure 8</w:t>
      </w:r>
    </w:p>
    <w:p w:rsidR="0044272D" w:rsidRPr="000739D1" w:rsidRDefault="00873E0A" w:rsidP="0009532F">
      <w:pPr>
        <w:spacing w:after="120"/>
        <w:ind w:left="1134" w:right="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B7430" wp14:editId="36851B0C">
                <wp:simplePos x="0" y="0"/>
                <wp:positionH relativeFrom="column">
                  <wp:posOffset>4882515</wp:posOffset>
                </wp:positionH>
                <wp:positionV relativeFrom="paragraph">
                  <wp:posOffset>441325</wp:posOffset>
                </wp:positionV>
                <wp:extent cx="1337310" cy="1023620"/>
                <wp:effectExtent l="910590" t="12700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023620"/>
                        </a:xfrm>
                        <a:prstGeom prst="wedgeEllipseCallout">
                          <a:avLst>
                            <a:gd name="adj1" fmla="val -114148"/>
                            <a:gd name="adj2" fmla="val -2952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3F" w:rsidRPr="003C6B85" w:rsidRDefault="00330B3F" w:rsidP="0044272D">
                            <w:pPr>
                              <w:rPr>
                                <w:b/>
                              </w:rPr>
                            </w:pPr>
                            <w:r w:rsidRPr="003C6B85">
                              <w:rPr>
                                <w:b/>
                              </w:rPr>
                              <w:t>This double headed arrow should be deleted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7" type="#_x0000_t63" style="position:absolute;left:0;text-align:left;margin-left:384.45pt;margin-top:34.75pt;width:105.3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" adj="-13856,4422" fillcolor="yellow">
                <v:textbox>
                  <w:txbxContent>
                    <w:p w:rsidR="00330B3F" w:rsidRPr="003C6B85" w:rsidRDefault="00330B3F" w:rsidP="0044272D">
                      <w:pPr>
                        <w:rPr>
                          <w:b/>
                        </w:rPr>
                      </w:pPr>
                      <w:r w:rsidRPr="003C6B85">
                        <w:rPr>
                          <w:b/>
                        </w:rPr>
                        <w:t>This double headed arrow should be deleted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6B6B62" wp14:editId="53036824">
            <wp:extent cx="3613785" cy="1883410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2D" w:rsidRPr="000739D1" w:rsidRDefault="0044272D" w:rsidP="0009532F">
      <w:pPr>
        <w:spacing w:after="120"/>
        <w:ind w:left="1134" w:right="1134" w:firstLine="567"/>
        <w:jc w:val="both"/>
      </w:pPr>
      <w:r w:rsidRPr="000739D1">
        <w:t>The headlamp bearing the above approval mark is a headlamp meeting the requirements of this Regulation:</w:t>
      </w:r>
    </w:p>
    <w:p w:rsidR="0044272D" w:rsidRPr="000739D1" w:rsidRDefault="0044272D" w:rsidP="0009532F">
      <w:pPr>
        <w:spacing w:after="120"/>
        <w:ind w:left="1134" w:right="1134"/>
        <w:jc w:val="both"/>
        <w:rPr>
          <w:spacing w:val="-4"/>
        </w:rPr>
      </w:pPr>
      <w:r w:rsidRPr="000739D1">
        <w:rPr>
          <w:spacing w:val="-4"/>
        </w:rPr>
        <w:t>Figure 7: Class B in respect of the passing-beam only and is designed for left-hand traffic only.</w:t>
      </w:r>
    </w:p>
    <w:p w:rsidR="0044272D" w:rsidRPr="000739D1" w:rsidRDefault="0044272D" w:rsidP="0009532F">
      <w:pPr>
        <w:spacing w:after="120"/>
        <w:ind w:left="1134" w:right="1134"/>
        <w:jc w:val="both"/>
      </w:pPr>
      <w:r w:rsidRPr="000739D1">
        <w:t>Figure 8: Class A in respect of the driving-beam only.</w:t>
      </w:r>
    </w:p>
    <w:p w:rsidR="0044272D" w:rsidRDefault="0044272D" w:rsidP="0009532F">
      <w:pPr>
        <w:tabs>
          <w:tab w:val="left" w:pos="6200"/>
        </w:tabs>
        <w:spacing w:after="120"/>
        <w:ind w:left="1134" w:right="1134"/>
        <w:jc w:val="both"/>
        <w:rPr>
          <w:szCs w:val="24"/>
        </w:rPr>
      </w:pPr>
      <w:r>
        <w:rPr>
          <w:szCs w:val="24"/>
        </w:rPr>
        <w:br w:type="page"/>
      </w:r>
      <w:r w:rsidRPr="001300EE">
        <w:rPr>
          <w:szCs w:val="24"/>
        </w:rPr>
        <w:lastRenderedPageBreak/>
        <w:br/>
      </w:r>
      <w:r>
        <w:rPr>
          <w:szCs w:val="24"/>
        </w:rPr>
        <w:t>Figure 9</w:t>
      </w:r>
      <w:r>
        <w:rPr>
          <w:szCs w:val="24"/>
        </w:rPr>
        <w:tab/>
      </w:r>
      <w:r w:rsidRPr="001300EE">
        <w:rPr>
          <w:szCs w:val="24"/>
        </w:rPr>
        <w:t>Figure 10</w:t>
      </w:r>
    </w:p>
    <w:p w:rsidR="0044272D" w:rsidRPr="001300EE" w:rsidRDefault="0044272D" w:rsidP="0009532F">
      <w:pPr>
        <w:tabs>
          <w:tab w:val="left" w:pos="5387"/>
        </w:tabs>
        <w:spacing w:after="120"/>
        <w:ind w:left="1701" w:right="1134"/>
        <w:jc w:val="both"/>
        <w:rPr>
          <w:szCs w:val="24"/>
        </w:rPr>
      </w:pPr>
    </w:p>
    <w:p w:rsidR="0044272D" w:rsidRPr="001300EE" w:rsidRDefault="00873E0A" w:rsidP="0009532F">
      <w:pPr>
        <w:spacing w:after="120"/>
        <w:ind w:left="1134" w:right="1134"/>
        <w:jc w:val="both"/>
      </w:pPr>
      <w:r>
        <w:rPr>
          <w:noProof/>
          <w:lang w:eastAsia="en-GB"/>
        </w:rPr>
        <w:drawing>
          <wp:inline distT="0" distB="0" distL="0" distR="0" wp14:anchorId="44BF093D" wp14:editId="6FD25308">
            <wp:extent cx="3532505" cy="18453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2D" w:rsidRDefault="0044272D" w:rsidP="0009532F">
      <w:pPr>
        <w:spacing w:after="120"/>
        <w:ind w:left="1134" w:right="1134" w:firstLine="567"/>
        <w:jc w:val="both"/>
      </w:pPr>
    </w:p>
    <w:p w:rsidR="0044272D" w:rsidRPr="001300EE" w:rsidRDefault="0044272D" w:rsidP="0009532F">
      <w:pPr>
        <w:spacing w:after="120"/>
        <w:ind w:left="1134" w:right="1134"/>
        <w:jc w:val="both"/>
      </w:pPr>
      <w:r w:rsidRPr="001300EE">
        <w:t>Identification of a headlamp incorporating a lens of plastic material meeting the requirements of this Regulation:</w:t>
      </w:r>
    </w:p>
    <w:p w:rsidR="0044272D" w:rsidRPr="001300EE" w:rsidRDefault="0044272D" w:rsidP="0009532F">
      <w:pPr>
        <w:spacing w:after="120"/>
        <w:ind w:left="1134" w:right="1134"/>
        <w:jc w:val="both"/>
      </w:pPr>
      <w:r w:rsidRPr="001300EE">
        <w:t xml:space="preserve">Figure 9: Class B in respect to both the passing-beam and driving-beam and designed for </w:t>
      </w:r>
      <w:r w:rsidRPr="00330B3F">
        <w:rPr>
          <w:strike/>
        </w:rPr>
        <w:t>right-hand</w:t>
      </w:r>
      <w:r w:rsidRPr="00330B3F">
        <w:t xml:space="preserve"> </w:t>
      </w:r>
      <w:r w:rsidRPr="00330B3F">
        <w:rPr>
          <w:b/>
        </w:rPr>
        <w:t>left-hand</w:t>
      </w:r>
      <w:r w:rsidRPr="00330B3F">
        <w:t xml:space="preserve"> traffic only.</w:t>
      </w:r>
    </w:p>
    <w:p w:rsidR="0044272D" w:rsidRPr="001300EE" w:rsidRDefault="0044272D" w:rsidP="0009532F">
      <w:pPr>
        <w:spacing w:after="120"/>
        <w:ind w:left="1134" w:right="1134"/>
        <w:jc w:val="both"/>
      </w:pPr>
      <w:r w:rsidRPr="001300EE">
        <w:t xml:space="preserve">Figure 10: Class B in respect to the passing-beam only and designed </w:t>
      </w:r>
      <w:r w:rsidRPr="009E1779">
        <w:t>for right-hand traffic</w:t>
      </w:r>
      <w:r w:rsidRPr="001300EE">
        <w:t xml:space="preserve"> only.</w:t>
      </w:r>
    </w:p>
    <w:p w:rsidR="0044272D" w:rsidRPr="001300EE" w:rsidRDefault="0044272D" w:rsidP="0009532F">
      <w:pPr>
        <w:spacing w:after="120"/>
        <w:ind w:left="1134" w:right="1134"/>
        <w:jc w:val="both"/>
      </w:pPr>
      <w:r w:rsidRPr="001300EE">
        <w:t>The passing-beam shall not be operated simultaneously with the driving-beam and/or another reciprocally incorporated headlamp</w:t>
      </w:r>
      <w:r w:rsidR="0009532F">
        <w:t>…"</w:t>
      </w:r>
    </w:p>
    <w:p w:rsidR="00A5414C" w:rsidRPr="001A75FF" w:rsidRDefault="00A5414C" w:rsidP="0009532F">
      <w:pPr>
        <w:pStyle w:val="HChG"/>
        <w:spacing w:after="120" w:line="240" w:lineRule="atLeast"/>
        <w:rPr>
          <w:lang w:val="en-US"/>
        </w:rPr>
      </w:pPr>
      <w:r w:rsidRPr="00822B30">
        <w:rPr>
          <w:lang w:val="en-US"/>
        </w:rPr>
        <w:tab/>
      </w:r>
      <w:r w:rsidRPr="001A75FF">
        <w:rPr>
          <w:lang w:val="en-US"/>
        </w:rPr>
        <w:t>II.</w:t>
      </w:r>
      <w:r w:rsidRPr="001A75FF">
        <w:rPr>
          <w:lang w:val="en-US"/>
        </w:rPr>
        <w:tab/>
        <w:t>Justification</w:t>
      </w:r>
    </w:p>
    <w:p w:rsidR="00822B30" w:rsidRPr="00330B3F" w:rsidRDefault="0009532F" w:rsidP="0009532F">
      <w:pPr>
        <w:tabs>
          <w:tab w:val="left" w:pos="851"/>
        </w:tabs>
        <w:spacing w:after="120"/>
        <w:ind w:left="1134" w:right="1134"/>
        <w:jc w:val="both"/>
        <w:rPr>
          <w:lang w:eastAsia="ja-JP"/>
        </w:rPr>
      </w:pPr>
      <w:r>
        <w:rPr>
          <w:lang w:val="en-US" w:eastAsia="ja-JP"/>
        </w:rPr>
        <w:tab/>
      </w:r>
      <w:r w:rsidR="003E29DF">
        <w:rPr>
          <w:lang w:val="en-US" w:eastAsia="ja-JP"/>
        </w:rPr>
        <w:t>E</w:t>
      </w:r>
      <w:r w:rsidR="00330B3F">
        <w:rPr>
          <w:lang w:val="en-US" w:eastAsia="ja-JP"/>
        </w:rPr>
        <w:t xml:space="preserve">rrors have been identified in the </w:t>
      </w:r>
      <w:r w:rsidR="009056ED">
        <w:rPr>
          <w:lang w:val="en-US" w:eastAsia="ja-JP"/>
        </w:rPr>
        <w:t>references to “left-hand traffic” and “right-hand traffic” in the text and associated diagrams of Annex 2.</w:t>
      </w:r>
    </w:p>
    <w:p w:rsidR="00822B30" w:rsidRPr="00822B30" w:rsidRDefault="004348AD" w:rsidP="00E50941">
      <w:pPr>
        <w:pStyle w:val="SingleTxtG"/>
        <w:jc w:val="center"/>
        <w:rPr>
          <w:rFonts w:ascii="Arial" w:hAnsi="Arial" w:cs="Arial"/>
          <w:bCs/>
          <w:lang w:val="en-US" w:eastAsia="ja-JP"/>
        </w:rPr>
      </w:pPr>
      <w:r w:rsidRPr="00822B30">
        <w:rPr>
          <w:u w:val="single"/>
        </w:rPr>
        <w:tab/>
      </w:r>
      <w:r w:rsidRPr="00822B30">
        <w:rPr>
          <w:u w:val="single"/>
        </w:rPr>
        <w:tab/>
      </w:r>
      <w:r w:rsidRPr="00822B30">
        <w:rPr>
          <w:u w:val="single"/>
        </w:rPr>
        <w:tab/>
      </w:r>
    </w:p>
    <w:p w:rsidR="00822B30" w:rsidRPr="00822B30" w:rsidRDefault="00822B30" w:rsidP="00822B30">
      <w:pPr>
        <w:pStyle w:val="SingleTxtG"/>
        <w:jc w:val="center"/>
        <w:rPr>
          <w:u w:val="single"/>
          <w:lang w:val="en-US"/>
        </w:rPr>
      </w:pPr>
    </w:p>
    <w:sectPr w:rsidR="00822B30" w:rsidRPr="00822B30" w:rsidSect="006D66A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3F" w:rsidRDefault="00330B3F"/>
  </w:endnote>
  <w:endnote w:type="continuationSeparator" w:id="0">
    <w:p w:rsidR="00330B3F" w:rsidRDefault="00330B3F"/>
  </w:endnote>
  <w:endnote w:type="continuationNotice" w:id="1">
    <w:p w:rsidR="00330B3F" w:rsidRDefault="00330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3F" w:rsidRPr="006D66AF" w:rsidRDefault="00330B3F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E01AFA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3F" w:rsidRPr="006D66AF" w:rsidRDefault="00330B3F" w:rsidP="00F44567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E01AFA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3F" w:rsidRPr="00EA2A77" w:rsidRDefault="00873E0A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3F">
      <w:rPr>
        <w:sz w:val="20"/>
      </w:rPr>
      <w:t>GE.1</w:t>
    </w:r>
    <w:r w:rsidR="00F44567">
      <w:rPr>
        <w:sz w:val="20"/>
      </w:rPr>
      <w:t>5</w:t>
    </w:r>
    <w:r w:rsidR="00330B3F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3F" w:rsidRPr="000B175B" w:rsidRDefault="00330B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0B3F" w:rsidRPr="00FC68B7" w:rsidRDefault="00330B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0B3F" w:rsidRDefault="00330B3F"/>
  </w:footnote>
  <w:footnote w:id="2">
    <w:p w:rsidR="00330B3F" w:rsidRDefault="00330B3F" w:rsidP="00B52192">
      <w:pPr>
        <w:pStyle w:val="FootnoteText"/>
        <w:jc w:val="both"/>
      </w:pPr>
      <w:r>
        <w:tab/>
      </w:r>
      <w:r w:rsidRPr="00872538">
        <w:rPr>
          <w:rStyle w:val="FootnoteReference"/>
          <w:sz w:val="24"/>
          <w:szCs w:val="24"/>
          <w:lang w:val="en-US"/>
        </w:rPr>
        <w:t>*</w:t>
      </w:r>
      <w:r w:rsidRPr="002232AF">
        <w:rPr>
          <w:sz w:val="20"/>
          <w:lang w:val="en-US"/>
        </w:rPr>
        <w:tab/>
      </w:r>
      <w:r w:rsidR="00F44567" w:rsidRPr="00F44567">
        <w:rPr>
          <w:lang w:val="en-US"/>
        </w:rPr>
        <w:t xml:space="preserve"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3F" w:rsidRPr="006D66AF" w:rsidRDefault="00330B3F" w:rsidP="00157FE9">
    <w:pPr>
      <w:pStyle w:val="Header"/>
    </w:pPr>
    <w:r w:rsidRPr="00A91E4C">
      <w:t>ECE/TRANS/WP.29/GRE/201</w:t>
    </w:r>
    <w:r w:rsidR="00F44567">
      <w:t>5</w:t>
    </w:r>
    <w:r w:rsidRPr="00A91E4C">
      <w:t>/</w:t>
    </w:r>
    <w:r w:rsidR="00F44567">
      <w:t>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3F" w:rsidRPr="006D66AF" w:rsidRDefault="00330B3F" w:rsidP="00F44567">
    <w:pPr>
      <w:pStyle w:val="Header"/>
      <w:jc w:val="right"/>
    </w:pPr>
    <w:r>
      <w:t>ECE/TRANS/WP.29</w:t>
    </w:r>
    <w:r w:rsidRPr="00F44567">
      <w:t>/GRE/</w:t>
    </w:r>
    <w:r w:rsidR="00F44567" w:rsidRPr="00F44567">
      <w:t>2015</w:t>
    </w:r>
    <w:r w:rsidRPr="00F44567">
      <w:t>/</w:t>
    </w:r>
    <w:r w:rsidR="00F44567" w:rsidRPr="00F44567"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5D735CF"/>
    <w:multiLevelType w:val="hybridMultilevel"/>
    <w:tmpl w:val="2B8E34F0"/>
    <w:lvl w:ilvl="0" w:tplc="EB2226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3"/>
  </w:num>
  <w:num w:numId="14">
    <w:abstractNumId w:val="19"/>
  </w:num>
  <w:num w:numId="15">
    <w:abstractNumId w:val="20"/>
  </w:num>
  <w:num w:numId="16">
    <w:abstractNumId w:val="10"/>
  </w:num>
  <w:num w:numId="17">
    <w:abstractNumId w:val="15"/>
  </w:num>
  <w:num w:numId="18">
    <w:abstractNumId w:val="17"/>
  </w:num>
  <w:num w:numId="19">
    <w:abstractNumId w:val="11"/>
  </w:num>
  <w:num w:numId="20">
    <w:abstractNumId w:val="16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1B24"/>
    <w:rsid w:val="00013D99"/>
    <w:rsid w:val="00023F66"/>
    <w:rsid w:val="0003056C"/>
    <w:rsid w:val="000348D3"/>
    <w:rsid w:val="000444B6"/>
    <w:rsid w:val="00046B1F"/>
    <w:rsid w:val="00050F6B"/>
    <w:rsid w:val="00052635"/>
    <w:rsid w:val="00057E97"/>
    <w:rsid w:val="000646F4"/>
    <w:rsid w:val="0007150E"/>
    <w:rsid w:val="00072C8C"/>
    <w:rsid w:val="000733B5"/>
    <w:rsid w:val="00081815"/>
    <w:rsid w:val="00092169"/>
    <w:rsid w:val="000931C0"/>
    <w:rsid w:val="0009532F"/>
    <w:rsid w:val="00096FFF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F431B"/>
    <w:rsid w:val="001078D2"/>
    <w:rsid w:val="001103AA"/>
    <w:rsid w:val="0011666B"/>
    <w:rsid w:val="00124000"/>
    <w:rsid w:val="0013722F"/>
    <w:rsid w:val="0014380B"/>
    <w:rsid w:val="00157FE9"/>
    <w:rsid w:val="0016538B"/>
    <w:rsid w:val="00165F3A"/>
    <w:rsid w:val="00182290"/>
    <w:rsid w:val="001A3955"/>
    <w:rsid w:val="001A75FF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1121"/>
    <w:rsid w:val="00211E0B"/>
    <w:rsid w:val="0024772E"/>
    <w:rsid w:val="00267F5F"/>
    <w:rsid w:val="00283697"/>
    <w:rsid w:val="00286B4D"/>
    <w:rsid w:val="002A6754"/>
    <w:rsid w:val="002B1DCA"/>
    <w:rsid w:val="002D4643"/>
    <w:rsid w:val="002F175C"/>
    <w:rsid w:val="002F7DE0"/>
    <w:rsid w:val="00302E18"/>
    <w:rsid w:val="003229D8"/>
    <w:rsid w:val="00330B3F"/>
    <w:rsid w:val="00340057"/>
    <w:rsid w:val="00352709"/>
    <w:rsid w:val="003619B5"/>
    <w:rsid w:val="00361AC3"/>
    <w:rsid w:val="00365763"/>
    <w:rsid w:val="00371178"/>
    <w:rsid w:val="00392E47"/>
    <w:rsid w:val="003936BC"/>
    <w:rsid w:val="003A6810"/>
    <w:rsid w:val="003C2CC4"/>
    <w:rsid w:val="003C534D"/>
    <w:rsid w:val="003D4B23"/>
    <w:rsid w:val="003E130E"/>
    <w:rsid w:val="003E1EC6"/>
    <w:rsid w:val="003E29DF"/>
    <w:rsid w:val="00410C89"/>
    <w:rsid w:val="00422699"/>
    <w:rsid w:val="00422E03"/>
    <w:rsid w:val="00426B9B"/>
    <w:rsid w:val="00431D57"/>
    <w:rsid w:val="004325CB"/>
    <w:rsid w:val="004348AD"/>
    <w:rsid w:val="0044272D"/>
    <w:rsid w:val="00442A83"/>
    <w:rsid w:val="00444A24"/>
    <w:rsid w:val="00453556"/>
    <w:rsid w:val="0045495B"/>
    <w:rsid w:val="004561E5"/>
    <w:rsid w:val="004833EE"/>
    <w:rsid w:val="0048397A"/>
    <w:rsid w:val="00485CBB"/>
    <w:rsid w:val="004866B7"/>
    <w:rsid w:val="00491358"/>
    <w:rsid w:val="004B1956"/>
    <w:rsid w:val="004C0081"/>
    <w:rsid w:val="004C2461"/>
    <w:rsid w:val="004C7462"/>
    <w:rsid w:val="004D127C"/>
    <w:rsid w:val="004E77B2"/>
    <w:rsid w:val="00501DC3"/>
    <w:rsid w:val="0050237E"/>
    <w:rsid w:val="00504B2D"/>
    <w:rsid w:val="0052136D"/>
    <w:rsid w:val="005214EB"/>
    <w:rsid w:val="0052775E"/>
    <w:rsid w:val="005369ED"/>
    <w:rsid w:val="005420F2"/>
    <w:rsid w:val="0056209A"/>
    <w:rsid w:val="005628B6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F1A80"/>
    <w:rsid w:val="005F5FE0"/>
    <w:rsid w:val="005F7B75"/>
    <w:rsid w:val="006001EE"/>
    <w:rsid w:val="00605042"/>
    <w:rsid w:val="00611FC4"/>
    <w:rsid w:val="00613812"/>
    <w:rsid w:val="006176FB"/>
    <w:rsid w:val="006215CB"/>
    <w:rsid w:val="0062385B"/>
    <w:rsid w:val="00640B26"/>
    <w:rsid w:val="00652D0A"/>
    <w:rsid w:val="00662BB6"/>
    <w:rsid w:val="00671B51"/>
    <w:rsid w:val="00672A48"/>
    <w:rsid w:val="00672F8A"/>
    <w:rsid w:val="0067362F"/>
    <w:rsid w:val="006740CB"/>
    <w:rsid w:val="00676606"/>
    <w:rsid w:val="0068000A"/>
    <w:rsid w:val="006810B6"/>
    <w:rsid w:val="00684C21"/>
    <w:rsid w:val="00695CEC"/>
    <w:rsid w:val="006A2530"/>
    <w:rsid w:val="006C3589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24B93"/>
    <w:rsid w:val="0072632A"/>
    <w:rsid w:val="007327D5"/>
    <w:rsid w:val="00733B05"/>
    <w:rsid w:val="00761394"/>
    <w:rsid w:val="007629C8"/>
    <w:rsid w:val="0076665D"/>
    <w:rsid w:val="0077047D"/>
    <w:rsid w:val="007864BD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6611"/>
    <w:rsid w:val="00811920"/>
    <w:rsid w:val="00815AD0"/>
    <w:rsid w:val="00815EDB"/>
    <w:rsid w:val="00822B30"/>
    <w:rsid w:val="008242D7"/>
    <w:rsid w:val="008257B1"/>
    <w:rsid w:val="00832334"/>
    <w:rsid w:val="00833030"/>
    <w:rsid w:val="00834D28"/>
    <w:rsid w:val="00843191"/>
    <w:rsid w:val="00843767"/>
    <w:rsid w:val="0085595A"/>
    <w:rsid w:val="00864245"/>
    <w:rsid w:val="008679D9"/>
    <w:rsid w:val="00872E3B"/>
    <w:rsid w:val="00873E0A"/>
    <w:rsid w:val="00876CCC"/>
    <w:rsid w:val="008878DE"/>
    <w:rsid w:val="008979B1"/>
    <w:rsid w:val="008A1ED5"/>
    <w:rsid w:val="008A6942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4D20"/>
    <w:rsid w:val="009056ED"/>
    <w:rsid w:val="00915EF6"/>
    <w:rsid w:val="009223CA"/>
    <w:rsid w:val="00930A10"/>
    <w:rsid w:val="00934631"/>
    <w:rsid w:val="00940F93"/>
    <w:rsid w:val="009448C3"/>
    <w:rsid w:val="00960F75"/>
    <w:rsid w:val="009760F3"/>
    <w:rsid w:val="00976CFB"/>
    <w:rsid w:val="00980F75"/>
    <w:rsid w:val="00994448"/>
    <w:rsid w:val="009A0830"/>
    <w:rsid w:val="009A0E8D"/>
    <w:rsid w:val="009B26E7"/>
    <w:rsid w:val="009B2F79"/>
    <w:rsid w:val="009B3273"/>
    <w:rsid w:val="009B544C"/>
    <w:rsid w:val="009B64BB"/>
    <w:rsid w:val="00A00697"/>
    <w:rsid w:val="00A00A3F"/>
    <w:rsid w:val="00A01205"/>
    <w:rsid w:val="00A01489"/>
    <w:rsid w:val="00A17B81"/>
    <w:rsid w:val="00A3026E"/>
    <w:rsid w:val="00A33778"/>
    <w:rsid w:val="00A338F1"/>
    <w:rsid w:val="00A35BE0"/>
    <w:rsid w:val="00A368C8"/>
    <w:rsid w:val="00A5414C"/>
    <w:rsid w:val="00A60C27"/>
    <w:rsid w:val="00A6129C"/>
    <w:rsid w:val="00A72F22"/>
    <w:rsid w:val="00A7360F"/>
    <w:rsid w:val="00A7397C"/>
    <w:rsid w:val="00A748A6"/>
    <w:rsid w:val="00A769F4"/>
    <w:rsid w:val="00A776B4"/>
    <w:rsid w:val="00A91E4C"/>
    <w:rsid w:val="00A94361"/>
    <w:rsid w:val="00AA11D6"/>
    <w:rsid w:val="00AA293C"/>
    <w:rsid w:val="00AD74C4"/>
    <w:rsid w:val="00B049A8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7D05"/>
    <w:rsid w:val="00B77F80"/>
    <w:rsid w:val="00B81206"/>
    <w:rsid w:val="00B81E12"/>
    <w:rsid w:val="00BB578F"/>
    <w:rsid w:val="00BC3F3B"/>
    <w:rsid w:val="00BC3FA0"/>
    <w:rsid w:val="00BC74E9"/>
    <w:rsid w:val="00BF1E2C"/>
    <w:rsid w:val="00BF30B3"/>
    <w:rsid w:val="00BF68A8"/>
    <w:rsid w:val="00C11A03"/>
    <w:rsid w:val="00C22C0C"/>
    <w:rsid w:val="00C37074"/>
    <w:rsid w:val="00C4527F"/>
    <w:rsid w:val="00C463DD"/>
    <w:rsid w:val="00C4724C"/>
    <w:rsid w:val="00C4769D"/>
    <w:rsid w:val="00C60646"/>
    <w:rsid w:val="00C629A0"/>
    <w:rsid w:val="00C64629"/>
    <w:rsid w:val="00C745C3"/>
    <w:rsid w:val="00C91644"/>
    <w:rsid w:val="00C94F10"/>
    <w:rsid w:val="00C96DF2"/>
    <w:rsid w:val="00CA1B34"/>
    <w:rsid w:val="00CB3E03"/>
    <w:rsid w:val="00CD4AA6"/>
    <w:rsid w:val="00CE4A8F"/>
    <w:rsid w:val="00D0711A"/>
    <w:rsid w:val="00D149F6"/>
    <w:rsid w:val="00D2031B"/>
    <w:rsid w:val="00D248B6"/>
    <w:rsid w:val="00D25FE2"/>
    <w:rsid w:val="00D26E07"/>
    <w:rsid w:val="00D43252"/>
    <w:rsid w:val="00D43876"/>
    <w:rsid w:val="00D44783"/>
    <w:rsid w:val="00D452D8"/>
    <w:rsid w:val="00D47EEA"/>
    <w:rsid w:val="00D70480"/>
    <w:rsid w:val="00D70910"/>
    <w:rsid w:val="00D773DF"/>
    <w:rsid w:val="00D95303"/>
    <w:rsid w:val="00D978C6"/>
    <w:rsid w:val="00DA3C1C"/>
    <w:rsid w:val="00DC64E9"/>
    <w:rsid w:val="00DC6D39"/>
    <w:rsid w:val="00E00F5C"/>
    <w:rsid w:val="00E01AFA"/>
    <w:rsid w:val="00E046DF"/>
    <w:rsid w:val="00E1086D"/>
    <w:rsid w:val="00E14EAE"/>
    <w:rsid w:val="00E22B0C"/>
    <w:rsid w:val="00E27346"/>
    <w:rsid w:val="00E40A45"/>
    <w:rsid w:val="00E50941"/>
    <w:rsid w:val="00E560CA"/>
    <w:rsid w:val="00E71BC8"/>
    <w:rsid w:val="00E7260F"/>
    <w:rsid w:val="00E73F5D"/>
    <w:rsid w:val="00E77E4E"/>
    <w:rsid w:val="00E96630"/>
    <w:rsid w:val="00EA2A77"/>
    <w:rsid w:val="00ED5D92"/>
    <w:rsid w:val="00ED7A2A"/>
    <w:rsid w:val="00EF1D7F"/>
    <w:rsid w:val="00F12AF0"/>
    <w:rsid w:val="00F16068"/>
    <w:rsid w:val="00F31E5F"/>
    <w:rsid w:val="00F44567"/>
    <w:rsid w:val="00F56016"/>
    <w:rsid w:val="00F6100A"/>
    <w:rsid w:val="00F923C4"/>
    <w:rsid w:val="00F93781"/>
    <w:rsid w:val="00FB613B"/>
    <w:rsid w:val="00FC68B7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table" w:customStyle="1" w:styleId="TableGrid10">
    <w:name w:val="Table Grid1"/>
    <w:basedOn w:val="TableNormal"/>
    <w:next w:val="TableGrid"/>
    <w:uiPriority w:val="59"/>
    <w:rsid w:val="00876CCC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table" w:customStyle="1" w:styleId="TableGrid10">
    <w:name w:val="Table Grid1"/>
    <w:basedOn w:val="TableNormal"/>
    <w:next w:val="TableGrid"/>
    <w:uiPriority w:val="59"/>
    <w:rsid w:val="00876CCC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8D9AE-7969-4074-AD53-330A88F4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07 series second set of changes</cp:lastModifiedBy>
  <cp:revision>2</cp:revision>
  <cp:lastPrinted>2015-01-21T08:55:00Z</cp:lastPrinted>
  <dcterms:created xsi:type="dcterms:W3CDTF">2015-01-23T13:41:00Z</dcterms:created>
  <dcterms:modified xsi:type="dcterms:W3CDTF">2015-01-23T13:41:00Z</dcterms:modified>
</cp:coreProperties>
</file>