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32934" w:rsidTr="006D66AF">
        <w:trPr>
          <w:cantSplit/>
          <w:trHeight w:hRule="exact" w:val="851"/>
        </w:trPr>
        <w:tc>
          <w:tcPr>
            <w:tcW w:w="1276" w:type="dxa"/>
            <w:tcBorders>
              <w:bottom w:val="single" w:sz="4" w:space="0" w:color="auto"/>
            </w:tcBorders>
            <w:shd w:val="clear" w:color="auto" w:fill="auto"/>
            <w:vAlign w:val="bottom"/>
          </w:tcPr>
          <w:p w:rsidR="00B56E9C" w:rsidRPr="00532934" w:rsidRDefault="00B56E9C" w:rsidP="006D66AF">
            <w:pPr>
              <w:spacing w:after="80"/>
            </w:pPr>
          </w:p>
        </w:tc>
        <w:tc>
          <w:tcPr>
            <w:tcW w:w="2268" w:type="dxa"/>
            <w:tcBorders>
              <w:bottom w:val="single" w:sz="4" w:space="0" w:color="auto"/>
            </w:tcBorders>
            <w:shd w:val="clear" w:color="auto" w:fill="auto"/>
            <w:vAlign w:val="bottom"/>
          </w:tcPr>
          <w:p w:rsidR="00B56E9C" w:rsidRPr="00532934" w:rsidRDefault="00B56E9C" w:rsidP="006D66AF">
            <w:pPr>
              <w:spacing w:after="80" w:line="300" w:lineRule="exact"/>
              <w:rPr>
                <w:b/>
                <w:sz w:val="24"/>
                <w:szCs w:val="24"/>
              </w:rPr>
            </w:pPr>
            <w:r w:rsidRPr="00532934">
              <w:rPr>
                <w:sz w:val="28"/>
                <w:szCs w:val="28"/>
              </w:rPr>
              <w:t>United Nations</w:t>
            </w:r>
          </w:p>
        </w:tc>
        <w:tc>
          <w:tcPr>
            <w:tcW w:w="6095" w:type="dxa"/>
            <w:gridSpan w:val="2"/>
            <w:tcBorders>
              <w:bottom w:val="single" w:sz="4" w:space="0" w:color="auto"/>
            </w:tcBorders>
            <w:shd w:val="clear" w:color="auto" w:fill="auto"/>
            <w:vAlign w:val="bottom"/>
          </w:tcPr>
          <w:p w:rsidR="00B56E9C" w:rsidRPr="00532934" w:rsidRDefault="006D66AF" w:rsidP="00467E4F">
            <w:pPr>
              <w:jc w:val="right"/>
              <w:rPr>
                <w:highlight w:val="yellow"/>
              </w:rPr>
            </w:pPr>
            <w:r w:rsidRPr="00532934">
              <w:rPr>
                <w:sz w:val="40"/>
              </w:rPr>
              <w:t>ECE</w:t>
            </w:r>
            <w:r w:rsidRPr="00532934">
              <w:t>/TRANS/WP.29/GRE/</w:t>
            </w:r>
            <w:r w:rsidR="00A91E4C" w:rsidRPr="00532934">
              <w:t>201</w:t>
            </w:r>
            <w:r w:rsidR="00DC64E9" w:rsidRPr="00532934">
              <w:t>5</w:t>
            </w:r>
            <w:r w:rsidRPr="00532934">
              <w:t>/</w:t>
            </w:r>
            <w:r w:rsidR="00467E4F" w:rsidRPr="00532934">
              <w:t>15</w:t>
            </w:r>
          </w:p>
        </w:tc>
      </w:tr>
      <w:tr w:rsidR="00B56E9C" w:rsidRPr="00532934" w:rsidTr="006D66AF">
        <w:trPr>
          <w:cantSplit/>
          <w:trHeight w:hRule="exact" w:val="2835"/>
        </w:trPr>
        <w:tc>
          <w:tcPr>
            <w:tcW w:w="1276" w:type="dxa"/>
            <w:tcBorders>
              <w:top w:val="single" w:sz="4" w:space="0" w:color="auto"/>
              <w:bottom w:val="single" w:sz="12" w:space="0" w:color="auto"/>
            </w:tcBorders>
            <w:shd w:val="clear" w:color="auto" w:fill="auto"/>
          </w:tcPr>
          <w:p w:rsidR="00B56E9C" w:rsidRPr="00532934" w:rsidRDefault="00532934" w:rsidP="006D66AF">
            <w:pPr>
              <w:spacing w:before="120"/>
            </w:pPr>
            <w:r>
              <w:rPr>
                <w:noProof/>
                <w:lang w:eastAsia="en-GB"/>
              </w:rPr>
              <w:drawing>
                <wp:inline distT="0" distB="0" distL="0" distR="0">
                  <wp:extent cx="718185" cy="593090"/>
                  <wp:effectExtent l="0" t="0" r="571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32934" w:rsidRDefault="00D773DF" w:rsidP="006D66AF">
            <w:pPr>
              <w:spacing w:before="120" w:line="420" w:lineRule="exact"/>
              <w:rPr>
                <w:sz w:val="40"/>
                <w:szCs w:val="40"/>
              </w:rPr>
            </w:pPr>
            <w:r w:rsidRPr="005329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532934" w:rsidRDefault="006D66AF" w:rsidP="006D66AF">
            <w:pPr>
              <w:spacing w:before="240" w:line="240" w:lineRule="exact"/>
            </w:pPr>
            <w:r w:rsidRPr="00532934">
              <w:t>Distr.: General</w:t>
            </w:r>
          </w:p>
          <w:p w:rsidR="006D66AF" w:rsidRPr="00532934" w:rsidRDefault="00467E4F" w:rsidP="006D66AF">
            <w:pPr>
              <w:spacing w:line="240" w:lineRule="exact"/>
            </w:pPr>
            <w:r w:rsidRPr="00532934">
              <w:t>2</w:t>
            </w:r>
            <w:r w:rsidR="00504D4B">
              <w:t>3</w:t>
            </w:r>
            <w:r w:rsidRPr="00532934">
              <w:t xml:space="preserve"> January 2015</w:t>
            </w:r>
          </w:p>
          <w:p w:rsidR="006D66AF" w:rsidRPr="00532934" w:rsidRDefault="006D66AF" w:rsidP="006D66AF">
            <w:pPr>
              <w:spacing w:line="240" w:lineRule="exact"/>
            </w:pPr>
          </w:p>
          <w:p w:rsidR="006D66AF" w:rsidRPr="00532934" w:rsidRDefault="00A91E4C" w:rsidP="00A91E4C">
            <w:pPr>
              <w:spacing w:line="240" w:lineRule="exact"/>
            </w:pPr>
            <w:r w:rsidRPr="00532934">
              <w:t xml:space="preserve">Original: </w:t>
            </w:r>
            <w:r w:rsidR="006D66AF" w:rsidRPr="00532934">
              <w:t>English</w:t>
            </w:r>
          </w:p>
        </w:tc>
      </w:tr>
    </w:tbl>
    <w:p w:rsidR="00442A83" w:rsidRPr="00532934" w:rsidRDefault="00C96DF2" w:rsidP="00C96DF2">
      <w:pPr>
        <w:spacing w:before="120"/>
        <w:rPr>
          <w:b/>
          <w:sz w:val="28"/>
          <w:szCs w:val="28"/>
        </w:rPr>
      </w:pPr>
      <w:r w:rsidRPr="00532934">
        <w:rPr>
          <w:b/>
          <w:sz w:val="28"/>
          <w:szCs w:val="28"/>
        </w:rPr>
        <w:t>Economic Commission for Europe</w:t>
      </w:r>
    </w:p>
    <w:p w:rsidR="00C96DF2" w:rsidRPr="00532934" w:rsidRDefault="008F31D2" w:rsidP="00C96DF2">
      <w:pPr>
        <w:spacing w:before="120"/>
        <w:rPr>
          <w:sz w:val="28"/>
          <w:szCs w:val="28"/>
        </w:rPr>
      </w:pPr>
      <w:r w:rsidRPr="00532934">
        <w:rPr>
          <w:sz w:val="28"/>
          <w:szCs w:val="28"/>
        </w:rPr>
        <w:t>Inland Transport Committee</w:t>
      </w:r>
    </w:p>
    <w:p w:rsidR="00EA2A77" w:rsidRPr="00532934" w:rsidRDefault="00EA2A77" w:rsidP="00EA2A77">
      <w:pPr>
        <w:spacing w:before="120"/>
        <w:rPr>
          <w:b/>
          <w:sz w:val="24"/>
          <w:szCs w:val="24"/>
        </w:rPr>
      </w:pPr>
      <w:r w:rsidRPr="00532934">
        <w:rPr>
          <w:b/>
          <w:sz w:val="24"/>
          <w:szCs w:val="24"/>
        </w:rPr>
        <w:t xml:space="preserve">World Forum for Harmonization of Vehicle </w:t>
      </w:r>
      <w:r w:rsidR="00D26E07" w:rsidRPr="00532934">
        <w:rPr>
          <w:b/>
          <w:sz w:val="24"/>
          <w:szCs w:val="24"/>
        </w:rPr>
        <w:t>Regulation</w:t>
      </w:r>
      <w:r w:rsidRPr="00532934">
        <w:rPr>
          <w:b/>
          <w:sz w:val="24"/>
          <w:szCs w:val="24"/>
        </w:rPr>
        <w:t>s</w:t>
      </w:r>
    </w:p>
    <w:p w:rsidR="006D66AF" w:rsidRPr="00532934" w:rsidRDefault="006D66AF" w:rsidP="006D66AF">
      <w:pPr>
        <w:spacing w:before="120" w:after="120"/>
        <w:rPr>
          <w:b/>
          <w:bCs/>
        </w:rPr>
      </w:pPr>
      <w:r w:rsidRPr="00532934">
        <w:rPr>
          <w:b/>
          <w:bCs/>
        </w:rPr>
        <w:t>Working Party on Lighting and Light-Signalling</w:t>
      </w:r>
    </w:p>
    <w:p w:rsidR="00467E4F" w:rsidRPr="00532934" w:rsidRDefault="00467E4F" w:rsidP="00467E4F">
      <w:pPr>
        <w:rPr>
          <w:b/>
        </w:rPr>
      </w:pPr>
      <w:r w:rsidRPr="00532934">
        <w:rPr>
          <w:b/>
        </w:rPr>
        <w:t>Seventy-third session</w:t>
      </w:r>
    </w:p>
    <w:p w:rsidR="00467E4F" w:rsidRPr="00532934" w:rsidRDefault="00467E4F" w:rsidP="00467E4F">
      <w:pPr>
        <w:rPr>
          <w:bCs/>
        </w:rPr>
      </w:pPr>
      <w:r w:rsidRPr="00532934">
        <w:t>Geneva</w:t>
      </w:r>
      <w:r w:rsidRPr="00532934">
        <w:rPr>
          <w:bCs/>
        </w:rPr>
        <w:t>, 14 – 17 April 2015</w:t>
      </w:r>
    </w:p>
    <w:p w:rsidR="00467E4F" w:rsidRPr="00532934" w:rsidRDefault="00467E4F" w:rsidP="00467E4F">
      <w:pPr>
        <w:ind w:right="1134"/>
        <w:rPr>
          <w:b/>
          <w:bCs/>
        </w:rPr>
      </w:pPr>
      <w:r w:rsidRPr="00532934">
        <w:rPr>
          <w:bCs/>
        </w:rPr>
        <w:t>Item 7 (</w:t>
      </w:r>
      <w:proofErr w:type="spellStart"/>
      <w:r w:rsidRPr="00532934">
        <w:rPr>
          <w:bCs/>
        </w:rPr>
        <w:t>i</w:t>
      </w:r>
      <w:proofErr w:type="spellEnd"/>
      <w:r w:rsidRPr="00532934">
        <w:rPr>
          <w:bCs/>
        </w:rPr>
        <w:t>) of the provisional agenda</w:t>
      </w:r>
      <w:r w:rsidRPr="00532934">
        <w:rPr>
          <w:bCs/>
        </w:rPr>
        <w:br/>
      </w:r>
      <w:r w:rsidRPr="00532934">
        <w:rPr>
          <w:b/>
          <w:bCs/>
        </w:rPr>
        <w:t>Other Regulations – Regulation No. 98 (Headlamps with gas-discharge light sources)</w:t>
      </w:r>
    </w:p>
    <w:p w:rsidR="006D66AF" w:rsidRPr="00532934" w:rsidRDefault="006D66AF" w:rsidP="006810B6">
      <w:pPr>
        <w:pStyle w:val="HChG"/>
      </w:pPr>
      <w:r w:rsidRPr="00532934">
        <w:tab/>
      </w:r>
      <w:r w:rsidRPr="00532934">
        <w:tab/>
      </w:r>
      <w:r w:rsidR="00D452D8" w:rsidRPr="00532934">
        <w:t xml:space="preserve">Proposal for Supplement </w:t>
      </w:r>
      <w:r w:rsidR="00F34E68" w:rsidRPr="00532934">
        <w:t>7</w:t>
      </w:r>
      <w:r w:rsidR="00D452D8" w:rsidRPr="00532934">
        <w:t xml:space="preserve"> to the 0</w:t>
      </w:r>
      <w:r w:rsidR="00F34E68" w:rsidRPr="00532934">
        <w:t>1</w:t>
      </w:r>
      <w:r w:rsidR="00D452D8" w:rsidRPr="00532934">
        <w:t xml:space="preserve"> </w:t>
      </w:r>
      <w:r w:rsidR="00467E4F" w:rsidRPr="00532934">
        <w:t>s</w:t>
      </w:r>
      <w:r w:rsidR="00D452D8" w:rsidRPr="00532934">
        <w:t>eries of</w:t>
      </w:r>
      <w:r w:rsidR="00467E4F" w:rsidRPr="00532934">
        <w:t xml:space="preserve"> amendments to</w:t>
      </w:r>
      <w:r w:rsidR="00D452D8" w:rsidRPr="00532934">
        <w:t xml:space="preserve"> Regulation No.</w:t>
      </w:r>
      <w:r w:rsidR="00F923C4" w:rsidRPr="00532934">
        <w:t xml:space="preserve"> </w:t>
      </w:r>
      <w:r w:rsidR="00F34E68" w:rsidRPr="00532934">
        <w:t>98 (Headlamps with gas-discharge light sources)</w:t>
      </w:r>
    </w:p>
    <w:p w:rsidR="006D66AF" w:rsidRPr="00532934" w:rsidRDefault="0068000A" w:rsidP="0068000A">
      <w:pPr>
        <w:pStyle w:val="H1G"/>
        <w:ind w:firstLine="0"/>
        <w:rPr>
          <w:szCs w:val="24"/>
        </w:rPr>
      </w:pPr>
      <w:r w:rsidRPr="00532934">
        <w:rPr>
          <w:szCs w:val="24"/>
        </w:rPr>
        <w:t>Submitted by the expert from the International Automotive Lighting and Light Signalling Expert Group (GTB</w:t>
      </w:r>
      <w:r w:rsidR="00A91E4C" w:rsidRPr="00532934">
        <w:rPr>
          <w:szCs w:val="24"/>
        </w:rPr>
        <w:t>)</w:t>
      </w:r>
      <w:r w:rsidR="006D66AF" w:rsidRPr="00532934">
        <w:rPr>
          <w:rStyle w:val="FootnoteReference"/>
          <w:b w:val="0"/>
          <w:szCs w:val="24"/>
        </w:rPr>
        <w:footnoteReference w:customMarkFollows="1" w:id="2"/>
        <w:t>*</w:t>
      </w:r>
    </w:p>
    <w:p w:rsidR="006D66AF" w:rsidRPr="00532934" w:rsidRDefault="00BC3F3B" w:rsidP="006D66AF">
      <w:pPr>
        <w:pStyle w:val="SingleTxtG"/>
        <w:tabs>
          <w:tab w:val="left" w:pos="8505"/>
        </w:tabs>
        <w:ind w:firstLine="567"/>
      </w:pPr>
      <w:r w:rsidRPr="00532934">
        <w:t xml:space="preserve">The text reproduced below </w:t>
      </w:r>
      <w:proofErr w:type="gramStart"/>
      <w:r w:rsidRPr="00532934">
        <w:t>was prepared</w:t>
      </w:r>
      <w:proofErr w:type="gramEnd"/>
      <w:r w:rsidRPr="00532934">
        <w:t xml:space="preserve"> by the expert from GTB</w:t>
      </w:r>
      <w:r w:rsidR="008C2428" w:rsidRPr="00532934">
        <w:t xml:space="preserve"> </w:t>
      </w:r>
      <w:r w:rsidR="0062385B" w:rsidRPr="00532934">
        <w:t>to</w:t>
      </w:r>
      <w:r w:rsidR="0061703E" w:rsidRPr="00532934">
        <w:t xml:space="preserve"> introduce</w:t>
      </w:r>
      <w:r w:rsidR="0062385B" w:rsidRPr="00532934">
        <w:t xml:space="preserve"> </w:t>
      </w:r>
      <w:r w:rsidR="0061703E" w:rsidRPr="00532934">
        <w:t xml:space="preserve">a new </w:t>
      </w:r>
      <w:r w:rsidR="00841FAD" w:rsidRPr="00532934">
        <w:t>high-intensity discharge (</w:t>
      </w:r>
      <w:r w:rsidR="0061703E" w:rsidRPr="00532934">
        <w:t>HID</w:t>
      </w:r>
      <w:r w:rsidR="00841FAD" w:rsidRPr="00532934">
        <w:t>)</w:t>
      </w:r>
      <w:r w:rsidR="0061703E" w:rsidRPr="00532934">
        <w:t xml:space="preserve"> category (D9S) with dual-level operation into Regulation No. 99</w:t>
      </w:r>
      <w:r w:rsidR="006D66AF" w:rsidRPr="00532934">
        <w:t xml:space="preserve">. </w:t>
      </w:r>
      <w:r w:rsidR="0068000A" w:rsidRPr="00532934">
        <w:t>The modifications to the exis</w:t>
      </w:r>
      <w:r w:rsidR="005908FB" w:rsidRPr="00532934">
        <w:t>ting text of the Regulation are marked in bold for new or strikethrough for deleted characters</w:t>
      </w:r>
      <w:r w:rsidR="006D66AF" w:rsidRPr="00532934">
        <w:t>.</w:t>
      </w:r>
    </w:p>
    <w:p w:rsidR="006D66AF" w:rsidRPr="00532934" w:rsidRDefault="006D66AF" w:rsidP="006D66AF">
      <w:pPr>
        <w:tabs>
          <w:tab w:val="left" w:pos="8505"/>
        </w:tabs>
        <w:ind w:left="1134" w:right="1134" w:firstLine="567"/>
        <w:jc w:val="both"/>
      </w:pPr>
    </w:p>
    <w:p w:rsidR="00A5414C" w:rsidRPr="00532934" w:rsidRDefault="006D66AF" w:rsidP="00467E4F">
      <w:pPr>
        <w:pStyle w:val="HChG"/>
        <w:spacing w:after="120" w:line="240" w:lineRule="atLeast"/>
      </w:pPr>
      <w:r w:rsidRPr="00532934">
        <w:rPr>
          <w:b w:val="0"/>
        </w:rPr>
        <w:br w:type="page"/>
      </w:r>
      <w:r w:rsidR="0003056C" w:rsidRPr="00532934">
        <w:lastRenderedPageBreak/>
        <w:tab/>
      </w:r>
      <w:r w:rsidR="00A5414C" w:rsidRPr="00532934">
        <w:t>I.</w:t>
      </w:r>
      <w:r w:rsidR="00A5414C" w:rsidRPr="00532934">
        <w:rPr>
          <w:b w:val="0"/>
        </w:rPr>
        <w:tab/>
      </w:r>
      <w:r w:rsidR="00A5414C" w:rsidRPr="00532934">
        <w:t>Proposal</w:t>
      </w:r>
    </w:p>
    <w:p w:rsidR="00A5414C" w:rsidRPr="00532934" w:rsidRDefault="00A5414C" w:rsidP="00467E4F">
      <w:pPr>
        <w:pStyle w:val="SingleTxtG"/>
        <w:ind w:right="-40"/>
      </w:pPr>
      <w:proofErr w:type="gramStart"/>
      <w:r w:rsidRPr="00532934">
        <w:rPr>
          <w:i/>
          <w:iCs/>
        </w:rPr>
        <w:t>Paragraph</w:t>
      </w:r>
      <w:r w:rsidR="00B42C7E" w:rsidRPr="00532934">
        <w:rPr>
          <w:i/>
          <w:iCs/>
        </w:rPr>
        <w:t xml:space="preserve"> </w:t>
      </w:r>
      <w:r w:rsidR="00B21189" w:rsidRPr="00532934">
        <w:rPr>
          <w:i/>
          <w:iCs/>
        </w:rPr>
        <w:t>2.</w:t>
      </w:r>
      <w:r w:rsidR="00BB578F" w:rsidRPr="00532934">
        <w:rPr>
          <w:i/>
          <w:iCs/>
        </w:rPr>
        <w:t>1</w:t>
      </w:r>
      <w:r w:rsidRPr="00532934">
        <w:rPr>
          <w:i/>
          <w:iCs/>
        </w:rPr>
        <w:t>.</w:t>
      </w:r>
      <w:r w:rsidR="00B21189" w:rsidRPr="00532934">
        <w:rPr>
          <w:i/>
          <w:iCs/>
        </w:rPr>
        <w:t>5</w:t>
      </w:r>
      <w:r w:rsidR="00504D4B">
        <w:rPr>
          <w:i/>
          <w:iCs/>
        </w:rPr>
        <w:t>.</w:t>
      </w:r>
      <w:proofErr w:type="gramEnd"/>
      <w:r w:rsidRPr="00532934">
        <w:t xml:space="preserve">, </w:t>
      </w:r>
      <w:proofErr w:type="gramStart"/>
      <w:r w:rsidRPr="00532934">
        <w:t>amend to read</w:t>
      </w:r>
      <w:proofErr w:type="gramEnd"/>
      <w:r w:rsidRPr="00532934">
        <w:t>:</w:t>
      </w:r>
    </w:p>
    <w:p w:rsidR="00B21189" w:rsidRPr="00532934" w:rsidRDefault="00467E4F" w:rsidP="00467E4F">
      <w:pPr>
        <w:pStyle w:val="SingleTxtG"/>
        <w:ind w:left="2268" w:hanging="1134"/>
        <w:rPr>
          <w:rFonts w:eastAsia="MS Mincho"/>
        </w:rPr>
      </w:pPr>
      <w:r w:rsidRPr="00532934">
        <w:rPr>
          <w:rFonts w:eastAsia="MS Mincho"/>
        </w:rPr>
        <w:t>"</w:t>
      </w:r>
      <w:r w:rsidR="00B21189" w:rsidRPr="00532934">
        <w:rPr>
          <w:rFonts w:eastAsia="MS Mincho"/>
        </w:rPr>
        <w:t>2.1.5.</w:t>
      </w:r>
      <w:r w:rsidR="00B21189" w:rsidRPr="00532934">
        <w:rPr>
          <w:rFonts w:eastAsia="MS Mincho"/>
        </w:rPr>
        <w:tab/>
        <w:t xml:space="preserve">Which light sources are energized when the various beam combinations are used </w:t>
      </w:r>
      <w:r w:rsidR="00B21189" w:rsidRPr="00532934">
        <w:rPr>
          <w:rFonts w:eastAsia="MS Mincho"/>
          <w:b/>
        </w:rPr>
        <w:t>and, in case of a light source category with more than one objective luminous flux value, which objective luminous flux value is used</w:t>
      </w:r>
      <w:r w:rsidR="00841FAD" w:rsidRPr="00532934">
        <w:rPr>
          <w:rFonts w:eastAsia="MS Mincho"/>
          <w:b/>
        </w:rPr>
        <w:t>;</w:t>
      </w:r>
      <w:r w:rsidRPr="00532934">
        <w:rPr>
          <w:rFonts w:eastAsia="MS Mincho"/>
        </w:rPr>
        <w:t>"</w:t>
      </w:r>
    </w:p>
    <w:p w:rsidR="00B21189" w:rsidRPr="00532934" w:rsidRDefault="00B21189" w:rsidP="00467E4F">
      <w:pPr>
        <w:pStyle w:val="SingleTxtG"/>
        <w:ind w:right="-40"/>
      </w:pPr>
      <w:proofErr w:type="gramStart"/>
      <w:r w:rsidRPr="00532934">
        <w:rPr>
          <w:i/>
          <w:iCs/>
        </w:rPr>
        <w:t>Paragraph 2.1.6</w:t>
      </w:r>
      <w:r w:rsidR="00504D4B">
        <w:rPr>
          <w:i/>
          <w:iCs/>
        </w:rPr>
        <w:t>.</w:t>
      </w:r>
      <w:proofErr w:type="gramEnd"/>
      <w:r w:rsidRPr="00532934">
        <w:t xml:space="preserve">, </w:t>
      </w:r>
      <w:proofErr w:type="gramStart"/>
      <w:r w:rsidRPr="00532934">
        <w:t>amend to read</w:t>
      </w:r>
      <w:proofErr w:type="gramEnd"/>
      <w:r w:rsidRPr="00532934">
        <w:t>:</w:t>
      </w:r>
    </w:p>
    <w:p w:rsidR="00B21189" w:rsidRPr="00532934" w:rsidRDefault="00467E4F" w:rsidP="00E363CE">
      <w:pPr>
        <w:spacing w:after="120"/>
        <w:ind w:left="2268" w:right="1134" w:hanging="1134"/>
        <w:jc w:val="both"/>
        <w:rPr>
          <w:rFonts w:eastAsia="MS Mincho"/>
          <w:b/>
        </w:rPr>
      </w:pPr>
      <w:r w:rsidRPr="00532934">
        <w:rPr>
          <w:rFonts w:eastAsia="MS Mincho"/>
        </w:rPr>
        <w:t>"</w:t>
      </w:r>
      <w:r w:rsidR="00B21189" w:rsidRPr="00532934">
        <w:rPr>
          <w:rFonts w:eastAsia="MS Mincho"/>
        </w:rPr>
        <w:t>2.1.6.</w:t>
      </w:r>
      <w:r w:rsidR="00B21189" w:rsidRPr="00532934">
        <w:rPr>
          <w:rFonts w:eastAsia="MS Mincho"/>
        </w:rPr>
        <w:tab/>
        <w:t>The category of light source as listed in Regulations Nos. 37 or 99 and their series of amendments in force at the time of application for type approval</w:t>
      </w:r>
      <w:r w:rsidR="00E363CE" w:rsidRPr="00532934">
        <w:rPr>
          <w:rFonts w:eastAsia="MS Mincho"/>
        </w:rPr>
        <w:t xml:space="preserve"> a</w:t>
      </w:r>
      <w:r w:rsidR="00B21189" w:rsidRPr="00532934">
        <w:rPr>
          <w:rFonts w:eastAsia="MS Mincho"/>
          <w:b/>
        </w:rPr>
        <w:t>nd, in case of a light source category with more than one objective luminous flux value, which objective luminous flux value is used for passing beam and for driving beam</w:t>
      </w:r>
      <w:r w:rsidR="00841FAD" w:rsidRPr="00532934">
        <w:rPr>
          <w:rFonts w:eastAsia="MS Mincho"/>
          <w:b/>
        </w:rPr>
        <w:t>;</w:t>
      </w:r>
    </w:p>
    <w:p w:rsidR="00B21189" w:rsidRPr="00532934" w:rsidRDefault="00B21189" w:rsidP="00467E4F">
      <w:pPr>
        <w:pStyle w:val="SingleTxtG"/>
        <w:ind w:right="-40"/>
      </w:pPr>
      <w:proofErr w:type="gramStart"/>
      <w:r w:rsidRPr="00532934">
        <w:rPr>
          <w:i/>
          <w:iCs/>
        </w:rPr>
        <w:t>Paragraph 6.1.3</w:t>
      </w:r>
      <w:r w:rsidR="00504D4B">
        <w:rPr>
          <w:i/>
          <w:iCs/>
        </w:rPr>
        <w:t>.</w:t>
      </w:r>
      <w:proofErr w:type="gramEnd"/>
      <w:r w:rsidRPr="00532934">
        <w:t xml:space="preserve">, </w:t>
      </w:r>
      <w:proofErr w:type="gramStart"/>
      <w:r w:rsidRPr="00532934">
        <w:t>amend to read</w:t>
      </w:r>
      <w:proofErr w:type="gramEnd"/>
      <w:r w:rsidRPr="00532934">
        <w:t>:</w:t>
      </w:r>
    </w:p>
    <w:p w:rsidR="00B21189" w:rsidRPr="00532934" w:rsidRDefault="00467E4F" w:rsidP="00467E4F">
      <w:pPr>
        <w:spacing w:after="120"/>
        <w:ind w:left="2268" w:right="1134" w:hanging="1134"/>
        <w:jc w:val="both"/>
        <w:rPr>
          <w:rFonts w:eastAsia="MS Mincho"/>
        </w:rPr>
      </w:pPr>
      <w:r w:rsidRPr="00532934">
        <w:rPr>
          <w:rFonts w:eastAsia="MS Mincho"/>
        </w:rPr>
        <w:t>"</w:t>
      </w:r>
      <w:r w:rsidR="00B21189" w:rsidRPr="00532934">
        <w:rPr>
          <w:rFonts w:eastAsia="MS Mincho"/>
        </w:rPr>
        <w:t>6.1.3.</w:t>
      </w:r>
      <w:r w:rsidR="00B21189" w:rsidRPr="00532934">
        <w:rPr>
          <w:rFonts w:eastAsia="MS Mincho"/>
        </w:rPr>
        <w:tab/>
        <w:t>The headlamp shall be deemed satisfactory if the photometric requirements set in the present paragraph 6. are met with one light source, which has been aged during at least 15 cycles, in accordance with Annex 4, paragraph 4. of Regulation No. 99.</w:t>
      </w:r>
      <w:r w:rsidR="00B21189" w:rsidRPr="00532934">
        <w:rPr>
          <w:rFonts w:eastAsia="MS Mincho"/>
        </w:rPr>
        <w:tab/>
      </w:r>
    </w:p>
    <w:p w:rsidR="00A24D18" w:rsidRPr="00532934" w:rsidRDefault="00A24D18" w:rsidP="00A24D18">
      <w:pPr>
        <w:spacing w:after="120" w:line="240" w:lineRule="auto"/>
        <w:ind w:left="2268" w:right="1133"/>
        <w:jc w:val="both"/>
      </w:pPr>
      <w:r w:rsidRPr="00532934">
        <w:t>It shall be a standard (</w:t>
      </w:r>
      <w:proofErr w:type="spellStart"/>
      <w:r w:rsidRPr="00532934">
        <w:t>étalon</w:t>
      </w:r>
      <w:proofErr w:type="spellEnd"/>
      <w:r w:rsidRPr="00532934">
        <w:t xml:space="preserve">) light-source approved according to Regulation No. 99 and its luminous flux may differ from the objective luminous flux specified in Regulation No. 99. In this case, the luminous intensities shall be corrected accordingly. </w:t>
      </w:r>
    </w:p>
    <w:p w:rsidR="00B21189" w:rsidRPr="00532934" w:rsidRDefault="00B21189" w:rsidP="00467E4F">
      <w:pPr>
        <w:spacing w:after="120"/>
        <w:ind w:left="2268" w:right="1134" w:hanging="1134"/>
        <w:jc w:val="both"/>
        <w:rPr>
          <w:rFonts w:eastAsia="MS Mincho"/>
        </w:rPr>
      </w:pPr>
      <w:r w:rsidRPr="00532934">
        <w:rPr>
          <w:rFonts w:eastAsia="MS Mincho"/>
        </w:rPr>
        <w:tab/>
      </w:r>
      <w:r w:rsidRPr="00532934">
        <w:rPr>
          <w:rFonts w:eastAsia="MS Mincho"/>
          <w:b/>
        </w:rPr>
        <w:t xml:space="preserve">If a gas-discharge </w:t>
      </w:r>
      <w:proofErr w:type="gramStart"/>
      <w:r w:rsidRPr="00532934">
        <w:rPr>
          <w:rFonts w:eastAsia="MS Mincho"/>
          <w:b/>
        </w:rPr>
        <w:t>light</w:t>
      </w:r>
      <w:proofErr w:type="gramEnd"/>
      <w:r w:rsidRPr="00532934">
        <w:rPr>
          <w:rFonts w:eastAsia="MS Mincho"/>
          <w:b/>
        </w:rPr>
        <w:t xml:space="preserve"> source category is used with more than one objective luminous flux value, the applicant shall choose one of the objective luminous flux values as indicated in the relevant data sheet of Regulation No. 99 and a reference stating which objective flux was chosen for type approval shall be made in item</w:t>
      </w:r>
      <w:r w:rsidR="00532934">
        <w:rPr>
          <w:rFonts w:eastAsia="MS Mincho"/>
          <w:b/>
        </w:rPr>
        <w:t>s</w:t>
      </w:r>
      <w:r w:rsidRPr="00532934">
        <w:rPr>
          <w:rFonts w:eastAsia="MS Mincho"/>
          <w:b/>
        </w:rPr>
        <w:t xml:space="preserve"> 9.4.1. and 9.4.2. in the communication form of Annex 1</w:t>
      </w:r>
      <w:r w:rsidRPr="00532934">
        <w:rPr>
          <w:rFonts w:eastAsia="MS Mincho"/>
        </w:rPr>
        <w:t>.</w:t>
      </w:r>
      <w:r w:rsidR="00467E4F" w:rsidRPr="00532934">
        <w:rPr>
          <w:rFonts w:eastAsia="MS Mincho"/>
        </w:rPr>
        <w:t>"</w:t>
      </w:r>
    </w:p>
    <w:p w:rsidR="00B21189" w:rsidRPr="00532934" w:rsidRDefault="0061703E" w:rsidP="00467E4F">
      <w:pPr>
        <w:tabs>
          <w:tab w:val="left" w:pos="8505"/>
        </w:tabs>
        <w:spacing w:after="120"/>
        <w:ind w:left="1134" w:right="1134"/>
        <w:jc w:val="both"/>
      </w:pPr>
      <w:r w:rsidRPr="00532934">
        <w:rPr>
          <w:i/>
        </w:rPr>
        <w:t>Annex 1</w:t>
      </w:r>
      <w:r w:rsidRPr="00532934">
        <w:t xml:space="preserve">, insert new </w:t>
      </w:r>
      <w:r w:rsidR="00E363CE" w:rsidRPr="00532934">
        <w:t xml:space="preserve">items </w:t>
      </w:r>
      <w:r w:rsidRPr="00532934">
        <w:t>9.4.1.</w:t>
      </w:r>
      <w:r w:rsidR="00841FAD" w:rsidRPr="00532934">
        <w:t xml:space="preserve"> </w:t>
      </w:r>
      <w:r w:rsidRPr="00532934">
        <w:t>and 9.4.2</w:t>
      </w:r>
      <w:r w:rsidR="00504D4B">
        <w:t>.</w:t>
      </w:r>
      <w:bookmarkStart w:id="0" w:name="_GoBack"/>
      <w:bookmarkEnd w:id="0"/>
      <w:r w:rsidRPr="00532934">
        <w:t xml:space="preserve"> to read:</w:t>
      </w:r>
    </w:p>
    <w:p w:rsidR="0061703E" w:rsidRPr="00532934" w:rsidRDefault="00467E4F" w:rsidP="00467E4F">
      <w:pPr>
        <w:tabs>
          <w:tab w:val="left" w:pos="8505"/>
        </w:tabs>
        <w:suppressAutoHyphens w:val="0"/>
        <w:spacing w:after="120"/>
        <w:ind w:left="2268" w:right="1134" w:hanging="1134"/>
        <w:rPr>
          <w:b/>
          <w:lang w:eastAsia="it-IT"/>
        </w:rPr>
      </w:pPr>
      <w:r w:rsidRPr="00532934">
        <w:rPr>
          <w:b/>
          <w:lang w:eastAsia="it-IT"/>
        </w:rPr>
        <w:t>"</w:t>
      </w:r>
      <w:r w:rsidR="0061703E" w:rsidRPr="00532934">
        <w:rPr>
          <w:b/>
          <w:lang w:eastAsia="it-IT"/>
        </w:rPr>
        <w:t>9.4.1.</w:t>
      </w:r>
      <w:r w:rsidR="0061703E" w:rsidRPr="00532934">
        <w:rPr>
          <w:b/>
          <w:lang w:eastAsia="it-IT"/>
        </w:rPr>
        <w:tab/>
        <w:t>If more than one objective luminous flux value is specified: Objective luminous flux value used for the principal passing beam</w:t>
      </w:r>
      <w:r w:rsidR="00532934">
        <w:rPr>
          <w:b/>
          <w:lang w:eastAsia="it-IT"/>
        </w:rPr>
        <w:t>.</w:t>
      </w:r>
    </w:p>
    <w:p w:rsidR="0061703E" w:rsidRPr="00532934" w:rsidRDefault="0061703E" w:rsidP="00467E4F">
      <w:pPr>
        <w:tabs>
          <w:tab w:val="left" w:pos="8505"/>
        </w:tabs>
        <w:suppressAutoHyphens w:val="0"/>
        <w:spacing w:after="120"/>
        <w:ind w:left="2268" w:right="1134" w:hanging="1134"/>
        <w:rPr>
          <w:sz w:val="24"/>
          <w:szCs w:val="24"/>
          <w:lang w:eastAsia="it-IT"/>
        </w:rPr>
      </w:pPr>
      <w:r w:rsidRPr="00532934">
        <w:rPr>
          <w:b/>
          <w:lang w:eastAsia="it-IT"/>
        </w:rPr>
        <w:t>9.4.2.</w:t>
      </w:r>
      <w:r w:rsidRPr="00532934">
        <w:rPr>
          <w:b/>
          <w:lang w:eastAsia="it-IT"/>
        </w:rPr>
        <w:tab/>
        <w:t>If more than one objective luminous flux value is specified: Objective luminous flux value used for the driving beam</w:t>
      </w:r>
      <w:r w:rsidR="00E363CE" w:rsidRPr="00532934">
        <w:rPr>
          <w:b/>
          <w:lang w:eastAsia="it-IT"/>
        </w:rPr>
        <w:t>."</w:t>
      </w:r>
    </w:p>
    <w:p w:rsidR="00A5414C" w:rsidRPr="00532934" w:rsidRDefault="00A5414C" w:rsidP="00467E4F">
      <w:pPr>
        <w:pStyle w:val="HChG"/>
        <w:spacing w:after="120" w:line="240" w:lineRule="atLeast"/>
      </w:pPr>
      <w:r w:rsidRPr="00532934">
        <w:tab/>
        <w:t>II.</w:t>
      </w:r>
      <w:r w:rsidRPr="00532934">
        <w:tab/>
        <w:t>Justification</w:t>
      </w:r>
    </w:p>
    <w:p w:rsidR="0061703E" w:rsidRPr="00532934" w:rsidRDefault="00E363CE" w:rsidP="00E363CE">
      <w:pPr>
        <w:pStyle w:val="SingleTxtG"/>
      </w:pPr>
      <w:r w:rsidRPr="00532934">
        <w:t>1.</w:t>
      </w:r>
      <w:r w:rsidRPr="00532934">
        <w:tab/>
      </w:r>
      <w:r w:rsidR="0061703E" w:rsidRPr="00532934">
        <w:t>This is a proposal to introduce a new HID category (D9S) into Regulation No. 99 with dual-level operation, i.e. with two defined wattage values and corresponding luminous flux values. This new category (D9S) is the first light source in R99 that has two defined power levels.</w:t>
      </w:r>
    </w:p>
    <w:p w:rsidR="0061703E" w:rsidRPr="00532934" w:rsidRDefault="00E363CE" w:rsidP="00E363CE">
      <w:pPr>
        <w:pStyle w:val="SingleTxtG"/>
      </w:pPr>
      <w:r w:rsidRPr="00532934">
        <w:t>2.</w:t>
      </w:r>
      <w:r w:rsidRPr="00532934">
        <w:tab/>
      </w:r>
      <w:r w:rsidR="0061703E" w:rsidRPr="00532934">
        <w:t>When this dual-level light source is used in a headlamp which is being approved according to R</w:t>
      </w:r>
      <w:r w:rsidR="000D30C9" w:rsidRPr="00532934">
        <w:t xml:space="preserve">egulation No. </w:t>
      </w:r>
      <w:r w:rsidR="0061703E" w:rsidRPr="00532934">
        <w:t xml:space="preserve">98, the testing and approval provisions must be clearly defined in </w:t>
      </w:r>
      <w:r w:rsidR="000D30C9" w:rsidRPr="00532934">
        <w:t xml:space="preserve">this Regulation </w:t>
      </w:r>
      <w:r w:rsidR="0061703E" w:rsidRPr="00532934">
        <w:t>to avoid misinterpretation. Therefore</w:t>
      </w:r>
      <w:r w:rsidR="000D30C9" w:rsidRPr="00532934">
        <w:t>,</w:t>
      </w:r>
      <w:r w:rsidR="0061703E" w:rsidRPr="00532934">
        <w:t xml:space="preserve"> it is proposed to amend the relevant paragraphs of R</w:t>
      </w:r>
      <w:r w:rsidR="000D30C9" w:rsidRPr="00532934">
        <w:t xml:space="preserve">egulation No. </w:t>
      </w:r>
      <w:r w:rsidR="0061703E" w:rsidRPr="00532934">
        <w:t>98 to take into account the multi-level aspects of D9S and possible future multi-level light sources in R</w:t>
      </w:r>
      <w:r w:rsidR="000D30C9" w:rsidRPr="00532934">
        <w:t xml:space="preserve">egulation No. </w:t>
      </w:r>
      <w:r w:rsidR="0061703E" w:rsidRPr="00532934">
        <w:t>99.</w:t>
      </w:r>
    </w:p>
    <w:p w:rsidR="004348AD" w:rsidRPr="00532934" w:rsidRDefault="004348AD" w:rsidP="0061703E">
      <w:pPr>
        <w:pStyle w:val="SingleTxtG"/>
        <w:spacing w:before="240" w:after="0"/>
        <w:jc w:val="center"/>
        <w:rPr>
          <w:u w:val="single"/>
        </w:rPr>
      </w:pPr>
      <w:r w:rsidRPr="00532934">
        <w:rPr>
          <w:u w:val="single"/>
        </w:rPr>
        <w:tab/>
      </w:r>
      <w:r w:rsidRPr="00532934">
        <w:rPr>
          <w:u w:val="single"/>
        </w:rPr>
        <w:tab/>
      </w:r>
      <w:r w:rsidRPr="00532934">
        <w:rPr>
          <w:u w:val="single"/>
        </w:rPr>
        <w:tab/>
      </w:r>
    </w:p>
    <w:sectPr w:rsidR="004348AD" w:rsidRPr="00532934"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EF" w:rsidRDefault="00C309EF"/>
  </w:endnote>
  <w:endnote w:type="continuationSeparator" w:id="0">
    <w:p w:rsidR="00C309EF" w:rsidRDefault="00C309EF"/>
  </w:endnote>
  <w:endnote w:type="continuationNotice" w:id="1">
    <w:p w:rsidR="00C309EF" w:rsidRDefault="00C30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3E" w:rsidRPr="006D66AF" w:rsidRDefault="005637C5" w:rsidP="006D66AF">
    <w:pPr>
      <w:pStyle w:val="Footer"/>
      <w:tabs>
        <w:tab w:val="right" w:pos="9638"/>
      </w:tabs>
      <w:rPr>
        <w:sz w:val="20"/>
      </w:rPr>
    </w:pPr>
    <w:r w:rsidRPr="006D66AF">
      <w:rPr>
        <w:b/>
        <w:sz w:val="18"/>
      </w:rPr>
      <w:fldChar w:fldCharType="begin"/>
    </w:r>
    <w:r w:rsidR="0061703E" w:rsidRPr="006D66AF">
      <w:rPr>
        <w:b/>
        <w:sz w:val="18"/>
      </w:rPr>
      <w:instrText xml:space="preserve"> PAGE  \* MERGEFORMAT </w:instrText>
    </w:r>
    <w:r w:rsidRPr="006D66AF">
      <w:rPr>
        <w:b/>
        <w:sz w:val="18"/>
      </w:rPr>
      <w:fldChar w:fldCharType="separate"/>
    </w:r>
    <w:r w:rsidR="00504D4B">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3E" w:rsidRPr="006D66AF" w:rsidRDefault="005637C5" w:rsidP="006D66AF">
    <w:pPr>
      <w:pStyle w:val="Footer"/>
      <w:tabs>
        <w:tab w:val="right" w:pos="9638"/>
      </w:tabs>
      <w:rPr>
        <w:sz w:val="18"/>
      </w:rPr>
    </w:pPr>
    <w:r w:rsidRPr="006D66AF">
      <w:rPr>
        <w:b/>
        <w:sz w:val="18"/>
      </w:rPr>
      <w:fldChar w:fldCharType="begin"/>
    </w:r>
    <w:r w:rsidR="0061703E" w:rsidRPr="006D66AF">
      <w:rPr>
        <w:b/>
        <w:sz w:val="18"/>
      </w:rPr>
      <w:instrText xml:space="preserve"> PAGE  \* MERGEFORMAT </w:instrText>
    </w:r>
    <w:r w:rsidRPr="006D66AF">
      <w:rPr>
        <w:b/>
        <w:sz w:val="18"/>
      </w:rPr>
      <w:fldChar w:fldCharType="separate"/>
    </w:r>
    <w:r w:rsidR="00A24D18">
      <w:rPr>
        <w:b/>
        <w:noProof/>
        <w:sz w:val="18"/>
      </w:rPr>
      <w:t>3</w:t>
    </w:r>
    <w:r w:rsidRPr="006D66AF">
      <w:rPr>
        <w:b/>
        <w:sz w:val="18"/>
      </w:rPr>
      <w:fldChar w:fldCharType="end"/>
    </w:r>
    <w:r w:rsidR="0061703E">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3E" w:rsidRPr="00EA2A77" w:rsidRDefault="00532934">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61703E">
      <w:rPr>
        <w:sz w:val="20"/>
      </w:rPr>
      <w:t>GE.1</w:t>
    </w:r>
    <w:r w:rsidR="00467E4F">
      <w:rPr>
        <w:sz w:val="20"/>
      </w:rPr>
      <w:t>5</w:t>
    </w:r>
    <w:r w:rsidR="0061703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EF" w:rsidRPr="000B175B" w:rsidRDefault="00C309EF" w:rsidP="000B175B">
      <w:pPr>
        <w:tabs>
          <w:tab w:val="right" w:pos="2155"/>
        </w:tabs>
        <w:spacing w:after="80"/>
        <w:ind w:left="680"/>
        <w:rPr>
          <w:u w:val="single"/>
        </w:rPr>
      </w:pPr>
      <w:r>
        <w:rPr>
          <w:u w:val="single"/>
        </w:rPr>
        <w:tab/>
      </w:r>
    </w:p>
  </w:footnote>
  <w:footnote w:type="continuationSeparator" w:id="0">
    <w:p w:rsidR="00C309EF" w:rsidRPr="00FC68B7" w:rsidRDefault="00C309EF" w:rsidP="00FC68B7">
      <w:pPr>
        <w:tabs>
          <w:tab w:val="left" w:pos="2155"/>
        </w:tabs>
        <w:spacing w:after="80"/>
        <w:ind w:left="680"/>
        <w:rPr>
          <w:u w:val="single"/>
        </w:rPr>
      </w:pPr>
      <w:r>
        <w:rPr>
          <w:u w:val="single"/>
        </w:rPr>
        <w:tab/>
      </w:r>
    </w:p>
  </w:footnote>
  <w:footnote w:type="continuationNotice" w:id="1">
    <w:p w:rsidR="00C309EF" w:rsidRDefault="00C309EF"/>
  </w:footnote>
  <w:footnote w:id="2">
    <w:p w:rsidR="0061703E" w:rsidRDefault="0061703E" w:rsidP="00B52192">
      <w:pPr>
        <w:pStyle w:val="FootnoteText"/>
        <w:jc w:val="both"/>
      </w:pPr>
      <w:r>
        <w:tab/>
      </w:r>
      <w:r w:rsidRPr="00872538">
        <w:rPr>
          <w:rStyle w:val="FootnoteReference"/>
          <w:sz w:val="24"/>
          <w:szCs w:val="24"/>
          <w:lang w:val="en-US"/>
        </w:rPr>
        <w:t>*</w:t>
      </w:r>
      <w:r w:rsidRPr="002232AF">
        <w:rPr>
          <w:sz w:val="20"/>
          <w:lang w:val="en-US"/>
        </w:rPr>
        <w:tab/>
      </w:r>
      <w:r w:rsidR="00467E4F" w:rsidRPr="00467E4F">
        <w:rPr>
          <w:lang w:val="en-US"/>
        </w:rPr>
        <w:t xml:space="preserve">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  </w:t>
      </w:r>
      <w:r w:rsidRPr="00C04C5C">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3E" w:rsidRPr="006D66AF" w:rsidRDefault="0061703E" w:rsidP="00157FE9">
    <w:pPr>
      <w:pStyle w:val="Header"/>
    </w:pPr>
    <w:r w:rsidRPr="00A91E4C">
      <w:t>ECE/TRANS/WP.29/GRE/201</w:t>
    </w:r>
    <w:r w:rsidR="00467E4F">
      <w:t>5</w:t>
    </w:r>
    <w:r w:rsidRPr="00A91E4C">
      <w:t>/</w:t>
    </w:r>
    <w:r w:rsidR="00467E4F">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3E" w:rsidRPr="006D66AF" w:rsidRDefault="0061703E">
    <w:pPr>
      <w:pStyle w:val="Header"/>
    </w:pPr>
    <w:r>
      <w:t>ECE/TRANS/WP.29</w:t>
    </w:r>
    <w:r w:rsidRPr="0068000A">
      <w:rPr>
        <w:highlight w:val="yellow"/>
      </w:rPr>
      <w:t>/GRE/XXXX/</w:t>
    </w:r>
    <w:proofErr w:type="spellStart"/>
    <w:r w:rsidRPr="0068000A">
      <w:rPr>
        <w:highlight w:val="yellow"/>
      </w:rPr>
      <w:t>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6CF650D"/>
    <w:multiLevelType w:val="hybridMultilevel"/>
    <w:tmpl w:val="7D0CB752"/>
    <w:lvl w:ilvl="0" w:tplc="1E40F682">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20"/>
  </w:num>
  <w:num w:numId="16">
    <w:abstractNumId w:val="10"/>
  </w:num>
  <w:num w:numId="17">
    <w:abstractNumId w:val="14"/>
  </w:num>
  <w:num w:numId="18">
    <w:abstractNumId w:val="16"/>
  </w:num>
  <w:num w:numId="19">
    <w:abstractNumId w:val="11"/>
  </w:num>
  <w:num w:numId="20">
    <w:abstractNumId w:val="15"/>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3F66"/>
    <w:rsid w:val="0003056C"/>
    <w:rsid w:val="000348D3"/>
    <w:rsid w:val="00043C05"/>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D30C9"/>
    <w:rsid w:val="000E0415"/>
    <w:rsid w:val="000F431B"/>
    <w:rsid w:val="001078D2"/>
    <w:rsid w:val="0011017C"/>
    <w:rsid w:val="001103AA"/>
    <w:rsid w:val="0011666B"/>
    <w:rsid w:val="00124000"/>
    <w:rsid w:val="0013722F"/>
    <w:rsid w:val="0014380B"/>
    <w:rsid w:val="00157FE9"/>
    <w:rsid w:val="0016538B"/>
    <w:rsid w:val="00165F3A"/>
    <w:rsid w:val="00182290"/>
    <w:rsid w:val="0018637A"/>
    <w:rsid w:val="001A3955"/>
    <w:rsid w:val="001B4B04"/>
    <w:rsid w:val="001C6663"/>
    <w:rsid w:val="001C7895"/>
    <w:rsid w:val="001D0C8C"/>
    <w:rsid w:val="001D10DE"/>
    <w:rsid w:val="001D1419"/>
    <w:rsid w:val="001D26DF"/>
    <w:rsid w:val="001D3A03"/>
    <w:rsid w:val="001E7B67"/>
    <w:rsid w:val="00202DA8"/>
    <w:rsid w:val="00204AD6"/>
    <w:rsid w:val="00211E0B"/>
    <w:rsid w:val="0024772E"/>
    <w:rsid w:val="00267F5F"/>
    <w:rsid w:val="00283697"/>
    <w:rsid w:val="00286B4D"/>
    <w:rsid w:val="002A6754"/>
    <w:rsid w:val="002B1DCA"/>
    <w:rsid w:val="002D4643"/>
    <w:rsid w:val="002F175C"/>
    <w:rsid w:val="002F7DE0"/>
    <w:rsid w:val="00302E18"/>
    <w:rsid w:val="003229D8"/>
    <w:rsid w:val="00340057"/>
    <w:rsid w:val="00352709"/>
    <w:rsid w:val="003619B5"/>
    <w:rsid w:val="00361AC3"/>
    <w:rsid w:val="00365763"/>
    <w:rsid w:val="00371178"/>
    <w:rsid w:val="00392E47"/>
    <w:rsid w:val="003936BC"/>
    <w:rsid w:val="003A6810"/>
    <w:rsid w:val="003B4EC8"/>
    <w:rsid w:val="003C2CC4"/>
    <w:rsid w:val="003C534D"/>
    <w:rsid w:val="003D4B23"/>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67E4F"/>
    <w:rsid w:val="004833EE"/>
    <w:rsid w:val="0048397A"/>
    <w:rsid w:val="00485CBB"/>
    <w:rsid w:val="004866B7"/>
    <w:rsid w:val="004B1956"/>
    <w:rsid w:val="004C0081"/>
    <w:rsid w:val="004C2461"/>
    <w:rsid w:val="004C7462"/>
    <w:rsid w:val="004D127C"/>
    <w:rsid w:val="004E77B2"/>
    <w:rsid w:val="00501DC3"/>
    <w:rsid w:val="0050237E"/>
    <w:rsid w:val="00504B2D"/>
    <w:rsid w:val="00504D4B"/>
    <w:rsid w:val="00511D0E"/>
    <w:rsid w:val="0052136D"/>
    <w:rsid w:val="005214EB"/>
    <w:rsid w:val="0052775E"/>
    <w:rsid w:val="00532934"/>
    <w:rsid w:val="005369ED"/>
    <w:rsid w:val="005420F2"/>
    <w:rsid w:val="0056209A"/>
    <w:rsid w:val="005628B6"/>
    <w:rsid w:val="005637C5"/>
    <w:rsid w:val="005908FB"/>
    <w:rsid w:val="005941EC"/>
    <w:rsid w:val="0059724D"/>
    <w:rsid w:val="005A4616"/>
    <w:rsid w:val="005B320C"/>
    <w:rsid w:val="005B3DB3"/>
    <w:rsid w:val="005B4E13"/>
    <w:rsid w:val="005C342F"/>
    <w:rsid w:val="005C35B3"/>
    <w:rsid w:val="005C7D1E"/>
    <w:rsid w:val="005D67C8"/>
    <w:rsid w:val="005F1A80"/>
    <w:rsid w:val="005F5FE0"/>
    <w:rsid w:val="005F7B75"/>
    <w:rsid w:val="006001EE"/>
    <w:rsid w:val="00605042"/>
    <w:rsid w:val="00611FC4"/>
    <w:rsid w:val="00613812"/>
    <w:rsid w:val="0061703E"/>
    <w:rsid w:val="006176FB"/>
    <w:rsid w:val="006215CB"/>
    <w:rsid w:val="0062385B"/>
    <w:rsid w:val="00640B26"/>
    <w:rsid w:val="00652D0A"/>
    <w:rsid w:val="00662BB6"/>
    <w:rsid w:val="00671B51"/>
    <w:rsid w:val="00672A48"/>
    <w:rsid w:val="00672F8A"/>
    <w:rsid w:val="0067362F"/>
    <w:rsid w:val="006740CB"/>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39D4"/>
    <w:rsid w:val="007F6611"/>
    <w:rsid w:val="00811920"/>
    <w:rsid w:val="00815AD0"/>
    <w:rsid w:val="00815EDB"/>
    <w:rsid w:val="008242D7"/>
    <w:rsid w:val="008257B1"/>
    <w:rsid w:val="00832334"/>
    <w:rsid w:val="00834D28"/>
    <w:rsid w:val="00841FAD"/>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760F3"/>
    <w:rsid w:val="00976CFB"/>
    <w:rsid w:val="00980F75"/>
    <w:rsid w:val="009A0830"/>
    <w:rsid w:val="009A0E8D"/>
    <w:rsid w:val="009A39F3"/>
    <w:rsid w:val="009B26E7"/>
    <w:rsid w:val="009B2F79"/>
    <w:rsid w:val="009B3273"/>
    <w:rsid w:val="009B544C"/>
    <w:rsid w:val="009B64BB"/>
    <w:rsid w:val="009D4F7B"/>
    <w:rsid w:val="00A00697"/>
    <w:rsid w:val="00A00A3F"/>
    <w:rsid w:val="00A01205"/>
    <w:rsid w:val="00A01489"/>
    <w:rsid w:val="00A17B81"/>
    <w:rsid w:val="00A24D18"/>
    <w:rsid w:val="00A3026E"/>
    <w:rsid w:val="00A33778"/>
    <w:rsid w:val="00A338F1"/>
    <w:rsid w:val="00A35BE0"/>
    <w:rsid w:val="00A5414C"/>
    <w:rsid w:val="00A60C27"/>
    <w:rsid w:val="00A6129C"/>
    <w:rsid w:val="00A72F22"/>
    <w:rsid w:val="00A7360F"/>
    <w:rsid w:val="00A7397C"/>
    <w:rsid w:val="00A748A6"/>
    <w:rsid w:val="00A769F4"/>
    <w:rsid w:val="00A776B4"/>
    <w:rsid w:val="00A91E4C"/>
    <w:rsid w:val="00A94361"/>
    <w:rsid w:val="00AA11D6"/>
    <w:rsid w:val="00AA293C"/>
    <w:rsid w:val="00AD74C4"/>
    <w:rsid w:val="00B049A8"/>
    <w:rsid w:val="00B21189"/>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2C0C"/>
    <w:rsid w:val="00C309EF"/>
    <w:rsid w:val="00C37074"/>
    <w:rsid w:val="00C4527F"/>
    <w:rsid w:val="00C463DD"/>
    <w:rsid w:val="00C4724C"/>
    <w:rsid w:val="00C60646"/>
    <w:rsid w:val="00C629A0"/>
    <w:rsid w:val="00C64629"/>
    <w:rsid w:val="00C745C3"/>
    <w:rsid w:val="00C94F10"/>
    <w:rsid w:val="00C96DF2"/>
    <w:rsid w:val="00CA1B34"/>
    <w:rsid w:val="00CB3E03"/>
    <w:rsid w:val="00CB61FB"/>
    <w:rsid w:val="00CD4AA6"/>
    <w:rsid w:val="00CE4A8F"/>
    <w:rsid w:val="00D00746"/>
    <w:rsid w:val="00D0711A"/>
    <w:rsid w:val="00D149F6"/>
    <w:rsid w:val="00D2031B"/>
    <w:rsid w:val="00D248B6"/>
    <w:rsid w:val="00D25FE2"/>
    <w:rsid w:val="00D26E07"/>
    <w:rsid w:val="00D43252"/>
    <w:rsid w:val="00D43876"/>
    <w:rsid w:val="00D44783"/>
    <w:rsid w:val="00D452D8"/>
    <w:rsid w:val="00D47EEA"/>
    <w:rsid w:val="00D70480"/>
    <w:rsid w:val="00D773DF"/>
    <w:rsid w:val="00D95303"/>
    <w:rsid w:val="00D978C6"/>
    <w:rsid w:val="00DA3C1C"/>
    <w:rsid w:val="00DC64E9"/>
    <w:rsid w:val="00DC6D39"/>
    <w:rsid w:val="00E00F5C"/>
    <w:rsid w:val="00E046DF"/>
    <w:rsid w:val="00E1086D"/>
    <w:rsid w:val="00E14EAE"/>
    <w:rsid w:val="00E22B0C"/>
    <w:rsid w:val="00E27346"/>
    <w:rsid w:val="00E363CE"/>
    <w:rsid w:val="00E40A45"/>
    <w:rsid w:val="00E560CA"/>
    <w:rsid w:val="00E71BC8"/>
    <w:rsid w:val="00E7260F"/>
    <w:rsid w:val="00E73F5D"/>
    <w:rsid w:val="00E77E4E"/>
    <w:rsid w:val="00E96630"/>
    <w:rsid w:val="00EA2A77"/>
    <w:rsid w:val="00ED7A2A"/>
    <w:rsid w:val="00EF1D7F"/>
    <w:rsid w:val="00F12AF0"/>
    <w:rsid w:val="00F16068"/>
    <w:rsid w:val="00F31E5F"/>
    <w:rsid w:val="00F34E68"/>
    <w:rsid w:val="00F56016"/>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FD0E0-FE40-478D-B154-0D9C2C19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536</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dc:creator>
  <cp:lastModifiedBy>07 series second set of changes</cp:lastModifiedBy>
  <cp:revision>2</cp:revision>
  <cp:lastPrinted>2015-01-21T15:20:00Z</cp:lastPrinted>
  <dcterms:created xsi:type="dcterms:W3CDTF">2015-01-23T13:24:00Z</dcterms:created>
  <dcterms:modified xsi:type="dcterms:W3CDTF">2015-01-23T13:24:00Z</dcterms:modified>
</cp:coreProperties>
</file>