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1" w:rsidRDefault="009A36E1" w:rsidP="009A36E1">
      <w:pPr>
        <w:spacing w:line="240" w:lineRule="auto"/>
        <w:rPr>
          <w:sz w:val="2"/>
        </w:rPr>
        <w:sectPr w:rsidR="009A36E1" w:rsidSect="009A36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9A36E1" w:rsidRDefault="009A36E1" w:rsidP="009A36E1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</w:t>
      </w:r>
      <w:r w:rsidR="008861D7">
        <w:rPr>
          <w:sz w:val="28"/>
        </w:rPr>
        <w:t>’</w:t>
      </w:r>
      <w:r>
        <w:rPr>
          <w:sz w:val="28"/>
        </w:rPr>
        <w:t>Europe</w:t>
      </w:r>
    </w:p>
    <w:p w:rsidR="009A36E1" w:rsidRDefault="009A36E1" w:rsidP="009A36E1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6645BF" w:rsidRDefault="006645BF" w:rsidP="006645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r>
        <w:rPr>
          <w:lang w:val="fr-FR"/>
        </w:rPr>
        <w:t>Forum mondial de l</w:t>
      </w:r>
      <w:r w:rsidR="008861D7">
        <w:rPr>
          <w:lang w:val="fr-FR"/>
        </w:rPr>
        <w:t>’</w:t>
      </w:r>
      <w:r>
        <w:rPr>
          <w:lang w:val="fr-FR"/>
        </w:rPr>
        <w:t xml:space="preserve">harmonisation </w:t>
      </w:r>
      <w:r>
        <w:rPr>
          <w:lang w:val="fr-FR"/>
        </w:rPr>
        <w:br/>
        <w:t>des Règlements concernant les véhicules</w:t>
      </w:r>
    </w:p>
    <w:p w:rsidR="006645BF" w:rsidRDefault="006645BF" w:rsidP="006645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CH" w:bidi="fr-CH"/>
        </w:rPr>
      </w:pPr>
    </w:p>
    <w:p w:rsidR="006645BF" w:rsidRDefault="006645BF" w:rsidP="00D53BE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 w:bidi="fr-CH"/>
        </w:rPr>
      </w:pPr>
      <w:r>
        <w:rPr>
          <w:lang w:val="fr-CH" w:bidi="fr-CH"/>
        </w:rPr>
        <w:t xml:space="preserve">Groupe de travail </w:t>
      </w:r>
      <w:r w:rsidR="00D53BEB">
        <w:rPr>
          <w:lang w:val="fr-CH" w:bidi="fr-CH"/>
        </w:rPr>
        <w:t>de l</w:t>
      </w:r>
      <w:r w:rsidR="008861D7">
        <w:rPr>
          <w:lang w:val="fr-CH" w:bidi="fr-CH"/>
        </w:rPr>
        <w:t>’</w:t>
      </w:r>
      <w:r w:rsidR="00D53BEB">
        <w:rPr>
          <w:lang w:val="fr-CH" w:bidi="fr-CH"/>
        </w:rPr>
        <w:t>éclairage et de la signalistion lumineuse</w:t>
      </w:r>
    </w:p>
    <w:p w:rsidR="006645BF" w:rsidRDefault="006645BF" w:rsidP="006645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CH" w:bidi="fr-CH"/>
        </w:rPr>
      </w:pPr>
    </w:p>
    <w:p w:rsidR="006645BF" w:rsidRDefault="00D53BEB" w:rsidP="006645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>Soixante-quatorziè</w:t>
      </w:r>
      <w:r w:rsidR="006645BF">
        <w:rPr>
          <w:lang w:val="fr-FR"/>
        </w:rPr>
        <w:t>me session</w:t>
      </w:r>
    </w:p>
    <w:p w:rsidR="006645BF" w:rsidRDefault="006645BF" w:rsidP="006645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>
        <w:rPr>
          <w:lang w:val="fr-FR"/>
        </w:rPr>
        <w:t xml:space="preserve">Genève, </w:t>
      </w:r>
      <w:r w:rsidR="00D53BEB">
        <w:rPr>
          <w:lang w:val="fr-FR"/>
        </w:rPr>
        <w:t>20</w:t>
      </w:r>
      <w:r w:rsidR="00FA7051">
        <w:rPr>
          <w:lang w:val="fr-FR"/>
        </w:rPr>
        <w:t>-</w:t>
      </w:r>
      <w:r w:rsidR="00D53BEB">
        <w:rPr>
          <w:lang w:val="fr-FR"/>
        </w:rPr>
        <w:t>23</w:t>
      </w:r>
      <w:r w:rsidR="00FA7051">
        <w:rPr>
          <w:lang w:val="fr-FR"/>
        </w:rPr>
        <w:t> </w:t>
      </w:r>
      <w:r w:rsidR="00D53BEB">
        <w:rPr>
          <w:lang w:val="fr-FR"/>
        </w:rPr>
        <w:t>octo</w:t>
      </w:r>
      <w:r>
        <w:rPr>
          <w:lang w:val="fr-FR"/>
        </w:rPr>
        <w:t>bre 2015</w:t>
      </w:r>
    </w:p>
    <w:p w:rsidR="006645BF" w:rsidRDefault="006645BF" w:rsidP="006645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>
        <w:rPr>
          <w:lang w:val="fr-FR"/>
        </w:rPr>
        <w:t xml:space="preserve">Point </w:t>
      </w:r>
      <w:r w:rsidR="00D53BEB">
        <w:rPr>
          <w:lang w:val="fr-FR"/>
        </w:rPr>
        <w:t>4</w:t>
      </w:r>
      <w:r>
        <w:rPr>
          <w:lang w:val="fr-FR"/>
        </w:rPr>
        <w:t xml:space="preserve"> de l</w:t>
      </w:r>
      <w:r w:rsidR="008861D7">
        <w:rPr>
          <w:lang w:val="fr-FR"/>
        </w:rPr>
        <w:t>’</w:t>
      </w:r>
      <w:r>
        <w:rPr>
          <w:lang w:val="fr-FR"/>
        </w:rPr>
        <w:t>ordre du jour provisoire</w:t>
      </w:r>
    </w:p>
    <w:p w:rsidR="006645BF" w:rsidRDefault="00D53BEB" w:rsidP="00FA70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bookmarkStart w:id="2" w:name="insstart"/>
      <w:bookmarkEnd w:id="2"/>
      <w:r>
        <w:rPr>
          <w:lang w:val="fr-FR"/>
        </w:rPr>
        <w:t>Simplification des Règlements concernant l</w:t>
      </w:r>
      <w:r w:rsidR="008861D7"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  <w:t>et la signalisation lumineuse</w:t>
      </w:r>
    </w:p>
    <w:p w:rsidR="006645BF" w:rsidRDefault="006645BF" w:rsidP="006645BF">
      <w:pPr>
        <w:pStyle w:val="SingleTxt"/>
        <w:spacing w:after="0" w:line="120" w:lineRule="exact"/>
        <w:ind w:left="0"/>
        <w:rPr>
          <w:sz w:val="10"/>
          <w:lang w:val="fr-CH" w:bidi="fr-CH"/>
        </w:rPr>
      </w:pPr>
    </w:p>
    <w:p w:rsidR="006645BF" w:rsidRDefault="006645BF" w:rsidP="006645BF">
      <w:pPr>
        <w:pStyle w:val="SingleTxt"/>
        <w:spacing w:after="0" w:line="120" w:lineRule="exact"/>
        <w:ind w:left="0"/>
        <w:rPr>
          <w:sz w:val="10"/>
          <w:lang w:val="fr-CH" w:bidi="fr-CH"/>
        </w:rPr>
      </w:pPr>
    </w:p>
    <w:p w:rsidR="006645BF" w:rsidRDefault="006645BF" w:rsidP="006645BF">
      <w:pPr>
        <w:pStyle w:val="SingleTxt"/>
        <w:spacing w:after="0" w:line="120" w:lineRule="exact"/>
        <w:ind w:left="0"/>
        <w:rPr>
          <w:sz w:val="10"/>
          <w:lang w:val="fr-CH" w:bidi="fr-CH"/>
        </w:rPr>
      </w:pPr>
    </w:p>
    <w:p w:rsidR="006645BF" w:rsidRDefault="006645BF" w:rsidP="006645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</w:t>
      </w:r>
      <w:r w:rsidR="00D53BEB">
        <w:rPr>
          <w:lang w:val="fr-FR"/>
        </w:rPr>
        <w:t xml:space="preserve">de complément 45 à la série 03 </w:t>
      </w:r>
      <w:r>
        <w:rPr>
          <w:lang w:val="fr-FR"/>
        </w:rPr>
        <w:t>d</w:t>
      </w:r>
      <w:r w:rsidR="008861D7">
        <w:rPr>
          <w:lang w:val="fr-FR"/>
        </w:rPr>
        <w:t>’</w:t>
      </w:r>
      <w:r>
        <w:rPr>
          <w:lang w:val="fr-FR"/>
        </w:rPr>
        <w:t>amendement</w:t>
      </w:r>
      <w:r w:rsidR="00D53BEB">
        <w:rPr>
          <w:lang w:val="fr-FR"/>
        </w:rPr>
        <w:t>s</w:t>
      </w:r>
      <w:r>
        <w:rPr>
          <w:lang w:val="fr-FR"/>
        </w:rPr>
        <w:t xml:space="preserve"> au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D53BEB">
        <w:rPr>
          <w:lang w:val="fr-FR"/>
        </w:rPr>
        <w:t>3</w:t>
      </w:r>
      <w:r>
        <w:rPr>
          <w:lang w:val="fr-FR"/>
        </w:rPr>
        <w:t>7 (</w:t>
      </w:r>
      <w:r w:rsidR="00D53BEB">
        <w:rPr>
          <w:lang w:val="fr-FR"/>
        </w:rPr>
        <w:t>Lampes à incandescence</w:t>
      </w:r>
      <w:r>
        <w:rPr>
          <w:lang w:val="fr-FR"/>
        </w:rPr>
        <w:t>)</w:t>
      </w:r>
    </w:p>
    <w:p w:rsidR="006645BF" w:rsidRPr="00D53BEB" w:rsidRDefault="006645BF" w:rsidP="006645BF">
      <w:pPr>
        <w:pStyle w:val="SingleTxt"/>
        <w:spacing w:after="0" w:line="120" w:lineRule="exact"/>
        <w:rPr>
          <w:sz w:val="10"/>
          <w:lang w:val="fr-FR"/>
        </w:rPr>
      </w:pPr>
    </w:p>
    <w:p w:rsidR="006645BF" w:rsidRPr="00D53BEB" w:rsidRDefault="006645BF" w:rsidP="006645BF">
      <w:pPr>
        <w:pStyle w:val="SingleTxt"/>
        <w:spacing w:after="0" w:line="120" w:lineRule="exact"/>
        <w:rPr>
          <w:sz w:val="10"/>
          <w:lang w:val="fr-FR"/>
        </w:rPr>
      </w:pPr>
    </w:p>
    <w:p w:rsidR="006645BF" w:rsidRDefault="006645BF" w:rsidP="006645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</w:t>
      </w:r>
      <w:r w:rsidR="00D53BEB">
        <w:rPr>
          <w:lang w:val="fr-FR"/>
        </w:rPr>
        <w:t xml:space="preserve">du groupe de travail informel chargé </w:t>
      </w:r>
      <w:r w:rsidR="00C31CED">
        <w:rPr>
          <w:lang w:val="fr-FR"/>
        </w:rPr>
        <w:br/>
      </w:r>
      <w:r w:rsidR="00D53BEB">
        <w:rPr>
          <w:lang w:val="fr-FR"/>
        </w:rPr>
        <w:t>de la « simplification des Règlements relatifs à l</w:t>
      </w:r>
      <w:r w:rsidR="008861D7">
        <w:rPr>
          <w:lang w:val="fr-FR"/>
        </w:rPr>
        <w:t>’</w:t>
      </w:r>
      <w:r w:rsidR="00D53BEB">
        <w:rPr>
          <w:lang w:val="fr-FR"/>
        </w:rPr>
        <w:t xml:space="preserve">éclairage </w:t>
      </w:r>
      <w:r w:rsidR="00C31CED">
        <w:rPr>
          <w:lang w:val="fr-FR"/>
        </w:rPr>
        <w:br/>
      </w:r>
      <w:r w:rsidR="00D53BEB">
        <w:rPr>
          <w:lang w:val="fr-FR"/>
        </w:rPr>
        <w:t>et à la signalisation lumineuse »</w:t>
      </w:r>
      <w:r w:rsidRPr="00D53BEB">
        <w:rPr>
          <w:rStyle w:val="FootnoteReference"/>
          <w:b w:val="0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6645BF" w:rsidRDefault="006645BF" w:rsidP="006645BF">
      <w:pPr>
        <w:pStyle w:val="SingleTxt"/>
        <w:spacing w:after="0" w:line="120" w:lineRule="exact"/>
        <w:rPr>
          <w:sz w:val="10"/>
          <w:lang w:val="fr-CH"/>
        </w:rPr>
      </w:pPr>
    </w:p>
    <w:p w:rsidR="006645BF" w:rsidRDefault="006645BF" w:rsidP="006645BF">
      <w:pPr>
        <w:pStyle w:val="SingleTxt"/>
        <w:spacing w:after="0" w:line="120" w:lineRule="exact"/>
        <w:rPr>
          <w:sz w:val="10"/>
          <w:lang w:val="fr-CH"/>
        </w:rPr>
      </w:pPr>
    </w:p>
    <w:p w:rsidR="00D53BEB" w:rsidRDefault="006645BF" w:rsidP="00D53BEB">
      <w:pPr>
        <w:pStyle w:val="SingleTxt"/>
        <w:rPr>
          <w:lang w:val="fr-CH"/>
        </w:rPr>
      </w:pPr>
      <w:r>
        <w:rPr>
          <w:lang w:val="fr-CH"/>
        </w:rPr>
        <w:tab/>
        <w:t xml:space="preserve">Le texte </w:t>
      </w:r>
      <w:r w:rsidR="00D53BEB">
        <w:rPr>
          <w:lang w:val="fr-CH"/>
        </w:rPr>
        <w:t>ci-après</w:t>
      </w:r>
      <w:r>
        <w:rPr>
          <w:lang w:val="fr-CH"/>
        </w:rPr>
        <w:t>, établi par le</w:t>
      </w:r>
      <w:r w:rsidR="00D53BEB">
        <w:rPr>
          <w:lang w:val="fr-CH"/>
        </w:rPr>
        <w:t>s experts du groupe de travail informel chargé de la « simplification des Règlements relatifs à l</w:t>
      </w:r>
      <w:r w:rsidR="008861D7">
        <w:rPr>
          <w:lang w:val="fr-CH"/>
        </w:rPr>
        <w:t>’</w:t>
      </w:r>
      <w:r w:rsidR="00D53BEB">
        <w:rPr>
          <w:lang w:val="fr-CH"/>
        </w:rPr>
        <w:t xml:space="preserve">éclairage et à la signalisation lumineuse », vise à simplifier la teneur et la procédure de modification des Règlements relatifs aux sources lumineuses. Les </w:t>
      </w:r>
      <w:r>
        <w:rPr>
          <w:lang w:val="fr-CH"/>
        </w:rPr>
        <w:t>modifications qu</w:t>
      </w:r>
      <w:r w:rsidR="008861D7">
        <w:rPr>
          <w:lang w:val="fr-CH"/>
        </w:rPr>
        <w:t>’</w:t>
      </w:r>
      <w:r>
        <w:rPr>
          <w:lang w:val="fr-CH"/>
        </w:rPr>
        <w:t>il est proposé d</w:t>
      </w:r>
      <w:r w:rsidR="008861D7">
        <w:rPr>
          <w:lang w:val="fr-CH"/>
        </w:rPr>
        <w:t>’</w:t>
      </w:r>
      <w:r>
        <w:rPr>
          <w:lang w:val="fr-CH"/>
        </w:rPr>
        <w:t>apporter au texte actuel du Règlement sont i</w:t>
      </w:r>
      <w:r w:rsidR="00D53BEB">
        <w:rPr>
          <w:lang w:val="fr-CH"/>
        </w:rPr>
        <w:t>ndiqué</w:t>
      </w:r>
      <w:r>
        <w:rPr>
          <w:lang w:val="fr-CH"/>
        </w:rPr>
        <w:t>es en caractères gras pour les ajouts ou en caractères biffés pour les suppressions.</w:t>
      </w:r>
    </w:p>
    <w:p w:rsidR="00D53BEB" w:rsidRDefault="00D53BEB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D53BEB" w:rsidRDefault="00D53BEB" w:rsidP="00FA705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fr-CH"/>
        </w:rPr>
      </w:pPr>
      <w:r w:rsidRPr="00D53BEB">
        <w:rPr>
          <w:w w:val="100"/>
          <w:lang w:val="fr-CH"/>
        </w:rPr>
        <w:lastRenderedPageBreak/>
        <w:tab/>
        <w:t>I.</w:t>
      </w:r>
      <w:r w:rsidRPr="00D53BEB">
        <w:rPr>
          <w:w w:val="100"/>
          <w:lang w:val="fr-CH"/>
        </w:rPr>
        <w:tab/>
        <w:t>Proposition</w:t>
      </w:r>
    </w:p>
    <w:p w:rsidR="00FA7051" w:rsidRPr="00FA7051" w:rsidRDefault="00FA7051" w:rsidP="00FA7051">
      <w:pPr>
        <w:pStyle w:val="SingleTxt"/>
        <w:spacing w:after="0" w:line="120" w:lineRule="exact"/>
        <w:rPr>
          <w:sz w:val="10"/>
          <w:lang w:val="fr-CH"/>
        </w:rPr>
      </w:pPr>
    </w:p>
    <w:p w:rsidR="00FA7051" w:rsidRPr="00FA7051" w:rsidRDefault="00FA7051" w:rsidP="00FA7051">
      <w:pPr>
        <w:pStyle w:val="SingleTxt"/>
        <w:spacing w:after="0" w:line="120" w:lineRule="exact"/>
        <w:rPr>
          <w:sz w:val="10"/>
          <w:lang w:val="fr-CH"/>
        </w:rPr>
      </w:pPr>
    </w:p>
    <w:p w:rsidR="00D53BEB" w:rsidRPr="00D53BEB" w:rsidRDefault="00D53BEB" w:rsidP="00FA7051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2.2.2.2</w:t>
      </w:r>
      <w:r w:rsidRPr="00FA7051">
        <w:rPr>
          <w:w w:val="100"/>
          <w:lang w:val="fr-CH"/>
        </w:rPr>
        <w:t xml:space="preserve">, </w:t>
      </w:r>
      <w:r w:rsidRPr="00D53BEB">
        <w:rPr>
          <w:w w:val="100"/>
          <w:lang w:val="fr-CH"/>
        </w:rPr>
        <w:t>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FA7051">
      <w:pPr>
        <w:pStyle w:val="SingleTxt"/>
        <w:ind w:left="2693" w:hanging="1426"/>
        <w:rPr>
          <w:w w:val="100"/>
          <w:lang w:val="fr-CH"/>
        </w:rPr>
      </w:pPr>
      <w:r w:rsidRPr="00D53BEB">
        <w:rPr>
          <w:w w:val="100"/>
          <w:lang w:val="fr-CH"/>
        </w:rPr>
        <w:t>«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2.2.2</w:t>
      </w:r>
      <w:r w:rsidRPr="00D53BEB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Pr="00D53BEB">
        <w:rPr>
          <w:w w:val="100"/>
          <w:lang w:val="fr-CH"/>
        </w:rPr>
        <w:t>D</w:t>
      </w:r>
      <w:r w:rsidR="008861D7">
        <w:rPr>
          <w:w w:val="100"/>
          <w:lang w:val="fr-CH"/>
        </w:rPr>
        <w:t>’</w:t>
      </w:r>
      <w:r w:rsidRPr="00D53BEB">
        <w:rPr>
          <w:w w:val="100"/>
          <w:lang w:val="fr-CH"/>
        </w:rPr>
        <w:t xml:space="preserve">une description technique succincte; </w:t>
      </w:r>
      <w:r w:rsidRPr="00C31CED">
        <w:rPr>
          <w:b/>
          <w:w w:val="100"/>
          <w:lang w:val="fr-CH"/>
        </w:rPr>
        <w:t>celle-ci doit inclure la forme du filament s</w:t>
      </w:r>
      <w:r w:rsidR="008861D7">
        <w:rPr>
          <w:b/>
          <w:w w:val="100"/>
          <w:lang w:val="fr-CH"/>
        </w:rPr>
        <w:t>’</w:t>
      </w:r>
      <w:r w:rsidRPr="00C31CED">
        <w:rPr>
          <w:b/>
          <w:w w:val="100"/>
          <w:lang w:val="fr-CH"/>
        </w:rPr>
        <w:t>il est indiqué sur la feuille de caractéristiques correspondante que le filament peut être droit ou en V;</w:t>
      </w:r>
      <w:r w:rsidR="00C31CED">
        <w:rPr>
          <w:w w:val="100"/>
          <w:lang w:val="fr-CH"/>
        </w:rPr>
        <w:t> </w:t>
      </w:r>
      <w:r w:rsidRPr="00D53BEB">
        <w:rPr>
          <w:w w:val="100"/>
          <w:lang w:val="fr-CH"/>
        </w:rPr>
        <w:t>».</w:t>
      </w:r>
    </w:p>
    <w:p w:rsidR="00D53BEB" w:rsidRPr="00D53BEB" w:rsidRDefault="00D53BEB" w:rsidP="00FA7051">
      <w:pPr>
        <w:pStyle w:val="SingleTxt"/>
        <w:rPr>
          <w:w w:val="100"/>
          <w:lang w:val="fr-CH"/>
        </w:rPr>
      </w:pPr>
      <w:r w:rsidRPr="00FA7051">
        <w:rPr>
          <w:i/>
          <w:w w:val="100"/>
          <w:lang w:val="fr-CH"/>
        </w:rPr>
        <w:t>Ajouter un nouveau paragraphe</w:t>
      </w:r>
      <w:r w:rsidRPr="00D53BEB">
        <w:rPr>
          <w:w w:val="100"/>
          <w:lang w:val="fr-CH"/>
        </w:rPr>
        <w:t>, libellé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FA7051">
      <w:pPr>
        <w:pStyle w:val="SingleTxt"/>
        <w:ind w:left="2693" w:hanging="1426"/>
        <w:rPr>
          <w:b/>
          <w:w w:val="100"/>
          <w:lang w:val="fr-CH"/>
        </w:rPr>
      </w:pPr>
      <w:r w:rsidRPr="00D53BEB">
        <w:rPr>
          <w:w w:val="100"/>
          <w:lang w:val="fr-CH"/>
        </w:rPr>
        <w:t>«</w:t>
      </w:r>
      <w:r w:rsidR="00FA7051">
        <w:rPr>
          <w:w w:val="100"/>
          <w:lang w:val="fr-CH"/>
        </w:rPr>
        <w:t> </w:t>
      </w:r>
      <w:r w:rsidRPr="00D53BEB">
        <w:rPr>
          <w:b/>
          <w:w w:val="100"/>
          <w:lang w:val="fr-CH"/>
        </w:rPr>
        <w:t>3.1.11</w:t>
      </w:r>
      <w:r w:rsidRPr="00D53BEB">
        <w:rPr>
          <w:b/>
          <w:w w:val="100"/>
          <w:lang w:val="fr-CH"/>
        </w:rPr>
        <w:tab/>
      </w:r>
      <w:r w:rsidR="00FA7051">
        <w:rPr>
          <w:b/>
          <w:w w:val="100"/>
          <w:lang w:val="fr-CH"/>
        </w:rPr>
        <w:tab/>
      </w:r>
      <w:r w:rsidRPr="00D53BEB">
        <w:rPr>
          <w:b/>
          <w:w w:val="100"/>
          <w:lang w:val="fr-CH"/>
        </w:rPr>
        <w:t>Unité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éclairage</w:t>
      </w:r>
      <w:r w:rsidR="00C31CED">
        <w:rPr>
          <w:b/>
          <w:w w:val="100"/>
          <w:lang w:val="fr-CH"/>
        </w:rPr>
        <w:t> </w:t>
      </w:r>
      <w:r w:rsidRPr="00D53BEB">
        <w:rPr>
          <w:b/>
          <w:w w:val="100"/>
          <w:lang w:val="fr-CH"/>
        </w:rPr>
        <w:t>: dispositif utilisant une source lumineuse et conçu pour éclairer la route, pour éclairer la plaque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immatriculation arrière ou pour émettre un signal lumineux à l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intention des autres usagers.</w:t>
      </w:r>
      <w:r w:rsidR="00C31CED">
        <w:rPr>
          <w:b/>
          <w:w w:val="100"/>
          <w:lang w:val="fr-CH"/>
        </w:rPr>
        <w:t> </w:t>
      </w:r>
      <w:r w:rsidRPr="00D53BEB">
        <w:rPr>
          <w:w w:val="100"/>
          <w:lang w:val="fr-CH"/>
        </w:rPr>
        <w:t>».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3.2.3</w:t>
      </w:r>
      <w:r w:rsidRPr="00FA7051">
        <w:rPr>
          <w:w w:val="100"/>
          <w:lang w:val="fr-CH"/>
        </w:rPr>
        <w:t>,</w:t>
      </w:r>
      <w:r w:rsidRPr="00D53BEB">
        <w:rPr>
          <w:w w:val="100"/>
          <w:lang w:val="fr-CH"/>
        </w:rPr>
        <w:t xml:space="preserve"> 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FA7051">
      <w:pPr>
        <w:pStyle w:val="SingleTxt"/>
        <w:ind w:left="2693" w:hanging="1426"/>
        <w:rPr>
          <w:w w:val="100"/>
          <w:lang w:val="fr-CH"/>
        </w:rPr>
      </w:pPr>
      <w:r w:rsidRPr="00D53BEB">
        <w:rPr>
          <w:w w:val="100"/>
          <w:lang w:val="fr-CH"/>
        </w:rPr>
        <w:t>«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3.2.3</w:t>
      </w:r>
      <w:r w:rsidRPr="00D53BEB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Pr="00D53BEB">
        <w:rPr>
          <w:w w:val="100"/>
          <w:lang w:val="fr-CH"/>
        </w:rPr>
        <w:t xml:space="preserve">Le ou les filaments </w:t>
      </w:r>
      <w:r w:rsidRPr="00C31CED">
        <w:rPr>
          <w:strike/>
          <w:w w:val="100"/>
          <w:lang w:val="fr-CH"/>
        </w:rPr>
        <w:t>spécifiés sur la feuille de données de la catégorie pertinente à l</w:t>
      </w:r>
      <w:r w:rsidR="008861D7">
        <w:rPr>
          <w:strike/>
          <w:w w:val="100"/>
          <w:lang w:val="fr-CH"/>
        </w:rPr>
        <w:t>’</w:t>
      </w:r>
      <w:r w:rsidRPr="00C31CED">
        <w:rPr>
          <w:strike/>
          <w:w w:val="100"/>
          <w:lang w:val="fr-CH"/>
        </w:rPr>
        <w:t xml:space="preserve">annexe 1 </w:t>
      </w:r>
      <w:r w:rsidRPr="00D53BEB">
        <w:rPr>
          <w:w w:val="100"/>
          <w:lang w:val="fr-CH"/>
        </w:rPr>
        <w:t>sont les seuls éléments de la lampe à incandescence qui produisent et émettent de la lumière lorsqu</w:t>
      </w:r>
      <w:r w:rsidR="008861D7">
        <w:rPr>
          <w:w w:val="100"/>
          <w:lang w:val="fr-CH"/>
        </w:rPr>
        <w:t>’</w:t>
      </w:r>
      <w:r w:rsidRPr="00D53BEB">
        <w:rPr>
          <w:w w:val="100"/>
          <w:lang w:val="fr-CH"/>
        </w:rPr>
        <w:t>ils sont mis sous tension.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».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3.6.2</w:t>
      </w:r>
      <w:r w:rsidRPr="00FA7051">
        <w:rPr>
          <w:w w:val="100"/>
          <w:lang w:val="fr-CH"/>
        </w:rPr>
        <w:t xml:space="preserve">, </w:t>
      </w:r>
      <w:r w:rsidRPr="00D53BEB">
        <w:rPr>
          <w:w w:val="100"/>
          <w:lang w:val="fr-CH"/>
        </w:rPr>
        <w:t>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FA7051">
      <w:pPr>
        <w:pStyle w:val="SingleTxt"/>
        <w:ind w:left="2693" w:hanging="1426"/>
        <w:rPr>
          <w:bCs/>
          <w:w w:val="100"/>
          <w:lang w:val="fr-CH"/>
        </w:rPr>
      </w:pPr>
      <w:r w:rsidRPr="00D53BEB">
        <w:rPr>
          <w:bCs/>
          <w:w w:val="100"/>
          <w:lang w:val="fr-CH"/>
        </w:rPr>
        <w:t>«</w:t>
      </w:r>
      <w:r w:rsidR="00FA7051">
        <w:rPr>
          <w:bCs/>
          <w:w w:val="100"/>
          <w:lang w:val="fr-CH"/>
        </w:rPr>
        <w:t> </w:t>
      </w:r>
      <w:r w:rsidRPr="00D53BEB">
        <w:rPr>
          <w:bCs/>
          <w:w w:val="100"/>
          <w:lang w:val="fr-CH"/>
        </w:rPr>
        <w:t>3.6.2</w:t>
      </w:r>
      <w:r w:rsidRPr="00D53BEB">
        <w:rPr>
          <w:bCs/>
          <w:w w:val="100"/>
          <w:lang w:val="fr-CH"/>
        </w:rPr>
        <w:tab/>
      </w:r>
      <w:r w:rsidR="00FA7051">
        <w:rPr>
          <w:bCs/>
          <w:w w:val="100"/>
          <w:lang w:val="fr-CH"/>
        </w:rPr>
        <w:tab/>
      </w:r>
      <w:r w:rsidRPr="00D53BEB">
        <w:rPr>
          <w:bCs/>
          <w:w w:val="100"/>
          <w:lang w:val="fr-CH"/>
        </w:rPr>
        <w:t xml:space="preserve">Les définitions de la couleur de la lumière émise qui figurent dans </w:t>
      </w:r>
      <w:r w:rsidRPr="00D53BEB">
        <w:rPr>
          <w:b/>
          <w:bCs/>
          <w:w w:val="100"/>
          <w:lang w:val="fr-CH"/>
        </w:rPr>
        <w:t xml:space="preserve">[la partie B du] </w:t>
      </w:r>
      <w:r w:rsidRPr="00D53BEB">
        <w:rPr>
          <w:bCs/>
          <w:w w:val="100"/>
          <w:lang w:val="fr-CH"/>
        </w:rPr>
        <w:t>le Règlement n</w:t>
      </w:r>
      <w:r w:rsidRPr="00D53BEB">
        <w:rPr>
          <w:bCs/>
          <w:w w:val="100"/>
          <w:vertAlign w:val="superscript"/>
          <w:lang w:val="fr-CH"/>
        </w:rPr>
        <w:t>o</w:t>
      </w:r>
      <w:r w:rsidRPr="00D53BEB">
        <w:rPr>
          <w:bCs/>
          <w:w w:val="100"/>
          <w:lang w:val="fr-CH"/>
        </w:rPr>
        <w:t> 48 et ses séries d</w:t>
      </w:r>
      <w:r w:rsidR="008861D7">
        <w:rPr>
          <w:bCs/>
          <w:w w:val="100"/>
          <w:lang w:val="fr-CH"/>
        </w:rPr>
        <w:t>’</w:t>
      </w:r>
      <w:r w:rsidRPr="00D53BEB">
        <w:rPr>
          <w:bCs/>
          <w:w w:val="100"/>
          <w:lang w:val="fr-CH"/>
        </w:rPr>
        <w:t>amendements en vigueur à la date de la demande d</w:t>
      </w:r>
      <w:r w:rsidR="008861D7">
        <w:rPr>
          <w:bCs/>
          <w:w w:val="100"/>
          <w:lang w:val="fr-CH"/>
        </w:rPr>
        <w:t>’</w:t>
      </w:r>
      <w:r w:rsidRPr="00D53BEB">
        <w:rPr>
          <w:bCs/>
          <w:w w:val="100"/>
          <w:lang w:val="fr-CH"/>
        </w:rPr>
        <w:t>homologation de type s</w:t>
      </w:r>
      <w:r w:rsidR="008861D7">
        <w:rPr>
          <w:bCs/>
          <w:w w:val="100"/>
          <w:lang w:val="fr-CH"/>
        </w:rPr>
        <w:t>’</w:t>
      </w:r>
      <w:r w:rsidRPr="00D53BEB">
        <w:rPr>
          <w:bCs/>
          <w:w w:val="100"/>
          <w:lang w:val="fr-CH"/>
        </w:rPr>
        <w:t>appliquent au présent Règlement.</w:t>
      </w:r>
      <w:r w:rsidR="00FA7051">
        <w:rPr>
          <w:bCs/>
          <w:w w:val="100"/>
          <w:lang w:val="fr-CH"/>
        </w:rPr>
        <w:t> </w:t>
      </w:r>
      <w:r w:rsidRPr="00D53BEB">
        <w:rPr>
          <w:bCs/>
          <w:w w:val="100"/>
          <w:lang w:val="fr-CH"/>
        </w:rPr>
        <w:t>».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3.7</w:t>
      </w:r>
      <w:r w:rsidRPr="00FA7051">
        <w:rPr>
          <w:w w:val="100"/>
          <w:lang w:val="fr-CH"/>
        </w:rPr>
        <w:t xml:space="preserve">, </w:t>
      </w:r>
      <w:r w:rsidRPr="00D53BEB">
        <w:rPr>
          <w:w w:val="100"/>
          <w:lang w:val="fr-CH"/>
        </w:rPr>
        <w:t>sans objet en français.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3.9</w:t>
      </w:r>
      <w:r w:rsidRPr="00FA7051">
        <w:rPr>
          <w:w w:val="100"/>
          <w:lang w:val="fr-CH"/>
        </w:rPr>
        <w:t xml:space="preserve">, </w:t>
      </w:r>
      <w:r w:rsidRPr="00D53BEB">
        <w:rPr>
          <w:w w:val="100"/>
          <w:lang w:val="fr-CH"/>
        </w:rPr>
        <w:t>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w w:val="100"/>
          <w:lang w:val="fr-CH"/>
        </w:rPr>
        <w:t>«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3.9</w:t>
      </w:r>
      <w:r w:rsidRPr="00D53BEB">
        <w:rPr>
          <w:w w:val="100"/>
          <w:lang w:val="fr-CH"/>
        </w:rPr>
        <w:tab/>
      </w:r>
      <w:r w:rsidRPr="00D53BEB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Pr="00D53BEB">
        <w:rPr>
          <w:w w:val="100"/>
          <w:lang w:val="fr-CH"/>
        </w:rPr>
        <w:t>Contrôle de la qualité optique</w:t>
      </w:r>
    </w:p>
    <w:p w:rsidR="00D53BEB" w:rsidRPr="00D53BEB" w:rsidRDefault="00D53BEB" w:rsidP="00FA7051">
      <w:pPr>
        <w:pStyle w:val="SingleTxt"/>
        <w:ind w:left="2693" w:hanging="1426"/>
        <w:rPr>
          <w:w w:val="100"/>
          <w:lang w:val="fr-CH"/>
        </w:rPr>
      </w:pPr>
      <w:r w:rsidRPr="00D53BEB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Pr="00D53BEB">
        <w:rPr>
          <w:w w:val="100"/>
          <w:lang w:val="fr-CH"/>
        </w:rPr>
        <w:t>(S</w:t>
      </w:r>
      <w:r w:rsidR="008861D7">
        <w:rPr>
          <w:w w:val="100"/>
          <w:lang w:val="fr-CH"/>
        </w:rPr>
        <w:t>’</w:t>
      </w:r>
      <w:r w:rsidRPr="00D53BEB">
        <w:rPr>
          <w:w w:val="100"/>
          <w:lang w:val="fr-CH"/>
        </w:rPr>
        <w:t xml:space="preserve">applique uniquement aux lampes à incandescence </w:t>
      </w:r>
      <w:r w:rsidRPr="005E4B03">
        <w:rPr>
          <w:strike/>
          <w:w w:val="100"/>
          <w:lang w:val="fr-CH"/>
        </w:rPr>
        <w:t xml:space="preserve">des catégories R2, H4 et HS1 </w:t>
      </w:r>
      <w:r w:rsidRPr="00D53BEB">
        <w:rPr>
          <w:b/>
          <w:w w:val="100"/>
          <w:lang w:val="fr-CH"/>
        </w:rPr>
        <w:t>dotées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une coupelle interne qui provoque la coupure</w:t>
      </w:r>
      <w:r w:rsidRPr="00D53BEB">
        <w:rPr>
          <w:w w:val="100"/>
          <w:lang w:val="fr-CH"/>
        </w:rPr>
        <w:t xml:space="preserve">). 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w w:val="100"/>
          <w:lang w:val="fr-CH"/>
        </w:rPr>
        <w:t>3.9.1</w:t>
      </w:r>
      <w:r w:rsidR="00FA7051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="00FA7051">
        <w:rPr>
          <w:w w:val="100"/>
          <w:lang w:val="fr-CH"/>
        </w:rPr>
        <w:tab/>
        <w:t>… </w:t>
      </w:r>
      <w:r w:rsidRPr="00D53BEB">
        <w:rPr>
          <w:w w:val="100"/>
          <w:lang w:val="fr-CH"/>
        </w:rPr>
        <w:t>».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8.3</w:t>
      </w:r>
      <w:r w:rsidRPr="00FA7051">
        <w:rPr>
          <w:w w:val="100"/>
          <w:lang w:val="fr-CH"/>
        </w:rPr>
        <w:t xml:space="preserve">, </w:t>
      </w:r>
      <w:r w:rsidRPr="00D53BEB">
        <w:rPr>
          <w:w w:val="100"/>
          <w:lang w:val="fr-CH"/>
        </w:rPr>
        <w:t>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FA7051">
      <w:pPr>
        <w:pStyle w:val="SingleTxt"/>
        <w:ind w:left="2693" w:hanging="1426"/>
        <w:rPr>
          <w:w w:val="100"/>
          <w:lang w:val="fr-CH"/>
        </w:rPr>
      </w:pPr>
      <w:r w:rsidRPr="00D53BEB">
        <w:rPr>
          <w:w w:val="100"/>
          <w:lang w:val="fr-CH"/>
        </w:rPr>
        <w:t>«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8.3</w:t>
      </w:r>
      <w:r w:rsidRPr="00D53BEB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Pr="00D53BEB">
        <w:rPr>
          <w:w w:val="100"/>
          <w:lang w:val="fr-CH"/>
        </w:rPr>
        <w:t>À l</w:t>
      </w:r>
      <w:r w:rsidR="008861D7">
        <w:rPr>
          <w:w w:val="100"/>
          <w:lang w:val="fr-CH"/>
        </w:rPr>
        <w:t>’</w:t>
      </w:r>
      <w:r w:rsidRPr="00D53BEB">
        <w:rPr>
          <w:w w:val="100"/>
          <w:lang w:val="fr-CH"/>
        </w:rPr>
        <w:t xml:space="preserve">expiration </w:t>
      </w:r>
      <w:r w:rsidRPr="00D53BEB">
        <w:rPr>
          <w:b/>
          <w:w w:val="100"/>
          <w:lang w:val="fr-CH"/>
        </w:rPr>
        <w:t xml:space="preserve">de la date </w:t>
      </w:r>
      <w:r w:rsidRPr="00C31CED">
        <w:rPr>
          <w:strike/>
          <w:w w:val="100"/>
          <w:lang w:val="fr-CH"/>
        </w:rPr>
        <w:t>du délai à compter de la date d</w:t>
      </w:r>
      <w:r w:rsidR="008861D7">
        <w:rPr>
          <w:strike/>
          <w:w w:val="100"/>
          <w:lang w:val="fr-CH"/>
        </w:rPr>
        <w:t>’</w:t>
      </w:r>
      <w:r w:rsidRPr="00C31CED">
        <w:rPr>
          <w:strike/>
          <w:w w:val="100"/>
          <w:lang w:val="fr-CH"/>
        </w:rPr>
        <w:t>entrée en vigueur des compléments à la série 03 d</w:t>
      </w:r>
      <w:r w:rsidR="008861D7">
        <w:rPr>
          <w:strike/>
          <w:w w:val="100"/>
          <w:lang w:val="fr-CH"/>
        </w:rPr>
        <w:t>’</w:t>
      </w:r>
      <w:r w:rsidRPr="00C31CED">
        <w:rPr>
          <w:strike/>
          <w:w w:val="100"/>
          <w:lang w:val="fr-CH"/>
        </w:rPr>
        <w:t>amendements</w:t>
      </w:r>
      <w:r w:rsidRPr="00D53BEB">
        <w:rPr>
          <w:w w:val="100"/>
          <w:lang w:val="fr-CH"/>
        </w:rPr>
        <w:t xml:space="preserve"> indiqué</w:t>
      </w:r>
      <w:r w:rsidRPr="00D53BEB">
        <w:rPr>
          <w:b/>
          <w:w w:val="100"/>
          <w:lang w:val="fr-CH"/>
        </w:rPr>
        <w:t>e</w:t>
      </w:r>
      <w:r w:rsidRPr="00D53BEB">
        <w:rPr>
          <w:w w:val="100"/>
          <w:lang w:val="fr-CH"/>
        </w:rPr>
        <w:t xml:space="preserve"> pour chaque catégorie dans le tableau relatif au groupe 3 dans l</w:t>
      </w:r>
      <w:r w:rsidR="008861D7">
        <w:rPr>
          <w:w w:val="100"/>
          <w:lang w:val="fr-CH"/>
        </w:rPr>
        <w:t>’</w:t>
      </w:r>
      <w:r w:rsidRPr="00D53BEB">
        <w:rPr>
          <w:w w:val="100"/>
          <w:lang w:val="fr-CH"/>
        </w:rPr>
        <w:t xml:space="preserve">annexe 1, aucune lampe à incandescence de ces catégories ou des types relevant de ces catégories ne doit être utilisée dans des </w:t>
      </w:r>
      <w:r w:rsidRPr="00C31CED">
        <w:rPr>
          <w:strike/>
          <w:w w:val="100"/>
          <w:lang w:val="fr-CH"/>
        </w:rPr>
        <w:t xml:space="preserve">feux </w:t>
      </w:r>
      <w:r w:rsidRPr="00D53BEB">
        <w:rPr>
          <w:b/>
          <w:w w:val="100"/>
          <w:lang w:val="fr-CH"/>
        </w:rPr>
        <w:t>unités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 xml:space="preserve">éclairage </w:t>
      </w:r>
      <w:r w:rsidRPr="00D53BEB">
        <w:rPr>
          <w:w w:val="100"/>
          <w:lang w:val="fr-CH"/>
        </w:rPr>
        <w:t>présenté</w:t>
      </w:r>
      <w:r w:rsidRPr="00D53BEB">
        <w:rPr>
          <w:b/>
          <w:w w:val="100"/>
          <w:lang w:val="fr-CH"/>
        </w:rPr>
        <w:t>e</w:t>
      </w:r>
      <w:r w:rsidRPr="00D53BEB">
        <w:rPr>
          <w:w w:val="100"/>
          <w:lang w:val="fr-CH"/>
        </w:rPr>
        <w:t>s à l</w:t>
      </w:r>
      <w:r w:rsidR="008861D7">
        <w:rPr>
          <w:w w:val="100"/>
          <w:lang w:val="fr-CH"/>
        </w:rPr>
        <w:t>’</w:t>
      </w:r>
      <w:r w:rsidRPr="00D53BEB">
        <w:rPr>
          <w:w w:val="100"/>
          <w:lang w:val="fr-CH"/>
        </w:rPr>
        <w:t>homologation de type</w:t>
      </w:r>
      <w:r w:rsidRPr="00D53BEB">
        <w:rPr>
          <w:b/>
          <w:w w:val="100"/>
          <w:lang w:val="fr-CH"/>
        </w:rPr>
        <w:t>, à moins que le demandeur de l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homologation de type de l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unité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éclairage déclare que ces unités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éclairage ne sont destinées qu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à servir de pièces de rechange sur des véhicules en service; ceci doit être indiqué dans la fiche de communication de l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unité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éclairage.</w:t>
      </w:r>
      <w:r w:rsidR="00C31CED">
        <w:rPr>
          <w:b/>
          <w:w w:val="100"/>
          <w:lang w:val="fr-CH"/>
        </w:rPr>
        <w:t> </w:t>
      </w:r>
      <w:r w:rsidRPr="00D53BEB">
        <w:rPr>
          <w:w w:val="100"/>
          <w:lang w:val="fr-CH"/>
        </w:rPr>
        <w:t>».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8.4</w:t>
      </w:r>
      <w:r w:rsidRPr="00FA7051">
        <w:rPr>
          <w:w w:val="100"/>
          <w:lang w:val="fr-CH"/>
        </w:rPr>
        <w:t xml:space="preserve">, </w:t>
      </w:r>
      <w:r w:rsidRPr="00D53BEB">
        <w:rPr>
          <w:w w:val="100"/>
          <w:lang w:val="fr-CH"/>
        </w:rPr>
        <w:t>supprimer.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Annexe 1</w:t>
      </w:r>
      <w:r w:rsidRPr="00D53BEB">
        <w:rPr>
          <w:w w:val="100"/>
          <w:lang w:val="fr-CH"/>
        </w:rPr>
        <w:t>, remplacer par une nouvelle annexe 1, libellée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D53BEB">
      <w:pPr>
        <w:pStyle w:val="SingleTxt"/>
        <w:rPr>
          <w:b/>
          <w:w w:val="100"/>
          <w:lang w:val="fr-CH"/>
        </w:rPr>
      </w:pPr>
      <w:r w:rsidRPr="00FA7051">
        <w:rPr>
          <w:w w:val="100"/>
          <w:lang w:val="fr-CH"/>
        </w:rPr>
        <w:t>«</w:t>
      </w:r>
      <w:r w:rsidR="00FA7051">
        <w:rPr>
          <w:b/>
          <w:w w:val="100"/>
          <w:lang w:val="fr-CH"/>
        </w:rPr>
        <w:t> </w:t>
      </w:r>
      <w:r w:rsidRPr="00D53BEB">
        <w:rPr>
          <w:b/>
          <w:w w:val="100"/>
          <w:lang w:val="fr-CH"/>
        </w:rPr>
        <w:t>Annexe 1</w:t>
      </w:r>
    </w:p>
    <w:p w:rsidR="00D53BEB" w:rsidRPr="00D53BEB" w:rsidRDefault="00D53BEB" w:rsidP="00D53BEB">
      <w:pPr>
        <w:pStyle w:val="SingleTxt"/>
        <w:rPr>
          <w:b/>
          <w:w w:val="100"/>
          <w:lang w:val="fr-CH"/>
        </w:rPr>
      </w:pPr>
      <w:r w:rsidRPr="00D53BEB">
        <w:rPr>
          <w:b/>
          <w:w w:val="100"/>
          <w:lang w:val="fr-CH"/>
        </w:rPr>
        <w:t>Feuilles</w:t>
      </w:r>
      <w:r w:rsidRPr="0091130A">
        <w:rPr>
          <w:w w:val="100"/>
          <w:szCs w:val="20"/>
          <w:lang w:val="fr-CH"/>
        </w:rPr>
        <w:t>*</w:t>
      </w:r>
      <w:r w:rsidRPr="00D53BEB">
        <w:rPr>
          <w:b/>
          <w:w w:val="100"/>
          <w:lang w:val="fr-CH"/>
        </w:rPr>
        <w:t xml:space="preserve"> relatives aux lampes à incandescence</w:t>
      </w:r>
    </w:p>
    <w:p w:rsidR="00D53BEB" w:rsidRDefault="00D53BEB" w:rsidP="00D53BEB">
      <w:pPr>
        <w:pStyle w:val="SingleTxt"/>
        <w:rPr>
          <w:b/>
          <w:w w:val="100"/>
          <w:lang w:val="fr-CH"/>
        </w:rPr>
      </w:pPr>
      <w:r w:rsidRPr="00D53BEB">
        <w:rPr>
          <w:b/>
          <w:w w:val="100"/>
          <w:lang w:val="fr-CH"/>
        </w:rPr>
        <w:t>Les feuilles relatives à la catégorie de lampes à incandescence concernée et le groupe auquel appartient cette catégorie, ainsi que les restrictions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utilisation correspondantes, s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appliquent conformément à la Résolution [n</w:t>
      </w:r>
      <w:r w:rsidRPr="00FA7051">
        <w:rPr>
          <w:b/>
          <w:w w:val="100"/>
          <w:vertAlign w:val="superscript"/>
          <w:lang w:val="fr-CH"/>
        </w:rPr>
        <w:t>o</w:t>
      </w:r>
      <w:r w:rsidRPr="00D53BEB">
        <w:rPr>
          <w:b/>
          <w:w w:val="100"/>
          <w:lang w:val="fr-CH"/>
        </w:rPr>
        <w:t xml:space="preserve"> y] ou à ses </w:t>
      </w:r>
      <w:r w:rsidRPr="00D53BEB">
        <w:rPr>
          <w:b/>
          <w:w w:val="100"/>
          <w:lang w:val="fr-CH"/>
        </w:rPr>
        <w:lastRenderedPageBreak/>
        <w:t>révisions ultérieures applicables au moment de la demande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homologation de type de la lampe à incandescence.</w:t>
      </w:r>
    </w:p>
    <w:p w:rsidR="0020387B" w:rsidRDefault="0020387B" w:rsidP="0020387B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w w:val="100"/>
          <w:lang w:val="fr-CH"/>
        </w:rPr>
      </w:pPr>
      <w:r>
        <w:rPr>
          <w:w w:val="100"/>
          <w:lang w:val="fr-CH"/>
        </w:rPr>
        <w:tab/>
      </w:r>
      <w:r w:rsidRPr="0020387B">
        <w:rPr>
          <w:w w:val="100"/>
          <w:szCs w:val="17"/>
          <w:lang w:val="fr-CH"/>
        </w:rPr>
        <w:t>*</w:t>
      </w:r>
      <w:r>
        <w:rPr>
          <w:w w:val="100"/>
          <w:szCs w:val="17"/>
          <w:lang w:val="fr-CH"/>
        </w:rPr>
        <w:tab/>
      </w:r>
      <w:r w:rsidRPr="00D53BEB">
        <w:rPr>
          <w:b/>
          <w:w w:val="100"/>
          <w:lang w:val="fr-CH"/>
        </w:rPr>
        <w:t>À compter du [date], les feuilles relatives aux lampes à incandescence, la liste par groupe des catégories de lampes à incandescence et les restrictions d</w:t>
      </w:r>
      <w:r w:rsidR="008861D7">
        <w:rPr>
          <w:b/>
          <w:w w:val="100"/>
          <w:lang w:val="fr-CH"/>
        </w:rPr>
        <w:t>’</w:t>
      </w:r>
      <w:r w:rsidRPr="00D53BEB">
        <w:rPr>
          <w:b/>
          <w:w w:val="100"/>
          <w:lang w:val="fr-CH"/>
        </w:rPr>
        <w:t>utilisation et numéros de feuille correspondants figurent dans la Résolution [n</w:t>
      </w:r>
      <w:r w:rsidRPr="00D53BEB">
        <w:rPr>
          <w:b/>
          <w:w w:val="100"/>
          <w:vertAlign w:val="superscript"/>
          <w:lang w:val="fr-CH"/>
        </w:rPr>
        <w:t>o</w:t>
      </w:r>
      <w:r w:rsidRPr="00D53BEB">
        <w:rPr>
          <w:b/>
          <w:w w:val="100"/>
          <w:lang w:val="fr-CH"/>
        </w:rPr>
        <w:t> y] publiée sous la cote ECE/TRANS/WP.29/11XX.</w:t>
      </w:r>
      <w:r w:rsidRPr="0020387B">
        <w:rPr>
          <w:b/>
          <w:w w:val="100"/>
          <w:sz w:val="20"/>
          <w:lang w:val="fr-CH"/>
        </w:rPr>
        <w:t> </w:t>
      </w:r>
      <w:r w:rsidRPr="0020387B">
        <w:rPr>
          <w:w w:val="100"/>
          <w:sz w:val="20"/>
          <w:lang w:val="fr-CH"/>
        </w:rPr>
        <w:t>».</w:t>
      </w:r>
    </w:p>
    <w:p w:rsidR="0020387B" w:rsidRPr="0020387B" w:rsidRDefault="0020387B" w:rsidP="0020387B">
      <w:pPr>
        <w:pStyle w:val="SingleTxt"/>
        <w:spacing w:after="0" w:line="120" w:lineRule="exact"/>
        <w:rPr>
          <w:i/>
          <w:w w:val="100"/>
          <w:sz w:val="10"/>
          <w:lang w:val="fr-CH"/>
        </w:rPr>
      </w:pPr>
    </w:p>
    <w:p w:rsidR="00D53BEB" w:rsidRPr="00D53BEB" w:rsidRDefault="00D53BEB" w:rsidP="00D53BEB">
      <w:pPr>
        <w:pStyle w:val="SingleTxt"/>
        <w:rPr>
          <w:i/>
          <w:w w:val="100"/>
          <w:lang w:val="fr-CH"/>
        </w:rPr>
      </w:pPr>
      <w:r w:rsidRPr="00D53BEB">
        <w:rPr>
          <w:i/>
          <w:w w:val="100"/>
          <w:lang w:val="fr-CH"/>
        </w:rPr>
        <w:t>Annexe 5,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1.3</w:t>
      </w:r>
      <w:r w:rsidRPr="00FA7051">
        <w:rPr>
          <w:w w:val="100"/>
          <w:lang w:val="fr-CH"/>
        </w:rPr>
        <w:t xml:space="preserve">, </w:t>
      </w:r>
      <w:r w:rsidRPr="00D53BEB">
        <w:rPr>
          <w:w w:val="100"/>
          <w:lang w:val="fr-CH"/>
        </w:rPr>
        <w:t>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8A206A" w:rsidP="00FA7051">
      <w:pPr>
        <w:pStyle w:val="SingleTxt"/>
        <w:ind w:left="2693" w:hanging="1426"/>
        <w:rPr>
          <w:w w:val="100"/>
          <w:lang w:val="fr-CH"/>
        </w:rPr>
      </w:pPr>
      <w:r>
        <w:rPr>
          <w:w w:val="100"/>
          <w:lang w:val="fr-CH"/>
        </w:rPr>
        <w:t>« </w:t>
      </w:r>
      <w:r w:rsidR="00D53BEB" w:rsidRPr="00D53BEB">
        <w:rPr>
          <w:w w:val="100"/>
          <w:lang w:val="fr-CH"/>
        </w:rPr>
        <w:t>1.3</w:t>
      </w:r>
      <w:r w:rsidR="00D53BEB" w:rsidRPr="00D53BEB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="00FA7051">
        <w:rPr>
          <w:w w:val="100"/>
          <w:lang w:val="fr-CH"/>
        </w:rPr>
        <w:tab/>
      </w:r>
      <w:r w:rsidR="00D53BEB" w:rsidRPr="00D53BEB">
        <w:rPr>
          <w:w w:val="100"/>
          <w:lang w:val="fr-CH"/>
        </w:rPr>
        <w:t>Les essais sont exécutés à la (aux) tension(s) d</w:t>
      </w:r>
      <w:r w:rsidR="008861D7">
        <w:rPr>
          <w:w w:val="100"/>
          <w:lang w:val="fr-CH"/>
        </w:rPr>
        <w:t>’</w:t>
      </w:r>
      <w:r w:rsidR="00D53BEB" w:rsidRPr="00D53BEB">
        <w:rPr>
          <w:w w:val="100"/>
          <w:lang w:val="fr-CH"/>
        </w:rPr>
        <w:t xml:space="preserve">essai spécifiée(s) sur la feuille de données de la lampe </w:t>
      </w:r>
      <w:r w:rsidR="00D53BEB" w:rsidRPr="00D53BEB">
        <w:rPr>
          <w:b/>
          <w:w w:val="100"/>
          <w:lang w:val="fr-CH"/>
        </w:rPr>
        <w:t xml:space="preserve">à incandescence </w:t>
      </w:r>
      <w:r w:rsidR="00D53BEB" w:rsidRPr="00D53BEB">
        <w:rPr>
          <w:w w:val="100"/>
          <w:lang w:val="fr-CH"/>
        </w:rPr>
        <w:t>visée.</w:t>
      </w:r>
      <w:r w:rsidR="00FA7051">
        <w:rPr>
          <w:w w:val="100"/>
          <w:lang w:val="fr-CH"/>
        </w:rPr>
        <w:t> »</w:t>
      </w:r>
      <w:r w:rsidR="00D53BEB" w:rsidRPr="00D53BEB">
        <w:rPr>
          <w:w w:val="100"/>
          <w:lang w:val="fr-CH"/>
        </w:rPr>
        <w:t>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2.3.1,</w:t>
      </w:r>
      <w:r w:rsidRPr="00D53BEB">
        <w:rPr>
          <w:w w:val="100"/>
          <w:lang w:val="fr-CH"/>
        </w:rPr>
        <w:t xml:space="preserve"> 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FA7051" w:rsidP="00FA7051">
      <w:pPr>
        <w:pStyle w:val="SingleTxt"/>
        <w:ind w:left="2693" w:hanging="1426"/>
        <w:rPr>
          <w:w w:val="100"/>
          <w:lang w:val="fr-CH"/>
        </w:rPr>
      </w:pPr>
      <w:r>
        <w:rPr>
          <w:w w:val="100"/>
          <w:lang w:val="fr-CH"/>
        </w:rPr>
        <w:t>« </w:t>
      </w:r>
      <w:r w:rsidR="00D53BEB" w:rsidRPr="00D53BEB">
        <w:rPr>
          <w:w w:val="100"/>
          <w:lang w:val="fr-CH"/>
        </w:rPr>
        <w:t>2.3.1</w:t>
      </w:r>
      <w:r w:rsidR="00D53BEB" w:rsidRPr="00D53BEB">
        <w:rPr>
          <w:w w:val="100"/>
          <w:lang w:val="fr-CH"/>
        </w:rPr>
        <w:tab/>
      </w:r>
      <w:r>
        <w:rPr>
          <w:w w:val="100"/>
          <w:lang w:val="fr-CH"/>
        </w:rPr>
        <w:tab/>
      </w:r>
      <w:r w:rsidR="00D53BEB" w:rsidRPr="00D53BEB">
        <w:rPr>
          <w:w w:val="100"/>
          <w:lang w:val="fr-CH"/>
        </w:rPr>
        <w:t>Le récepteur doit d</w:t>
      </w:r>
      <w:r w:rsidR="008861D7">
        <w:rPr>
          <w:w w:val="100"/>
          <w:lang w:val="fr-CH"/>
        </w:rPr>
        <w:t>’</w:t>
      </w:r>
      <w:r w:rsidR="00D53BEB" w:rsidRPr="00D53BEB">
        <w:rPr>
          <w:w w:val="100"/>
          <w:lang w:val="fr-CH"/>
        </w:rPr>
        <w:t>abord être placé perpendiculairement à l</w:t>
      </w:r>
      <w:r w:rsidR="008861D7">
        <w:rPr>
          <w:w w:val="100"/>
          <w:lang w:val="fr-CH"/>
        </w:rPr>
        <w:t>’</w:t>
      </w:r>
      <w:r w:rsidR="00D53BEB" w:rsidRPr="00D53BEB">
        <w:rPr>
          <w:w w:val="100"/>
          <w:lang w:val="fr-CH"/>
        </w:rPr>
        <w:t xml:space="preserve">axe de la lampe </w:t>
      </w:r>
      <w:r w:rsidR="00D53BEB" w:rsidRPr="00D53BEB">
        <w:rPr>
          <w:b/>
          <w:w w:val="100"/>
          <w:lang w:val="fr-CH"/>
        </w:rPr>
        <w:t xml:space="preserve">à incandescence </w:t>
      </w:r>
      <w:r w:rsidR="00D53BEB" w:rsidRPr="00D53BEB">
        <w:rPr>
          <w:w w:val="100"/>
          <w:lang w:val="fr-CH"/>
        </w:rPr>
        <w:t>et...</w:t>
      </w:r>
      <w:r>
        <w:rPr>
          <w:w w:val="100"/>
          <w:lang w:val="fr-CH"/>
        </w:rPr>
        <w:t> »</w:t>
      </w:r>
      <w:r w:rsidR="00D53BEB" w:rsidRPr="00D53BEB">
        <w:rPr>
          <w:w w:val="100"/>
          <w:lang w:val="fr-CH"/>
        </w:rPr>
        <w:t>.</w:t>
      </w:r>
    </w:p>
    <w:p w:rsidR="00D53BEB" w:rsidRPr="00D53BEB" w:rsidRDefault="00D53BEB" w:rsidP="00D53BEB">
      <w:pPr>
        <w:pStyle w:val="SingleTxt"/>
        <w:rPr>
          <w:bCs/>
          <w:w w:val="100"/>
          <w:lang w:val="fr-CH"/>
        </w:rPr>
      </w:pPr>
      <w:r w:rsidRPr="00D53BEB">
        <w:rPr>
          <w:i/>
          <w:w w:val="100"/>
          <w:lang w:val="fr-CH"/>
        </w:rPr>
        <w:t>Paragraphe 2.3.2</w:t>
      </w:r>
      <w:r w:rsidRPr="00FA7051">
        <w:rPr>
          <w:w w:val="100"/>
          <w:lang w:val="fr-CH"/>
        </w:rPr>
        <w:t>,</w:t>
      </w:r>
      <w:r w:rsidRPr="00D53BEB">
        <w:rPr>
          <w:bCs/>
          <w:w w:val="100"/>
          <w:lang w:val="fr-CH"/>
        </w:rPr>
        <w:t xml:space="preserve"> modifier comme suit</w:t>
      </w:r>
      <w:r w:rsidR="00FA7051">
        <w:rPr>
          <w:bCs/>
          <w:w w:val="100"/>
          <w:lang w:val="fr-CH"/>
        </w:rPr>
        <w:t> </w:t>
      </w:r>
      <w:r w:rsidRPr="00D53BEB">
        <w:rPr>
          <w:bCs/>
          <w:w w:val="100"/>
          <w:lang w:val="fr-CH"/>
        </w:rPr>
        <w:t>:</w:t>
      </w:r>
    </w:p>
    <w:p w:rsidR="00D53BEB" w:rsidRPr="0005456E" w:rsidRDefault="00FA7051" w:rsidP="00FA7051">
      <w:pPr>
        <w:pStyle w:val="SingleTxt"/>
        <w:ind w:left="2693" w:hanging="1426"/>
        <w:rPr>
          <w:spacing w:val="-2"/>
          <w:w w:val="100"/>
          <w:lang w:val="fr-CH"/>
        </w:rPr>
      </w:pPr>
      <w:r w:rsidRPr="0005456E">
        <w:rPr>
          <w:spacing w:val="-2"/>
          <w:w w:val="100"/>
          <w:lang w:val="fr-CH"/>
        </w:rPr>
        <w:t>« </w:t>
      </w:r>
      <w:r w:rsidR="00D53BEB" w:rsidRPr="0005456E">
        <w:rPr>
          <w:spacing w:val="-2"/>
          <w:w w:val="100"/>
          <w:lang w:val="fr-CH"/>
        </w:rPr>
        <w:t>2.3.2</w:t>
      </w:r>
      <w:r w:rsidR="00D53BEB" w:rsidRPr="0005456E">
        <w:rPr>
          <w:spacing w:val="-2"/>
          <w:w w:val="100"/>
          <w:lang w:val="fr-CH"/>
        </w:rPr>
        <w:tab/>
      </w:r>
      <w:r w:rsidRPr="0005456E">
        <w:rPr>
          <w:spacing w:val="-2"/>
          <w:w w:val="100"/>
          <w:lang w:val="fr-CH"/>
        </w:rPr>
        <w:tab/>
      </w:r>
      <w:r w:rsidR="00D53BEB" w:rsidRPr="0005456E">
        <w:rPr>
          <w:spacing w:val="-2"/>
          <w:w w:val="100"/>
          <w:lang w:val="fr-CH"/>
        </w:rPr>
        <w:t>Sur les lampes à incandescence pour projecteurs, les mesures doivent être effectuées autour de la lampe à incandescence, l</w:t>
      </w:r>
      <w:r w:rsidR="008861D7" w:rsidRPr="0005456E">
        <w:rPr>
          <w:spacing w:val="-2"/>
          <w:w w:val="100"/>
          <w:lang w:val="fr-CH"/>
        </w:rPr>
        <w:t>’</w:t>
      </w:r>
      <w:r w:rsidR="00D53BEB" w:rsidRPr="0005456E">
        <w:rPr>
          <w:spacing w:val="-2"/>
          <w:w w:val="100"/>
          <w:lang w:val="fr-CH"/>
        </w:rPr>
        <w:t>axe de l</w:t>
      </w:r>
      <w:r w:rsidR="008861D7" w:rsidRPr="0005456E">
        <w:rPr>
          <w:spacing w:val="-2"/>
          <w:w w:val="100"/>
          <w:lang w:val="fr-CH"/>
        </w:rPr>
        <w:t>’</w:t>
      </w:r>
      <w:r w:rsidR="00D53BEB" w:rsidRPr="0005456E">
        <w:rPr>
          <w:spacing w:val="-2"/>
          <w:w w:val="100"/>
          <w:lang w:val="fr-CH"/>
        </w:rPr>
        <w:t>ouverture du récepteur étant situé à l</w:t>
      </w:r>
      <w:r w:rsidR="008861D7" w:rsidRPr="0005456E">
        <w:rPr>
          <w:spacing w:val="-2"/>
          <w:w w:val="100"/>
          <w:lang w:val="fr-CH"/>
        </w:rPr>
        <w:t>’</w:t>
      </w:r>
      <w:r w:rsidR="00D53BEB" w:rsidRPr="0005456E">
        <w:rPr>
          <w:spacing w:val="-2"/>
          <w:w w:val="100"/>
          <w:lang w:val="fr-CH"/>
        </w:rPr>
        <w:t>intérieur d</w:t>
      </w:r>
      <w:r w:rsidR="008861D7" w:rsidRPr="0005456E">
        <w:rPr>
          <w:spacing w:val="-2"/>
          <w:w w:val="100"/>
          <w:lang w:val="fr-CH"/>
        </w:rPr>
        <w:t>’</w:t>
      </w:r>
      <w:r w:rsidR="00D53BEB" w:rsidRPr="0005456E">
        <w:rPr>
          <w:spacing w:val="-2"/>
          <w:w w:val="100"/>
          <w:lang w:val="fr-CH"/>
        </w:rPr>
        <w:t xml:space="preserve">un angle de </w:t>
      </w:r>
      <w:r w:rsidR="0020387B" w:rsidRPr="0005456E">
        <w:rPr>
          <w:spacing w:val="-2"/>
          <w:w w:val="100"/>
          <w:lang w:val="fr-CH"/>
        </w:rPr>
        <w:sym w:font="Symbol" w:char="F0B1"/>
      </w:r>
      <w:r w:rsidR="00D53BEB" w:rsidRPr="0005456E">
        <w:rPr>
          <w:spacing w:val="-2"/>
          <w:w w:val="100"/>
          <w:lang w:val="fr-CH"/>
        </w:rPr>
        <w:t>30° par rapport au plan perpendiculaire à l</w:t>
      </w:r>
      <w:r w:rsidR="008861D7" w:rsidRPr="0005456E">
        <w:rPr>
          <w:spacing w:val="-2"/>
          <w:w w:val="100"/>
          <w:lang w:val="fr-CH"/>
        </w:rPr>
        <w:t>’</w:t>
      </w:r>
      <w:r w:rsidR="00D53BEB" w:rsidRPr="0005456E">
        <w:rPr>
          <w:spacing w:val="-2"/>
          <w:w w:val="100"/>
          <w:lang w:val="fr-CH"/>
        </w:rPr>
        <w:t>axe de la lampe</w:t>
      </w:r>
      <w:r w:rsidR="00D53BEB" w:rsidRPr="0005456E">
        <w:rPr>
          <w:b/>
          <w:spacing w:val="-2"/>
          <w:w w:val="100"/>
          <w:lang w:val="fr-CH"/>
        </w:rPr>
        <w:t xml:space="preserve"> à incandescence</w:t>
      </w:r>
      <w:r w:rsidR="00D53BEB" w:rsidRPr="0005456E">
        <w:rPr>
          <w:spacing w:val="-2"/>
          <w:w w:val="100"/>
          <w:lang w:val="fr-CH"/>
        </w:rPr>
        <w:t>, l</w:t>
      </w:r>
      <w:r w:rsidR="008861D7" w:rsidRPr="0005456E">
        <w:rPr>
          <w:spacing w:val="-2"/>
          <w:w w:val="100"/>
          <w:lang w:val="fr-CH"/>
        </w:rPr>
        <w:t>’</w:t>
      </w:r>
      <w:r w:rsidR="00D53BEB" w:rsidRPr="0005456E">
        <w:rPr>
          <w:spacing w:val="-2"/>
          <w:w w:val="100"/>
          <w:lang w:val="fr-CH"/>
        </w:rPr>
        <w:t>origine étant située au centre du filament. Pour les lampes à incandescence à deux filaments, on considère le centre du filament du faisceau de route.</w:t>
      </w:r>
      <w:r w:rsidRPr="0005456E">
        <w:rPr>
          <w:spacing w:val="-2"/>
          <w:w w:val="100"/>
          <w:lang w:val="fr-CH"/>
        </w:rPr>
        <w:t> »</w:t>
      </w:r>
      <w:r w:rsidR="00D53BEB" w:rsidRPr="0005456E">
        <w:rPr>
          <w:spacing w:val="-2"/>
          <w:w w:val="100"/>
          <w:lang w:val="fr-CH"/>
        </w:rPr>
        <w:t>.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Paragraphe 2.4</w:t>
      </w:r>
      <w:r w:rsidRPr="00FA7051">
        <w:rPr>
          <w:w w:val="100"/>
          <w:lang w:val="fr-CH"/>
        </w:rPr>
        <w:t>, s</w:t>
      </w:r>
      <w:r w:rsidRPr="00D53BEB">
        <w:rPr>
          <w:w w:val="100"/>
          <w:lang w:val="fr-CH"/>
        </w:rPr>
        <w:t>upprimer.</w:t>
      </w:r>
    </w:p>
    <w:p w:rsidR="00D53BEB" w:rsidRPr="00D53BEB" w:rsidRDefault="00D53BEB" w:rsidP="00D53BEB">
      <w:pPr>
        <w:pStyle w:val="SingleTxt"/>
        <w:rPr>
          <w:i/>
          <w:w w:val="100"/>
          <w:lang w:val="fr-CH"/>
        </w:rPr>
      </w:pPr>
      <w:r w:rsidRPr="00D53BEB">
        <w:rPr>
          <w:i/>
          <w:w w:val="100"/>
          <w:lang w:val="fr-CH"/>
        </w:rPr>
        <w:t xml:space="preserve">Annexe 7, 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i/>
          <w:w w:val="100"/>
          <w:lang w:val="fr-CH"/>
        </w:rPr>
        <w:t>Tableau 1 et notes y relatives</w:t>
      </w:r>
      <w:r w:rsidRPr="00D53BEB">
        <w:rPr>
          <w:w w:val="100"/>
          <w:lang w:val="fr-CH"/>
        </w:rPr>
        <w:t>, modifier comme suit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:</w:t>
      </w:r>
    </w:p>
    <w:p w:rsidR="00D53BEB" w:rsidRPr="00D53BEB" w:rsidRDefault="00D53BEB" w:rsidP="00D53BEB">
      <w:pPr>
        <w:pStyle w:val="SingleTxt"/>
        <w:rPr>
          <w:w w:val="100"/>
          <w:lang w:val="fr-CH"/>
        </w:rPr>
      </w:pPr>
      <w:r w:rsidRPr="00D53BEB">
        <w:rPr>
          <w:w w:val="100"/>
          <w:lang w:val="fr-CH"/>
        </w:rPr>
        <w:t>«</w:t>
      </w:r>
      <w:r w:rsidR="00FA7051">
        <w:rPr>
          <w:w w:val="100"/>
          <w:lang w:val="fr-CH"/>
        </w:rPr>
        <w:t> </w:t>
      </w:r>
      <w:r w:rsidRPr="00D53BEB">
        <w:rPr>
          <w:w w:val="100"/>
          <w:lang w:val="fr-CH"/>
        </w:rPr>
        <w:t>Tableau 1</w:t>
      </w:r>
    </w:p>
    <w:p w:rsidR="00FA7051" w:rsidRDefault="00C5698B" w:rsidP="00C569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fr-CH"/>
        </w:rPr>
      </w:pPr>
      <w:r>
        <w:rPr>
          <w:w w:val="100"/>
          <w:lang w:val="fr-CH"/>
        </w:rPr>
        <w:tab/>
      </w:r>
      <w:r>
        <w:rPr>
          <w:w w:val="100"/>
          <w:lang w:val="fr-CH"/>
        </w:rPr>
        <w:tab/>
      </w:r>
      <w:r w:rsidR="00D53BEB" w:rsidRPr="00D53BEB">
        <w:rPr>
          <w:w w:val="100"/>
          <w:lang w:val="fr-CH"/>
        </w:rPr>
        <w:t>Caractéristiques</w:t>
      </w:r>
    </w:p>
    <w:p w:rsidR="00C5698B" w:rsidRPr="00C5698B" w:rsidRDefault="00C5698B" w:rsidP="00C5698B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250"/>
        <w:gridCol w:w="1538"/>
        <w:gridCol w:w="1567"/>
      </w:tblGrid>
      <w:tr w:rsidR="00FA7051" w:rsidRPr="00FA7051" w:rsidTr="00D314FA">
        <w:trPr>
          <w:tblHeader/>
        </w:trPr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7051" w:rsidRPr="00FA7051" w:rsidRDefault="00FA7051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en-US"/>
              </w:rPr>
            </w:pPr>
            <w:r w:rsidRPr="00FA7051">
              <w:rPr>
                <w:i/>
                <w:w w:val="100"/>
                <w:sz w:val="14"/>
              </w:rPr>
              <w:t>Groupe de caractéristiques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7051" w:rsidRPr="00037386" w:rsidRDefault="00FA7051" w:rsidP="002E2A25">
            <w:pPr>
              <w:pStyle w:val="FootnoteRefer"/>
              <w:ind w:right="115"/>
              <w:rPr>
                <w:i/>
                <w:sz w:val="14"/>
                <w:lang w:val="fr-CH"/>
              </w:rPr>
            </w:pPr>
            <w:r w:rsidRPr="00173264">
              <w:rPr>
                <w:i/>
                <w:color w:val="auto"/>
                <w:sz w:val="14"/>
                <w:szCs w:val="22"/>
              </w:rPr>
              <w:t>Groupemen</w:t>
            </w:r>
            <w:r w:rsidR="008A206A" w:rsidRPr="00173264">
              <w:rPr>
                <w:i/>
                <w:color w:val="auto"/>
                <w:sz w:val="14"/>
                <w:szCs w:val="22"/>
              </w:rPr>
              <w:t>t</w:t>
            </w:r>
            <w:r w:rsidRPr="00173264">
              <w:rPr>
                <w:color w:val="auto"/>
              </w:rPr>
              <w:t>*</w:t>
            </w:r>
            <w:r w:rsidRPr="00173264">
              <w:rPr>
                <w:i/>
                <w:color w:val="auto"/>
                <w:sz w:val="14"/>
                <w:szCs w:val="22"/>
              </w:rPr>
              <w:t xml:space="preserve"> des procès-verbaux d</w:t>
            </w:r>
            <w:r w:rsidR="008861D7">
              <w:rPr>
                <w:i/>
                <w:color w:val="auto"/>
                <w:sz w:val="14"/>
                <w:szCs w:val="22"/>
              </w:rPr>
              <w:t>’</w:t>
            </w:r>
            <w:r w:rsidRPr="00173264">
              <w:rPr>
                <w:i/>
                <w:color w:val="auto"/>
                <w:sz w:val="14"/>
                <w:szCs w:val="22"/>
              </w:rPr>
              <w:t>es</w:t>
            </w:r>
            <w:r w:rsidR="0005456E">
              <w:rPr>
                <w:i/>
                <w:color w:val="auto"/>
                <w:sz w:val="14"/>
                <w:szCs w:val="22"/>
              </w:rPr>
              <w:t>sai selon les types de lampes à </w:t>
            </w:r>
            <w:r w:rsidRPr="00173264">
              <w:rPr>
                <w:i/>
                <w:color w:val="auto"/>
                <w:sz w:val="14"/>
                <w:szCs w:val="22"/>
              </w:rPr>
              <w:t>incandescence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7051" w:rsidRPr="00037386" w:rsidRDefault="00FA7051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fr-CH"/>
              </w:rPr>
            </w:pPr>
            <w:r w:rsidRPr="00FA7051">
              <w:rPr>
                <w:i/>
                <w:w w:val="100"/>
                <w:sz w:val="14"/>
              </w:rPr>
              <w:t>Échantillon annuel minimal par groupe</w:t>
            </w:r>
            <w:r w:rsidRPr="00173264">
              <w:rPr>
                <w:w w:val="100"/>
                <w:szCs w:val="20"/>
              </w:rPr>
              <w:t>*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7051" w:rsidRPr="00037386" w:rsidRDefault="0005456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fr-CH"/>
              </w:rPr>
            </w:pPr>
            <w:r>
              <w:rPr>
                <w:i/>
                <w:w w:val="100"/>
                <w:sz w:val="14"/>
              </w:rPr>
              <w:t>Niveau acceptable de non-conformité par </w:t>
            </w:r>
            <w:r w:rsidR="00FA7051" w:rsidRPr="00FA7051">
              <w:rPr>
                <w:i/>
                <w:w w:val="100"/>
                <w:sz w:val="14"/>
              </w:rPr>
              <w:t>groupe de caractéristiques (%)</w:t>
            </w:r>
          </w:p>
        </w:tc>
      </w:tr>
      <w:tr w:rsidR="00FA7051" w:rsidRPr="00FA7051" w:rsidTr="00D314FA">
        <w:trPr>
          <w:trHeight w:hRule="exact" w:val="115"/>
          <w:tblHeader/>
        </w:trPr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A7051" w:rsidRPr="00037386" w:rsidRDefault="00FA7051" w:rsidP="00FA7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w w:val="100"/>
                <w:lang w:val="fr-CH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A7051" w:rsidRPr="00037386" w:rsidRDefault="00FA7051" w:rsidP="00FA7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  <w:rPr>
                <w:w w:val="100"/>
                <w:lang w:val="fr-CH"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A7051" w:rsidRPr="00037386" w:rsidRDefault="00FA7051" w:rsidP="00FA7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  <w:rPr>
                <w:w w:val="100"/>
                <w:lang w:val="fr-CH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A7051" w:rsidRPr="00037386" w:rsidRDefault="00FA7051" w:rsidP="00FA7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  <w:rPr>
                <w:w w:val="100"/>
                <w:lang w:val="fr-CH"/>
              </w:rPr>
            </w:pPr>
          </w:p>
        </w:tc>
      </w:tr>
      <w:tr w:rsidR="00FA7051" w:rsidRPr="00FA7051" w:rsidTr="00D314FA">
        <w:tc>
          <w:tcPr>
            <w:tcW w:w="2160" w:type="dxa"/>
            <w:shd w:val="clear" w:color="auto" w:fill="auto"/>
          </w:tcPr>
          <w:p w:rsidR="00FA7051" w:rsidRPr="00FA7051" w:rsidRDefault="00FA7051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FA7051">
              <w:rPr>
                <w:w w:val="100"/>
              </w:rPr>
              <w:t>Marquage, lisibilité et durabilité</w:t>
            </w:r>
          </w:p>
        </w:tc>
        <w:tc>
          <w:tcPr>
            <w:tcW w:w="2250" w:type="dxa"/>
            <w:shd w:val="clear" w:color="auto" w:fill="auto"/>
          </w:tcPr>
          <w:p w:rsidR="00FA7051" w:rsidRPr="00037386" w:rsidRDefault="00D314FA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fr-CH"/>
              </w:rPr>
            </w:pPr>
            <w:r>
              <w:rPr>
                <w:w w:val="100"/>
              </w:rPr>
              <w:t>Tous types possédant les </w:t>
            </w:r>
            <w:r w:rsidR="00A777FE" w:rsidRPr="00A777FE">
              <w:rPr>
                <w:w w:val="100"/>
              </w:rPr>
              <w:t>mêmes dimensions extérieures</w:t>
            </w:r>
          </w:p>
        </w:tc>
        <w:tc>
          <w:tcPr>
            <w:tcW w:w="1538" w:type="dxa"/>
            <w:shd w:val="clear" w:color="auto" w:fill="auto"/>
          </w:tcPr>
          <w:p w:rsidR="00FA7051" w:rsidRPr="00FA7051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</w:rPr>
              <w:t>315</w:t>
            </w:r>
          </w:p>
        </w:tc>
        <w:tc>
          <w:tcPr>
            <w:tcW w:w="1567" w:type="dxa"/>
            <w:shd w:val="clear" w:color="auto" w:fill="auto"/>
          </w:tcPr>
          <w:p w:rsidR="00FA7051" w:rsidRPr="00FA7051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</w:rPr>
              <w:t>1</w:t>
            </w:r>
          </w:p>
        </w:tc>
      </w:tr>
      <w:tr w:rsidR="00A777FE" w:rsidRPr="00FA7051" w:rsidTr="00D314FA">
        <w:tc>
          <w:tcPr>
            <w:tcW w:w="216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Qualité de l</w:t>
            </w:r>
            <w:r w:rsidR="008861D7">
              <w:rPr>
                <w:w w:val="100"/>
              </w:rPr>
              <w:t>’</w:t>
            </w:r>
            <w:r w:rsidRPr="00A777FE">
              <w:rPr>
                <w:w w:val="100"/>
              </w:rPr>
              <w:t>ampoule</w:t>
            </w:r>
          </w:p>
        </w:tc>
        <w:tc>
          <w:tcPr>
            <w:tcW w:w="2250" w:type="dxa"/>
            <w:shd w:val="clear" w:color="auto" w:fill="auto"/>
          </w:tcPr>
          <w:p w:rsidR="00A777FE" w:rsidRPr="00A777FE" w:rsidRDefault="00D314FA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>
              <w:rPr>
                <w:w w:val="100"/>
              </w:rPr>
              <w:t>Tous types possédant la </w:t>
            </w:r>
            <w:r w:rsidR="00A777FE" w:rsidRPr="00A777FE">
              <w:rPr>
                <w:w w:val="100"/>
              </w:rPr>
              <w:t>même ampoule</w:t>
            </w:r>
          </w:p>
        </w:tc>
        <w:tc>
          <w:tcPr>
            <w:tcW w:w="1538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315</w:t>
            </w:r>
          </w:p>
        </w:tc>
        <w:tc>
          <w:tcPr>
            <w:tcW w:w="1567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  <w:lang w:val="en-US"/>
              </w:rPr>
              <w:t>1</w:t>
            </w:r>
          </w:p>
        </w:tc>
      </w:tr>
      <w:tr w:rsidR="00A777FE" w:rsidRPr="00FA7051" w:rsidTr="00D314FA">
        <w:tc>
          <w:tcPr>
            <w:tcW w:w="216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Couleur de l</w:t>
            </w:r>
            <w:r w:rsidR="008861D7">
              <w:rPr>
                <w:w w:val="100"/>
              </w:rPr>
              <w:t>’</w:t>
            </w:r>
            <w:r w:rsidRPr="00A777FE">
              <w:rPr>
                <w:w w:val="100"/>
              </w:rPr>
              <w:t>ampoule</w:t>
            </w:r>
          </w:p>
        </w:tc>
        <w:tc>
          <w:tcPr>
            <w:tcW w:w="225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Tous les types d</w:t>
            </w:r>
            <w:r w:rsidR="008861D7">
              <w:rPr>
                <w:w w:val="100"/>
              </w:rPr>
              <w:t>’</w:t>
            </w:r>
            <w:r w:rsidR="00D314FA">
              <w:rPr>
                <w:w w:val="100"/>
              </w:rPr>
              <w:t>ampoules (émettant de </w:t>
            </w:r>
            <w:r w:rsidRPr="00A777FE">
              <w:rPr>
                <w:w w:val="100"/>
              </w:rPr>
              <w:t>la lumière rouge et jaune-auto) de la même catégorie utilisant la même technique de coloration</w:t>
            </w:r>
          </w:p>
        </w:tc>
        <w:tc>
          <w:tcPr>
            <w:tcW w:w="1538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20</w:t>
            </w:r>
          </w:p>
        </w:tc>
        <w:tc>
          <w:tcPr>
            <w:tcW w:w="1567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  <w:lang w:val="en-US"/>
              </w:rPr>
              <w:t>1</w:t>
            </w:r>
          </w:p>
        </w:tc>
      </w:tr>
      <w:tr w:rsidR="00A777FE" w:rsidRPr="00FA7051" w:rsidTr="00D314FA">
        <w:tc>
          <w:tcPr>
            <w:tcW w:w="2160" w:type="dxa"/>
            <w:shd w:val="clear" w:color="auto" w:fill="auto"/>
          </w:tcPr>
          <w:p w:rsidR="00A777FE" w:rsidRPr="00A777FE" w:rsidRDefault="00A777FE" w:rsidP="00D314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 xml:space="preserve">Dimensions extérieures de la lampe </w:t>
            </w:r>
            <w:r w:rsidRPr="00A777FE">
              <w:rPr>
                <w:b/>
                <w:w w:val="100"/>
              </w:rPr>
              <w:t>à incandescence</w:t>
            </w:r>
            <w:r w:rsidRPr="00A777FE">
              <w:rPr>
                <w:w w:val="100"/>
              </w:rPr>
              <w:t xml:space="preserve"> (compte</w:t>
            </w:r>
            <w:r w:rsidR="00D314FA">
              <w:rPr>
                <w:w w:val="100"/>
              </w:rPr>
              <w:t> </w:t>
            </w:r>
            <w:r w:rsidRPr="00A777FE">
              <w:rPr>
                <w:w w:val="100"/>
              </w:rPr>
              <w:t>non tenu du culot et de la base)</w:t>
            </w:r>
          </w:p>
        </w:tc>
        <w:tc>
          <w:tcPr>
            <w:tcW w:w="225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Tous types de la même catégorie</w:t>
            </w:r>
          </w:p>
        </w:tc>
        <w:tc>
          <w:tcPr>
            <w:tcW w:w="1538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200</w:t>
            </w:r>
          </w:p>
        </w:tc>
        <w:tc>
          <w:tcPr>
            <w:tcW w:w="1567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  <w:lang w:val="en-US"/>
              </w:rPr>
              <w:t>1</w:t>
            </w:r>
          </w:p>
        </w:tc>
      </w:tr>
      <w:tr w:rsidR="00A777FE" w:rsidRPr="00FA7051" w:rsidTr="00D314FA">
        <w:tc>
          <w:tcPr>
            <w:tcW w:w="216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lastRenderedPageBreak/>
              <w:t>Dimensions des culots et des bases</w:t>
            </w:r>
          </w:p>
        </w:tc>
        <w:tc>
          <w:tcPr>
            <w:tcW w:w="225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Tous types de la même catégorie</w:t>
            </w:r>
          </w:p>
        </w:tc>
        <w:tc>
          <w:tcPr>
            <w:tcW w:w="1538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200</w:t>
            </w:r>
          </w:p>
        </w:tc>
        <w:tc>
          <w:tcPr>
            <w:tcW w:w="1567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  <w:lang w:val="en-US"/>
              </w:rPr>
              <w:t>6,5</w:t>
            </w:r>
          </w:p>
        </w:tc>
      </w:tr>
      <w:tr w:rsidR="00A777FE" w:rsidRPr="00FA7051" w:rsidTr="00D314FA">
        <w:tc>
          <w:tcPr>
            <w:tcW w:w="216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Dimensions des éléments intérieurs</w:t>
            </w:r>
            <w:r w:rsidRPr="0091130A">
              <w:rPr>
                <w:w w:val="100"/>
                <w:szCs w:val="20"/>
              </w:rPr>
              <w:t>**</w:t>
            </w:r>
          </w:p>
        </w:tc>
        <w:tc>
          <w:tcPr>
            <w:tcW w:w="2250" w:type="dxa"/>
            <w:shd w:val="clear" w:color="auto" w:fill="auto"/>
          </w:tcPr>
          <w:p w:rsidR="00A777FE" w:rsidRPr="00A777FE" w:rsidRDefault="00A777FE" w:rsidP="00D314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 xml:space="preserve">Toutes lampes </w:t>
            </w:r>
            <w:r w:rsidRPr="008861D7">
              <w:rPr>
                <w:b/>
                <w:w w:val="100"/>
              </w:rPr>
              <w:t>à incandescence</w:t>
            </w:r>
            <w:r w:rsidRPr="00A777FE">
              <w:rPr>
                <w:w w:val="100"/>
              </w:rPr>
              <w:t xml:space="preserve"> du même</w:t>
            </w:r>
            <w:r w:rsidR="00D314FA">
              <w:rPr>
                <w:w w:val="100"/>
              </w:rPr>
              <w:t> </w:t>
            </w:r>
            <w:r w:rsidRPr="00A777FE">
              <w:rPr>
                <w:w w:val="100"/>
              </w:rPr>
              <w:t>type</w:t>
            </w:r>
          </w:p>
        </w:tc>
        <w:tc>
          <w:tcPr>
            <w:tcW w:w="1538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200</w:t>
            </w:r>
          </w:p>
        </w:tc>
        <w:tc>
          <w:tcPr>
            <w:tcW w:w="1567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  <w:lang w:val="en-US"/>
              </w:rPr>
              <w:t>6,5</w:t>
            </w:r>
          </w:p>
        </w:tc>
      </w:tr>
      <w:tr w:rsidR="00A777FE" w:rsidRPr="00FA7051" w:rsidTr="00D314FA">
        <w:tc>
          <w:tcPr>
            <w:tcW w:w="216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 xml:space="preserve">Lectures </w:t>
            </w:r>
            <w:r w:rsidR="00D314FA">
              <w:rPr>
                <w:w w:val="100"/>
              </w:rPr>
              <w:t>initiales, watts </w:t>
            </w:r>
            <w:r w:rsidRPr="00A777FE">
              <w:rPr>
                <w:w w:val="100"/>
              </w:rPr>
              <w:t>et lumens</w:t>
            </w:r>
            <w:r w:rsidRPr="0091130A">
              <w:rPr>
                <w:w w:val="100"/>
                <w:szCs w:val="20"/>
              </w:rPr>
              <w:t>**</w:t>
            </w:r>
          </w:p>
        </w:tc>
        <w:tc>
          <w:tcPr>
            <w:tcW w:w="2250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 xml:space="preserve">Toutes lampes </w:t>
            </w:r>
            <w:r w:rsidRPr="008861D7">
              <w:rPr>
                <w:b/>
                <w:w w:val="100"/>
              </w:rPr>
              <w:t>à incandescence</w:t>
            </w:r>
            <w:r w:rsidR="00D314FA">
              <w:rPr>
                <w:w w:val="100"/>
              </w:rPr>
              <w:t xml:space="preserve"> du même </w:t>
            </w:r>
            <w:r w:rsidRPr="00A777FE">
              <w:rPr>
                <w:w w:val="100"/>
              </w:rPr>
              <w:t>type</w:t>
            </w:r>
          </w:p>
        </w:tc>
        <w:tc>
          <w:tcPr>
            <w:tcW w:w="1538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200</w:t>
            </w:r>
          </w:p>
        </w:tc>
        <w:tc>
          <w:tcPr>
            <w:tcW w:w="1567" w:type="dxa"/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  <w:lang w:val="en-US"/>
              </w:rPr>
              <w:t>1</w:t>
            </w:r>
          </w:p>
        </w:tc>
      </w:tr>
      <w:tr w:rsidR="00A777FE" w:rsidRPr="00FA7051" w:rsidTr="00D314FA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A777FE" w:rsidRPr="00A777FE" w:rsidRDefault="00D314FA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>
              <w:rPr>
                <w:w w:val="100"/>
              </w:rPr>
              <w:t>Essai de résistance des </w:t>
            </w:r>
            <w:r w:rsidR="00A777FE" w:rsidRPr="00A777FE">
              <w:rPr>
                <w:w w:val="100"/>
              </w:rPr>
              <w:t>couleurs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 xml:space="preserve">Toutes les lampes </w:t>
            </w:r>
            <w:r w:rsidRPr="008861D7">
              <w:rPr>
                <w:b/>
                <w:w w:val="100"/>
              </w:rPr>
              <w:t>à incandescence</w:t>
            </w:r>
            <w:r w:rsidRPr="00A777FE">
              <w:rPr>
                <w:w w:val="100"/>
              </w:rPr>
              <w:t xml:space="preserve"> (émettant de la lumière rouge, jaune-auto et blanche) utilisant la même technique de revêtement colorant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</w:rPr>
            </w:pPr>
            <w:r w:rsidRPr="00A777FE">
              <w:rPr>
                <w:w w:val="100"/>
              </w:rPr>
              <w:t>20</w:t>
            </w:r>
            <w:r w:rsidRPr="0091130A">
              <w:rPr>
                <w:w w:val="100"/>
                <w:szCs w:val="20"/>
              </w:rPr>
              <w:t>***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</w:tcPr>
          <w:p w:rsidR="00A777FE" w:rsidRPr="00A777FE" w:rsidRDefault="00A777FE" w:rsidP="002E2A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w w:val="100"/>
                <w:lang w:val="en-US"/>
              </w:rPr>
            </w:pPr>
            <w:r w:rsidRPr="00A777FE">
              <w:rPr>
                <w:w w:val="100"/>
                <w:lang w:val="en-US"/>
              </w:rPr>
              <w:t>1</w:t>
            </w:r>
          </w:p>
        </w:tc>
      </w:tr>
    </w:tbl>
    <w:p w:rsidR="00987D72" w:rsidRPr="00987D72" w:rsidRDefault="00987D72" w:rsidP="00987D7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rFonts w:eastAsia="Times New Roman"/>
          <w:sz w:val="10"/>
          <w:szCs w:val="18"/>
        </w:rPr>
      </w:pPr>
    </w:p>
    <w:p w:rsidR="00FA7051" w:rsidRPr="00C5698B" w:rsidRDefault="00C31CED" w:rsidP="008A206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rFonts w:eastAsia="Times New Roman"/>
          <w:szCs w:val="17"/>
        </w:rPr>
      </w:pPr>
      <w:r>
        <w:rPr>
          <w:rFonts w:eastAsia="Times New Roman"/>
          <w:sz w:val="18"/>
          <w:szCs w:val="18"/>
        </w:rPr>
        <w:tab/>
      </w:r>
      <w:r w:rsidR="008A206A" w:rsidRPr="00C31CED">
        <w:rPr>
          <w:rFonts w:eastAsia="Times New Roman"/>
          <w:szCs w:val="17"/>
        </w:rPr>
        <w:t>*</w:t>
      </w:r>
      <w:r w:rsidR="008A206A">
        <w:rPr>
          <w:rFonts w:eastAsia="Times New Roman"/>
          <w:sz w:val="18"/>
          <w:szCs w:val="18"/>
        </w:rPr>
        <w:tab/>
      </w:r>
      <w:r w:rsidR="008A206A" w:rsidRPr="00C5698B">
        <w:rPr>
          <w:rFonts w:eastAsia="Times New Roman"/>
          <w:szCs w:val="17"/>
        </w:rPr>
        <w:t>L</w:t>
      </w:r>
      <w:r w:rsidR="008861D7">
        <w:rPr>
          <w:rFonts w:eastAsia="Times New Roman"/>
          <w:szCs w:val="17"/>
        </w:rPr>
        <w:t>’</w:t>
      </w:r>
      <w:r w:rsidR="008A206A" w:rsidRPr="00C5698B">
        <w:rPr>
          <w:rFonts w:eastAsia="Times New Roman"/>
          <w:szCs w:val="17"/>
        </w:rPr>
        <w:t>évaluation porte en général sur des lampes à incandescence de série provenant de diverses usines. Un fabricant peut regrouper les procès-verbaux concernant le même type de lampes provenant de plusieurs usines, à condition qu</w:t>
      </w:r>
      <w:r w:rsidR="008861D7">
        <w:rPr>
          <w:rFonts w:eastAsia="Times New Roman"/>
          <w:szCs w:val="17"/>
        </w:rPr>
        <w:t>’</w:t>
      </w:r>
      <w:r w:rsidR="008A206A" w:rsidRPr="00C5698B">
        <w:rPr>
          <w:rFonts w:eastAsia="Times New Roman"/>
          <w:szCs w:val="17"/>
        </w:rPr>
        <w:t>y soient mis en œuvre le même système de qualité et la même gestion de la qualité.</w:t>
      </w:r>
    </w:p>
    <w:p w:rsidR="008A206A" w:rsidRPr="00C5698B" w:rsidRDefault="00C31CED" w:rsidP="008A206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rFonts w:eastAsia="Times New Roman"/>
          <w:szCs w:val="17"/>
        </w:rPr>
      </w:pPr>
      <w:r>
        <w:rPr>
          <w:rFonts w:eastAsia="Times New Roman"/>
          <w:sz w:val="18"/>
          <w:szCs w:val="18"/>
        </w:rPr>
        <w:tab/>
      </w:r>
      <w:r w:rsidR="008A206A" w:rsidRPr="00C31CED">
        <w:rPr>
          <w:rFonts w:eastAsia="Times New Roman"/>
          <w:szCs w:val="17"/>
        </w:rPr>
        <w:t>**</w:t>
      </w:r>
      <w:r>
        <w:rPr>
          <w:rFonts w:eastAsia="Times New Roman"/>
          <w:sz w:val="18"/>
          <w:szCs w:val="18"/>
        </w:rPr>
        <w:tab/>
      </w:r>
      <w:r w:rsidR="008A206A" w:rsidRPr="00C5698B">
        <w:rPr>
          <w:rFonts w:eastAsia="Times New Roman"/>
          <w:szCs w:val="17"/>
        </w:rPr>
        <w:t>Lorsqu</w:t>
      </w:r>
      <w:r w:rsidR="008861D7">
        <w:rPr>
          <w:rFonts w:eastAsia="Times New Roman"/>
          <w:szCs w:val="17"/>
        </w:rPr>
        <w:t>’</w:t>
      </w:r>
      <w:r w:rsidR="008A206A" w:rsidRPr="00C5698B">
        <w:rPr>
          <w:rFonts w:eastAsia="Times New Roman"/>
          <w:szCs w:val="17"/>
        </w:rPr>
        <w:t>une lampe à incandescence possède plus d</w:t>
      </w:r>
      <w:r w:rsidR="008861D7">
        <w:rPr>
          <w:rFonts w:eastAsia="Times New Roman"/>
          <w:szCs w:val="17"/>
        </w:rPr>
        <w:t>’</w:t>
      </w:r>
      <w:r w:rsidR="008A206A" w:rsidRPr="00C5698B">
        <w:rPr>
          <w:rFonts w:eastAsia="Times New Roman"/>
          <w:szCs w:val="17"/>
        </w:rPr>
        <w:t>un élément intéri</w:t>
      </w:r>
      <w:r w:rsidR="00801DF3">
        <w:rPr>
          <w:rFonts w:eastAsia="Times New Roman"/>
          <w:szCs w:val="17"/>
        </w:rPr>
        <w:t>eur (filament, coupelle), le</w:t>
      </w:r>
      <w:r>
        <w:rPr>
          <w:rFonts w:eastAsia="Times New Roman"/>
          <w:szCs w:val="17"/>
        </w:rPr>
        <w:t xml:space="preserve"> </w:t>
      </w:r>
      <w:r w:rsidR="008A206A" w:rsidRPr="00C5698B">
        <w:rPr>
          <w:rFonts w:eastAsia="Times New Roman"/>
          <w:szCs w:val="17"/>
        </w:rPr>
        <w:t>groupe de caractéristiques (dimensions, watts, lumens) s</w:t>
      </w:r>
      <w:r w:rsidR="008861D7">
        <w:rPr>
          <w:rFonts w:eastAsia="Times New Roman"/>
          <w:szCs w:val="17"/>
        </w:rPr>
        <w:t>’</w:t>
      </w:r>
      <w:r w:rsidR="008A206A" w:rsidRPr="00C5698B">
        <w:rPr>
          <w:rFonts w:eastAsia="Times New Roman"/>
          <w:szCs w:val="17"/>
        </w:rPr>
        <w:t>applique séparément à chaque élément.</w:t>
      </w:r>
    </w:p>
    <w:p w:rsidR="008A206A" w:rsidRDefault="00C31CED" w:rsidP="008A206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  <w:r w:rsidR="008A206A" w:rsidRPr="00C31CED">
        <w:rPr>
          <w:rFonts w:eastAsia="Times New Roman"/>
          <w:szCs w:val="17"/>
        </w:rPr>
        <w:t>***</w:t>
      </w:r>
      <w:r w:rsidR="00037386">
        <w:rPr>
          <w:rFonts w:eastAsia="Times New Roman"/>
          <w:szCs w:val="17"/>
        </w:rPr>
        <w:tab/>
      </w:r>
      <w:r w:rsidR="008A206A" w:rsidRPr="00C5698B">
        <w:rPr>
          <w:rFonts w:eastAsia="Times New Roman"/>
          <w:szCs w:val="17"/>
        </w:rPr>
        <w:t xml:space="preserve">Répartition représentative par catégories de lampes </w:t>
      </w:r>
      <w:r w:rsidR="008A206A" w:rsidRPr="00C5698B">
        <w:rPr>
          <w:rFonts w:eastAsia="Times New Roman"/>
          <w:b/>
          <w:szCs w:val="17"/>
        </w:rPr>
        <w:t xml:space="preserve">à incandescence </w:t>
      </w:r>
      <w:r w:rsidR="008A206A" w:rsidRPr="00C5698B">
        <w:rPr>
          <w:rFonts w:eastAsia="Times New Roman"/>
          <w:szCs w:val="17"/>
        </w:rPr>
        <w:t xml:space="preserve">colorées avec les mêmes technologies et techniques de finissage, et comprenant des lampes </w:t>
      </w:r>
      <w:r w:rsidR="008A206A" w:rsidRPr="00C5698B">
        <w:rPr>
          <w:rFonts w:eastAsia="Times New Roman"/>
          <w:b/>
          <w:szCs w:val="17"/>
        </w:rPr>
        <w:t xml:space="preserve">à incandescence </w:t>
      </w:r>
      <w:r w:rsidR="008A206A" w:rsidRPr="00C5698B">
        <w:rPr>
          <w:rFonts w:eastAsia="Times New Roman"/>
          <w:szCs w:val="17"/>
        </w:rPr>
        <w:t>de diamètres extérieurs minimal et maximal, chacune de la puissance nominale la plus élevée. </w:t>
      </w:r>
      <w:r w:rsidR="008A206A">
        <w:rPr>
          <w:rFonts w:eastAsia="Times New Roman"/>
          <w:sz w:val="18"/>
          <w:szCs w:val="18"/>
        </w:rPr>
        <w:t>».</w:t>
      </w:r>
    </w:p>
    <w:p w:rsidR="00C5698B" w:rsidRPr="00C5698B" w:rsidRDefault="00C5698B" w:rsidP="00C5698B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rFonts w:eastAsia="Times New Roman"/>
          <w:sz w:val="10"/>
          <w:szCs w:val="18"/>
        </w:rPr>
      </w:pPr>
    </w:p>
    <w:p w:rsidR="00C5698B" w:rsidRPr="00987D72" w:rsidRDefault="00C5698B" w:rsidP="00987D7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rFonts w:eastAsia="Times New Roman"/>
          <w:sz w:val="10"/>
          <w:szCs w:val="18"/>
        </w:rPr>
      </w:pPr>
    </w:p>
    <w:p w:rsidR="008A206A" w:rsidRDefault="008A206A" w:rsidP="00987D72">
      <w:pPr>
        <w:pStyle w:val="SingleTxt"/>
      </w:pPr>
      <w:r w:rsidRPr="00987D72">
        <w:rPr>
          <w:i/>
        </w:rPr>
        <w:t>Tableau 3, ligne d</w:t>
      </w:r>
      <w:r w:rsidR="008861D7">
        <w:rPr>
          <w:i/>
        </w:rPr>
        <w:t>’</w:t>
      </w:r>
      <w:r w:rsidRPr="00987D72">
        <w:rPr>
          <w:i/>
        </w:rPr>
        <w:t>en-tête</w:t>
      </w:r>
      <w:r>
        <w:t>, modifier comme suit :</w:t>
      </w:r>
    </w:p>
    <w:p w:rsidR="002E2A25" w:rsidRPr="002E2A25" w:rsidRDefault="002E2A25" w:rsidP="002E2A25">
      <w:pPr>
        <w:pStyle w:val="SingleTxt"/>
        <w:spacing w:after="0" w:line="120" w:lineRule="exact"/>
        <w:rPr>
          <w:sz w:val="10"/>
        </w:rPr>
      </w:pPr>
    </w:p>
    <w:p w:rsidR="008A206A" w:rsidRPr="008A206A" w:rsidRDefault="008A206A" w:rsidP="008A206A">
      <w:pPr>
        <w:pStyle w:val="SingleTxt"/>
        <w:rPr>
          <w:w w:val="100"/>
          <w:lang w:val="fr-CH"/>
        </w:rPr>
      </w:pPr>
      <w:r>
        <w:rPr>
          <w:w w:val="100"/>
          <w:lang w:val="fr-CH"/>
        </w:rPr>
        <w:t>« </w:t>
      </w:r>
    </w:p>
    <w:tbl>
      <w:tblPr>
        <w:tblW w:w="0" w:type="auto"/>
        <w:tblInd w:w="126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201"/>
        <w:gridCol w:w="1346"/>
        <w:gridCol w:w="1178"/>
        <w:gridCol w:w="1360"/>
        <w:gridCol w:w="1107"/>
      </w:tblGrid>
      <w:tr w:rsidR="00987D72" w:rsidRPr="00987D72" w:rsidTr="002E2A25">
        <w:trPr>
          <w:tblHeader/>
        </w:trPr>
        <w:tc>
          <w:tcPr>
            <w:tcW w:w="1323" w:type="dxa"/>
            <w:shd w:val="clear" w:color="auto" w:fill="auto"/>
            <w:vAlign w:val="bottom"/>
          </w:tcPr>
          <w:p w:rsidR="00987D72" w:rsidRPr="00037386" w:rsidRDefault="00987D72" w:rsidP="00801D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fr-CH"/>
              </w:rPr>
            </w:pPr>
            <w:r w:rsidRPr="00987D72">
              <w:rPr>
                <w:i/>
                <w:w w:val="100"/>
                <w:sz w:val="14"/>
              </w:rPr>
              <w:t xml:space="preserve">Nombre des lampes </w:t>
            </w:r>
            <w:r w:rsidRPr="00987D72">
              <w:rPr>
                <w:b/>
                <w:i/>
                <w:w w:val="100"/>
                <w:sz w:val="14"/>
              </w:rPr>
              <w:t xml:space="preserve">à incandescence </w:t>
            </w:r>
            <w:r w:rsidRPr="00987D72">
              <w:rPr>
                <w:i/>
                <w:w w:val="100"/>
                <w:sz w:val="14"/>
              </w:rPr>
              <w:t>figurant sur les procès-verbaux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987D72" w:rsidRPr="00987D72" w:rsidRDefault="00987D72" w:rsidP="00801D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en-US"/>
              </w:rPr>
            </w:pPr>
            <w:r w:rsidRPr="00987D72">
              <w:rPr>
                <w:i/>
                <w:w w:val="100"/>
                <w:sz w:val="14"/>
              </w:rPr>
              <w:t>Tolérance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87D72" w:rsidRPr="00037386" w:rsidRDefault="00987D72" w:rsidP="00801D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fr-CH"/>
              </w:rPr>
            </w:pPr>
            <w:r w:rsidRPr="00987D72">
              <w:rPr>
                <w:i/>
                <w:w w:val="100"/>
                <w:sz w:val="14"/>
              </w:rPr>
              <w:t xml:space="preserve">Nombre des lampes </w:t>
            </w:r>
            <w:r w:rsidRPr="00987D72">
              <w:rPr>
                <w:b/>
                <w:i/>
                <w:w w:val="100"/>
                <w:sz w:val="14"/>
              </w:rPr>
              <w:t xml:space="preserve">à incandescence </w:t>
            </w:r>
            <w:r w:rsidRPr="00987D72">
              <w:rPr>
                <w:i/>
                <w:w w:val="100"/>
                <w:sz w:val="14"/>
              </w:rPr>
              <w:t>figurant sur les procès-verbaux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987D72" w:rsidRPr="00987D72" w:rsidRDefault="00987D72" w:rsidP="00801D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en-US"/>
              </w:rPr>
            </w:pPr>
            <w:r w:rsidRPr="00987D72">
              <w:rPr>
                <w:i/>
                <w:w w:val="100"/>
                <w:sz w:val="14"/>
              </w:rPr>
              <w:t>Tolérance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87D72" w:rsidRPr="00037386" w:rsidRDefault="00987D72" w:rsidP="00801D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fr-CH"/>
              </w:rPr>
            </w:pPr>
            <w:r w:rsidRPr="00987D72">
              <w:rPr>
                <w:i/>
                <w:w w:val="100"/>
                <w:sz w:val="14"/>
              </w:rPr>
              <w:t xml:space="preserve">Nombre des lampes </w:t>
            </w:r>
            <w:r w:rsidRPr="00987D72">
              <w:rPr>
                <w:b/>
                <w:i/>
                <w:w w:val="100"/>
                <w:sz w:val="14"/>
              </w:rPr>
              <w:t xml:space="preserve">à incandescence </w:t>
            </w:r>
            <w:r w:rsidRPr="00987D72">
              <w:rPr>
                <w:i/>
                <w:w w:val="100"/>
                <w:sz w:val="14"/>
              </w:rPr>
              <w:t>figurant sur les procès-verbaux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987D72" w:rsidRPr="00987D72" w:rsidRDefault="00987D72" w:rsidP="00801D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w w:val="100"/>
                <w:sz w:val="14"/>
                <w:lang w:val="en-US"/>
              </w:rPr>
            </w:pPr>
            <w:r w:rsidRPr="00987D72">
              <w:rPr>
                <w:i/>
                <w:w w:val="100"/>
                <w:sz w:val="14"/>
              </w:rPr>
              <w:t>Tolérance</w:t>
            </w:r>
          </w:p>
        </w:tc>
      </w:tr>
    </w:tbl>
    <w:p w:rsidR="00987D72" w:rsidRPr="00987D72" w:rsidRDefault="00987D72" w:rsidP="00037386">
      <w:pPr>
        <w:pStyle w:val="SingleTxt"/>
        <w:spacing w:line="240" w:lineRule="auto"/>
        <w:jc w:val="right"/>
        <w:rPr>
          <w:w w:val="100"/>
          <w:lang w:val="fr-CH"/>
        </w:rPr>
      </w:pPr>
      <w:r>
        <w:rPr>
          <w:w w:val="100"/>
          <w:lang w:val="fr-CH"/>
        </w:rPr>
        <w:t> »</w:t>
      </w:r>
      <w:r w:rsidR="00C5698B">
        <w:rPr>
          <w:w w:val="100"/>
          <w:lang w:val="fr-CH"/>
        </w:rPr>
        <w:t>.</w:t>
      </w:r>
    </w:p>
    <w:p w:rsidR="00173264" w:rsidRPr="00173264" w:rsidRDefault="00173264" w:rsidP="0017326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73264" w:rsidRPr="00173264" w:rsidRDefault="00173264" w:rsidP="00173264">
      <w:pPr>
        <w:spacing w:line="120" w:lineRule="exact"/>
        <w:rPr>
          <w:sz w:val="10"/>
        </w:rPr>
      </w:pPr>
    </w:p>
    <w:p w:rsidR="00173264" w:rsidRPr="00173264" w:rsidRDefault="00173264" w:rsidP="0017326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87D72" w:rsidRDefault="00987D72" w:rsidP="00C5698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II.</w:t>
      </w:r>
      <w:r>
        <w:tab/>
        <w:t>Justification</w:t>
      </w:r>
    </w:p>
    <w:p w:rsidR="00987D72" w:rsidRPr="00987D72" w:rsidRDefault="00987D72" w:rsidP="00C5698B">
      <w:pPr>
        <w:keepNext/>
        <w:keepLines/>
        <w:spacing w:line="120" w:lineRule="exact"/>
        <w:rPr>
          <w:sz w:val="10"/>
        </w:rPr>
      </w:pPr>
    </w:p>
    <w:p w:rsidR="00987D72" w:rsidRPr="00987D72" w:rsidRDefault="00987D72" w:rsidP="00C5698B">
      <w:pPr>
        <w:keepNext/>
        <w:keepLines/>
        <w:spacing w:line="120" w:lineRule="exact"/>
        <w:rPr>
          <w:sz w:val="10"/>
        </w:rPr>
      </w:pPr>
    </w:p>
    <w:p w:rsidR="008A206A" w:rsidRDefault="0005456E" w:rsidP="00C5698B">
      <w:pPr>
        <w:pStyle w:val="SingleTxt"/>
        <w:keepNext/>
        <w:keepLines/>
        <w:spacing w:line="240" w:lineRule="auto"/>
        <w:rPr>
          <w:bCs/>
          <w:lang w:eastAsia="it-IT"/>
        </w:rPr>
      </w:pPr>
      <w:r>
        <w:rPr>
          <w:bCs/>
          <w:lang w:eastAsia="it-IT"/>
        </w:rPr>
        <w:tab/>
      </w:r>
      <w:r w:rsidR="00987D72">
        <w:rPr>
          <w:bCs/>
          <w:lang w:eastAsia="it-IT"/>
        </w:rPr>
        <w:t>Les modifications proposées dans le présent document font partie d</w:t>
      </w:r>
      <w:r w:rsidR="008861D7">
        <w:rPr>
          <w:bCs/>
          <w:lang w:eastAsia="it-IT"/>
        </w:rPr>
        <w:t>’</w:t>
      </w:r>
      <w:r w:rsidR="00987D72">
        <w:rPr>
          <w:bCs/>
          <w:lang w:eastAsia="it-IT"/>
        </w:rPr>
        <w:t>un ensemble de propositions visant à simplifier les Règlements concernant les sources lumineuses.</w:t>
      </w:r>
    </w:p>
    <w:p w:rsidR="00C5698B" w:rsidRPr="00C5698B" w:rsidRDefault="00C5698B" w:rsidP="00C5698B">
      <w:pPr>
        <w:pStyle w:val="SingleTxt"/>
        <w:spacing w:after="0" w:line="240" w:lineRule="auto"/>
        <w:rPr>
          <w:w w:val="100"/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5698B" w:rsidRPr="00C5698B" w:rsidSect="009A36E1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12T12:25:00Z" w:initials="Start">
    <w:p w:rsidR="009A36E1" w:rsidRPr="00037386" w:rsidRDefault="009A36E1">
      <w:pPr>
        <w:pStyle w:val="CommentText"/>
        <w:rPr>
          <w:lang w:val="en-US"/>
        </w:rPr>
      </w:pPr>
      <w:r>
        <w:fldChar w:fldCharType="begin"/>
      </w:r>
      <w:r w:rsidRPr="00037386">
        <w:rPr>
          <w:rStyle w:val="CommentReference"/>
          <w:lang w:val="en-US"/>
        </w:rPr>
        <w:instrText xml:space="preserve"> </w:instrText>
      </w:r>
      <w:r w:rsidRPr="00037386">
        <w:rPr>
          <w:lang w:val="en-US"/>
        </w:rPr>
        <w:instrText>PAGE \# "'Page: '#'</w:instrText>
      </w:r>
      <w:r w:rsidRPr="00037386">
        <w:rPr>
          <w:lang w:val="en-US"/>
        </w:rPr>
        <w:br/>
        <w:instrText>'"</w:instrText>
      </w:r>
      <w:r w:rsidRPr="0003738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37386">
        <w:rPr>
          <w:lang w:val="en-US"/>
        </w:rPr>
        <w:t>&lt;&lt;ODS JOB NO&gt;&gt;N1517414F&lt;&lt;ODS JOB NO&gt;&gt;</w:t>
      </w:r>
    </w:p>
    <w:p w:rsidR="009A36E1" w:rsidRDefault="009A36E1">
      <w:pPr>
        <w:pStyle w:val="CommentText"/>
      </w:pPr>
      <w:r>
        <w:t>&lt;&lt;ODS DOC SYMBOL1&gt;&gt;ECE/TRANS/WP.29/GRE/2015/25&lt;&lt;ODS DOC SYMBOL1&gt;&gt;</w:t>
      </w:r>
    </w:p>
    <w:p w:rsidR="009A36E1" w:rsidRDefault="009A36E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69" w:rsidRDefault="00704669" w:rsidP="00F3330B">
      <w:pPr>
        <w:spacing w:line="240" w:lineRule="auto"/>
      </w:pPr>
      <w:r>
        <w:separator/>
      </w:r>
    </w:p>
  </w:endnote>
  <w:endnote w:type="continuationSeparator" w:id="0">
    <w:p w:rsidR="00704669" w:rsidRDefault="00704669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A36E1" w:rsidTr="009A36E1">
      <w:trPr>
        <w:jc w:val="center"/>
      </w:trPr>
      <w:tc>
        <w:tcPr>
          <w:tcW w:w="5126" w:type="dxa"/>
          <w:shd w:val="clear" w:color="auto" w:fill="auto"/>
        </w:tcPr>
        <w:p w:rsidR="009A36E1" w:rsidRPr="009A36E1" w:rsidRDefault="009A36E1" w:rsidP="009A36E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90A7B">
            <w:rPr>
              <w:b w:val="0"/>
              <w:w w:val="103"/>
              <w:sz w:val="14"/>
            </w:rPr>
            <w:t>GE.15-13321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A36E1" w:rsidRPr="009A36E1" w:rsidRDefault="009A36E1" w:rsidP="009A36E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3243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3243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9A36E1" w:rsidRPr="009A36E1" w:rsidRDefault="009A36E1" w:rsidP="009A3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A36E1" w:rsidTr="009A36E1">
      <w:trPr>
        <w:jc w:val="center"/>
      </w:trPr>
      <w:tc>
        <w:tcPr>
          <w:tcW w:w="5126" w:type="dxa"/>
          <w:shd w:val="clear" w:color="auto" w:fill="auto"/>
        </w:tcPr>
        <w:p w:rsidR="009A36E1" w:rsidRPr="009A36E1" w:rsidRDefault="009A36E1" w:rsidP="009A36E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32433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32433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A36E1" w:rsidRPr="009A36E1" w:rsidRDefault="009A36E1" w:rsidP="009A36E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90A7B">
            <w:rPr>
              <w:b w:val="0"/>
              <w:w w:val="103"/>
              <w:sz w:val="14"/>
            </w:rPr>
            <w:t>GE.15-13321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A36E1" w:rsidRPr="009A36E1" w:rsidRDefault="009A36E1" w:rsidP="009A3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E1" w:rsidRDefault="009A36E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581542" wp14:editId="4B343A40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E/2015/2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E/2015/2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9A36E1" w:rsidTr="009A36E1">
      <w:tc>
        <w:tcPr>
          <w:tcW w:w="3859" w:type="dxa"/>
        </w:tcPr>
        <w:p w:rsidR="009A36E1" w:rsidRDefault="009A36E1" w:rsidP="009A36E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90A7B">
            <w:rPr>
              <w:b w:val="0"/>
              <w:sz w:val="20"/>
            </w:rPr>
            <w:t>GE.15-13321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121015    121015</w:t>
          </w:r>
        </w:p>
        <w:p w:rsidR="009A36E1" w:rsidRPr="009A36E1" w:rsidRDefault="009A36E1" w:rsidP="009A36E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90A7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*1513321*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9A36E1" w:rsidRDefault="009A36E1" w:rsidP="009A36E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DAB88B6" wp14:editId="28A8715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36E1" w:rsidRPr="009A36E1" w:rsidRDefault="009A36E1" w:rsidP="009A36E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69" w:rsidRPr="00D53BEB" w:rsidRDefault="00704669" w:rsidP="00D53BEB">
      <w:pPr>
        <w:pStyle w:val="Footer"/>
        <w:spacing w:after="80"/>
        <w:ind w:left="792"/>
        <w:rPr>
          <w:sz w:val="16"/>
        </w:rPr>
      </w:pPr>
      <w:r w:rsidRPr="00D53BEB">
        <w:rPr>
          <w:sz w:val="16"/>
        </w:rPr>
        <w:t>__________________</w:t>
      </w:r>
    </w:p>
  </w:footnote>
  <w:footnote w:type="continuationSeparator" w:id="0">
    <w:p w:rsidR="00704669" w:rsidRPr="00D53BEB" w:rsidRDefault="00704669" w:rsidP="00D53BEB">
      <w:pPr>
        <w:pStyle w:val="Footer"/>
        <w:spacing w:after="80"/>
        <w:ind w:left="792"/>
        <w:rPr>
          <w:sz w:val="16"/>
        </w:rPr>
      </w:pPr>
      <w:r w:rsidRPr="00D53BEB">
        <w:rPr>
          <w:sz w:val="16"/>
        </w:rPr>
        <w:t>__________________</w:t>
      </w:r>
    </w:p>
  </w:footnote>
  <w:footnote w:id="1">
    <w:p w:rsidR="006645BF" w:rsidRDefault="006645BF" w:rsidP="00D53BE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D53BEB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 2012-2016 (ECE/TRANS/224, par.</w:t>
      </w:r>
      <w:r w:rsidR="00D53BEB">
        <w:t> </w:t>
      </w:r>
      <w:r>
        <w:t>94, et ECE/TRANS/2012/12, activité 02.4), le Forum mondial a pour 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A36E1" w:rsidTr="009A36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A36E1" w:rsidRPr="009A36E1" w:rsidRDefault="009A36E1" w:rsidP="009A36E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90A7B">
            <w:rPr>
              <w:b/>
              <w:color w:val="000000"/>
            </w:rPr>
            <w:t>ECE/TRANS/WP.29/GRE/2015/25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A36E1" w:rsidRDefault="009A36E1" w:rsidP="009A36E1">
          <w:pPr>
            <w:pStyle w:val="Header"/>
          </w:pPr>
        </w:p>
      </w:tc>
    </w:tr>
  </w:tbl>
  <w:p w:rsidR="009A36E1" w:rsidRPr="009A36E1" w:rsidRDefault="009A36E1" w:rsidP="009A36E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A36E1" w:rsidTr="009A36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A36E1" w:rsidRDefault="009A36E1" w:rsidP="009A36E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A36E1" w:rsidRPr="009A36E1" w:rsidRDefault="009A36E1" w:rsidP="009A36E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90A7B">
            <w:rPr>
              <w:b/>
              <w:color w:val="000000"/>
            </w:rPr>
            <w:t>ECE/TRANS/WP.29/GRE/2015/25</w:t>
          </w:r>
          <w:r>
            <w:rPr>
              <w:b/>
              <w:color w:val="000000"/>
            </w:rPr>
            <w:fldChar w:fldCharType="end"/>
          </w:r>
        </w:p>
      </w:tc>
    </w:tr>
  </w:tbl>
  <w:p w:rsidR="009A36E1" w:rsidRPr="009A36E1" w:rsidRDefault="009A36E1" w:rsidP="009A36E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9A36E1" w:rsidTr="009A36E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36E1" w:rsidRDefault="009A36E1" w:rsidP="009A36E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36E1" w:rsidRPr="009A36E1" w:rsidRDefault="009A36E1" w:rsidP="009A36E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36E1" w:rsidRDefault="009A36E1" w:rsidP="009A36E1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A36E1" w:rsidRPr="009A36E1" w:rsidRDefault="009A36E1" w:rsidP="009A36E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/TRANS/WP.29/GRE/2015/25</w:t>
          </w:r>
        </w:p>
      </w:tc>
    </w:tr>
    <w:tr w:rsidR="009A36E1" w:rsidRPr="009A36E1" w:rsidTr="009A36E1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36E1" w:rsidRPr="009A36E1" w:rsidRDefault="009A36E1" w:rsidP="009A36E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15ACB85" wp14:editId="533E8A9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36E1" w:rsidRPr="009A36E1" w:rsidRDefault="009A36E1" w:rsidP="009A36E1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36E1" w:rsidRPr="009A36E1" w:rsidRDefault="009A36E1" w:rsidP="009A36E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36E1" w:rsidRPr="00037386" w:rsidRDefault="009A36E1" w:rsidP="009A36E1">
          <w:pPr>
            <w:pStyle w:val="Distribution"/>
            <w:rPr>
              <w:color w:val="000000"/>
              <w:lang w:val="fr-CH"/>
            </w:rPr>
          </w:pPr>
          <w:r w:rsidRPr="00037386">
            <w:rPr>
              <w:color w:val="000000"/>
              <w:lang w:val="fr-CH"/>
            </w:rPr>
            <w:t>Distr. générale</w:t>
          </w:r>
        </w:p>
        <w:p w:rsidR="009A36E1" w:rsidRPr="00037386" w:rsidRDefault="009A36E1" w:rsidP="009A36E1">
          <w:pPr>
            <w:pStyle w:val="Publication"/>
            <w:rPr>
              <w:color w:val="000000"/>
              <w:lang w:val="fr-CH"/>
            </w:rPr>
          </w:pPr>
          <w:r w:rsidRPr="00037386">
            <w:rPr>
              <w:color w:val="000000"/>
              <w:lang w:val="fr-CH"/>
            </w:rPr>
            <w:t>6 août 2015</w:t>
          </w:r>
        </w:p>
        <w:p w:rsidR="009A36E1" w:rsidRPr="00037386" w:rsidRDefault="009A36E1" w:rsidP="009A36E1">
          <w:pPr>
            <w:rPr>
              <w:lang w:val="fr-CH"/>
            </w:rPr>
          </w:pPr>
          <w:r w:rsidRPr="00037386">
            <w:rPr>
              <w:lang w:val="fr-CH"/>
            </w:rPr>
            <w:t>Français</w:t>
          </w:r>
        </w:p>
        <w:p w:rsidR="009A36E1" w:rsidRPr="00037386" w:rsidRDefault="009A36E1" w:rsidP="009A36E1">
          <w:pPr>
            <w:pStyle w:val="Original"/>
            <w:rPr>
              <w:color w:val="000000"/>
              <w:lang w:val="fr-CH"/>
            </w:rPr>
          </w:pPr>
          <w:r w:rsidRPr="00037386">
            <w:rPr>
              <w:color w:val="000000"/>
              <w:lang w:val="fr-CH"/>
            </w:rPr>
            <w:t>Original : anglais</w:t>
          </w:r>
        </w:p>
      </w:tc>
    </w:tr>
  </w:tbl>
  <w:p w:rsidR="009A36E1" w:rsidRPr="00037386" w:rsidRDefault="009A36E1" w:rsidP="009A36E1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321*"/>
    <w:docVar w:name="CreationDt" w:val="10/12/2015 12:25 PM"/>
    <w:docVar w:name="DocCategory" w:val="Doc"/>
    <w:docVar w:name="DocType" w:val="Final"/>
    <w:docVar w:name="DutyStation" w:val="Geneva"/>
    <w:docVar w:name="FooterJN" w:val="GE.15-13321"/>
    <w:docVar w:name="jobn" w:val="GE.15-13321 (F)"/>
    <w:docVar w:name="jobnDT" w:val="GE.15-13321 (F)   121015"/>
    <w:docVar w:name="jobnDTDT" w:val="GE.15-13321 (F)   121015   121015"/>
    <w:docVar w:name="JobNo" w:val="GE.1513321F"/>
    <w:docVar w:name="JobNo2" w:val="GE.1517414F"/>
    <w:docVar w:name="LocalDrive" w:val="0"/>
    <w:docVar w:name="OandT" w:val="Crelier"/>
    <w:docVar w:name="PaperSize" w:val="A4"/>
    <w:docVar w:name="sss1" w:val="ECE/TRANS/WP.29/GRE/2015/25"/>
    <w:docVar w:name="sss2" w:val="-"/>
    <w:docVar w:name="Symbol1" w:val="ECE/TRANS/WP.29/GRE/2015/25"/>
    <w:docVar w:name="Symbol2" w:val="-"/>
  </w:docVars>
  <w:rsids>
    <w:rsidRoot w:val="009F7EDE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1827"/>
    <w:rsid w:val="00033DC9"/>
    <w:rsid w:val="00037386"/>
    <w:rsid w:val="000378DE"/>
    <w:rsid w:val="00040497"/>
    <w:rsid w:val="00041ABD"/>
    <w:rsid w:val="00046145"/>
    <w:rsid w:val="00050D9C"/>
    <w:rsid w:val="00054482"/>
    <w:rsid w:val="0005456E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3264"/>
    <w:rsid w:val="00177D83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387B"/>
    <w:rsid w:val="00205199"/>
    <w:rsid w:val="0020521E"/>
    <w:rsid w:val="00206598"/>
    <w:rsid w:val="00207655"/>
    <w:rsid w:val="00207CAA"/>
    <w:rsid w:val="0021168F"/>
    <w:rsid w:val="002178A7"/>
    <w:rsid w:val="002220FF"/>
    <w:rsid w:val="00232433"/>
    <w:rsid w:val="00237D01"/>
    <w:rsid w:val="00240F64"/>
    <w:rsid w:val="002410E3"/>
    <w:rsid w:val="00241F29"/>
    <w:rsid w:val="00243D1C"/>
    <w:rsid w:val="00245B48"/>
    <w:rsid w:val="00246425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A25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5EC1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5A7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E4B03"/>
    <w:rsid w:val="005F12E0"/>
    <w:rsid w:val="005F2726"/>
    <w:rsid w:val="005F2A30"/>
    <w:rsid w:val="005F2FA6"/>
    <w:rsid w:val="005F35C5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45BF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669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1DF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61D7"/>
    <w:rsid w:val="00887256"/>
    <w:rsid w:val="00890A7B"/>
    <w:rsid w:val="00890BEA"/>
    <w:rsid w:val="00890EF0"/>
    <w:rsid w:val="00891ADA"/>
    <w:rsid w:val="008962D4"/>
    <w:rsid w:val="008A206A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130A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25F44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87D72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6E1"/>
    <w:rsid w:val="009A3FE3"/>
    <w:rsid w:val="009A4787"/>
    <w:rsid w:val="009A5572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ED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777FE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47EC"/>
    <w:rsid w:val="00BA600B"/>
    <w:rsid w:val="00BC05C8"/>
    <w:rsid w:val="00BC0F9A"/>
    <w:rsid w:val="00BC3D5F"/>
    <w:rsid w:val="00BC43E2"/>
    <w:rsid w:val="00BC5790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1CED"/>
    <w:rsid w:val="00C35E4D"/>
    <w:rsid w:val="00C436F7"/>
    <w:rsid w:val="00C45692"/>
    <w:rsid w:val="00C46175"/>
    <w:rsid w:val="00C47E57"/>
    <w:rsid w:val="00C55B02"/>
    <w:rsid w:val="00C56142"/>
    <w:rsid w:val="00C5698B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14FA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3BEB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51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A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1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FootnoteRefer">
    <w:name w:val="Footnote Refer"/>
    <w:basedOn w:val="Normal"/>
    <w:rsid w:val="00173264"/>
    <w:pPr>
      <w:tabs>
        <w:tab w:val="left" w:pos="288"/>
        <w:tab w:val="left" w:pos="576"/>
        <w:tab w:val="left" w:pos="864"/>
        <w:tab w:val="left" w:pos="1152"/>
      </w:tabs>
      <w:suppressAutoHyphens/>
      <w:spacing w:before="80" w:after="80" w:line="160" w:lineRule="exact"/>
      <w:ind w:right="397"/>
    </w:pPr>
    <w:rPr>
      <w:color w:val="943634" w:themeColor="accent2" w:themeShade="BF"/>
      <w:w w:val="1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A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1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FootnoteRefer">
    <w:name w:val="Footnote Refer"/>
    <w:basedOn w:val="Normal"/>
    <w:rsid w:val="00173264"/>
    <w:pPr>
      <w:tabs>
        <w:tab w:val="left" w:pos="288"/>
        <w:tab w:val="left" w:pos="576"/>
        <w:tab w:val="left" w:pos="864"/>
        <w:tab w:val="left" w:pos="1152"/>
      </w:tabs>
      <w:suppressAutoHyphens/>
      <w:spacing w:before="80" w:after="80" w:line="160" w:lineRule="exact"/>
      <w:ind w:right="397"/>
    </w:pPr>
    <w:rPr>
      <w:color w:val="943634" w:themeColor="accent2" w:themeShade="BF"/>
      <w:w w:val="1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1503-34E8-4C89-8FE1-6CA625B7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crelier</dc:creator>
  <cp:lastModifiedBy>Benedicte Boudol</cp:lastModifiedBy>
  <cp:revision>2</cp:revision>
  <cp:lastPrinted>2015-10-12T15:19:00Z</cp:lastPrinted>
  <dcterms:created xsi:type="dcterms:W3CDTF">2015-10-13T12:45:00Z</dcterms:created>
  <dcterms:modified xsi:type="dcterms:W3CDTF">2015-10-13T12:45:00Z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1513321F</vt:lpwstr>
  </property>
  <property fmtid="{D5CDD505-2E9C-101B-9397-08002B2CF9AE}" pid="3" name="ODSRefJobNo">
    <vt:lpwstr>1517414F</vt:lpwstr>
  </property>
  <property fmtid="{D5CDD505-2E9C-101B-9397-08002B2CF9AE}" pid="4" name="Symbol1">
    <vt:lpwstr>ECE/TRANS/WP.29/GRE/2015/25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Crelier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6 août 2015</vt:lpwstr>
  </property>
  <property fmtid="{D5CDD505-2E9C-101B-9397-08002B2CF9AE}" pid="12" name="Original">
    <vt:lpwstr>anglais</vt:lpwstr>
  </property>
  <property fmtid="{D5CDD505-2E9C-101B-9397-08002B2CF9AE}" pid="13" name="Release Date">
    <vt:lpwstr>121015</vt:lpwstr>
  </property>
</Properties>
</file>