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42462">
            <w:bookmarkStart w:id="0" w:name="_GoBack"/>
            <w:bookmarkEnd w:id="0"/>
          </w:p>
        </w:tc>
        <w:tc>
          <w:tcPr>
            <w:tcW w:w="2268" w:type="dxa"/>
            <w:tcBorders>
              <w:bottom w:val="single" w:sz="4" w:space="0" w:color="auto"/>
            </w:tcBorders>
            <w:vAlign w:val="bottom"/>
          </w:tcPr>
          <w:p w:rsidR="00F35BAF" w:rsidRPr="00DB58B5" w:rsidRDefault="00F35BAF" w:rsidP="0074246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42462" w:rsidP="00742462">
            <w:pPr>
              <w:jc w:val="right"/>
            </w:pPr>
            <w:r w:rsidRPr="00742462">
              <w:rPr>
                <w:sz w:val="40"/>
              </w:rPr>
              <w:t>ECE</w:t>
            </w:r>
            <w:r>
              <w:t>/TRANS/WP.29/GRB/59</w:t>
            </w:r>
          </w:p>
        </w:tc>
      </w:tr>
      <w:tr w:rsidR="00F35BAF" w:rsidRPr="00DB58B5" w:rsidTr="00742462">
        <w:trPr>
          <w:trHeight w:hRule="exact" w:val="2835"/>
        </w:trPr>
        <w:tc>
          <w:tcPr>
            <w:tcW w:w="1276" w:type="dxa"/>
            <w:tcBorders>
              <w:top w:val="single" w:sz="4" w:space="0" w:color="auto"/>
              <w:bottom w:val="single" w:sz="12" w:space="0" w:color="auto"/>
            </w:tcBorders>
          </w:tcPr>
          <w:p w:rsidR="00F35BAF" w:rsidRPr="00DB58B5" w:rsidRDefault="00F35BAF" w:rsidP="00742462">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74246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42462" w:rsidP="00742462">
            <w:pPr>
              <w:spacing w:before="240"/>
            </w:pPr>
            <w:r>
              <w:t>Distr. générale</w:t>
            </w:r>
          </w:p>
          <w:p w:rsidR="00742462" w:rsidRDefault="00742462" w:rsidP="00742462">
            <w:pPr>
              <w:spacing w:line="240" w:lineRule="exact"/>
            </w:pPr>
            <w:r>
              <w:t>27 février 2015</w:t>
            </w:r>
          </w:p>
          <w:p w:rsidR="00742462" w:rsidRDefault="00742462" w:rsidP="00742462">
            <w:pPr>
              <w:spacing w:line="240" w:lineRule="exact"/>
            </w:pPr>
            <w:r>
              <w:t>Français</w:t>
            </w:r>
          </w:p>
          <w:p w:rsidR="00742462" w:rsidRPr="00DB58B5" w:rsidRDefault="00742462" w:rsidP="00742462">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w:t>
      </w:r>
      <w:r w:rsidR="00E42E9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742462" w:rsidRDefault="00742462" w:rsidP="00AF0CB5">
      <w:pPr>
        <w:spacing w:before="120"/>
        <w:rPr>
          <w:b/>
          <w:sz w:val="24"/>
          <w:szCs w:val="24"/>
        </w:rPr>
      </w:pPr>
      <w:r w:rsidRPr="00685843">
        <w:rPr>
          <w:b/>
          <w:sz w:val="24"/>
          <w:szCs w:val="24"/>
        </w:rPr>
        <w:t>Forum mondial de l</w:t>
      </w:r>
      <w:r w:rsidR="00E42E9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742462" w:rsidRDefault="00742462" w:rsidP="00F9573C">
      <w:pPr>
        <w:spacing w:before="120" w:after="120" w:line="240" w:lineRule="exact"/>
        <w:rPr>
          <w:b/>
        </w:rPr>
      </w:pPr>
      <w:r>
        <w:rPr>
          <w:b/>
        </w:rPr>
        <w:t>Groupe de travail du bruit</w:t>
      </w:r>
    </w:p>
    <w:p w:rsidR="00742462" w:rsidRDefault="00742462" w:rsidP="00F9573C">
      <w:pPr>
        <w:spacing w:before="120" w:line="240" w:lineRule="exact"/>
        <w:rPr>
          <w:b/>
        </w:rPr>
      </w:pPr>
      <w:r w:rsidRPr="00742462">
        <w:rPr>
          <w:b/>
        </w:rPr>
        <w:t>Soixante et unième</w:t>
      </w:r>
      <w:r>
        <w:rPr>
          <w:b/>
        </w:rPr>
        <w:t xml:space="preserve"> session</w:t>
      </w:r>
    </w:p>
    <w:p w:rsidR="00742462" w:rsidRDefault="00742462" w:rsidP="00E42E9D">
      <w:pPr>
        <w:spacing w:line="240" w:lineRule="exact"/>
      </w:pPr>
      <w:r>
        <w:t xml:space="preserve">Genève, </w:t>
      </w:r>
      <w:r w:rsidRPr="00742462">
        <w:t>27-29 janvier 2015</w:t>
      </w:r>
    </w:p>
    <w:p w:rsidR="00742462" w:rsidRDefault="00FA2F29" w:rsidP="00FA2F29">
      <w:pPr>
        <w:pStyle w:val="HChG"/>
      </w:pPr>
      <w:r>
        <w:tab/>
      </w:r>
      <w:r>
        <w:tab/>
      </w:r>
      <w:r w:rsidR="00742462" w:rsidRPr="00742462">
        <w:t>Rapport du Groupe de travail du bruit</w:t>
      </w:r>
      <w:r>
        <w:br/>
      </w:r>
      <w:r w:rsidR="00742462" w:rsidRPr="00742462">
        <w:t>sur sa soixante et unième session</w:t>
      </w:r>
    </w:p>
    <w:p w:rsidR="00FA2F29" w:rsidRPr="00FA2F29" w:rsidRDefault="00FA2F29" w:rsidP="00FA2F29">
      <w:pPr>
        <w:spacing w:after="120"/>
        <w:rPr>
          <w:sz w:val="28"/>
        </w:rPr>
      </w:pPr>
      <w:r w:rsidRPr="00FA2F29">
        <w:rPr>
          <w:sz w:val="28"/>
        </w:rPr>
        <w:t>Table des matières</w:t>
      </w:r>
    </w:p>
    <w:p w:rsidR="00FA2F29" w:rsidRPr="00FA2F29" w:rsidRDefault="00FA2F29" w:rsidP="00FA2F29">
      <w:pPr>
        <w:tabs>
          <w:tab w:val="right" w:pos="8929"/>
          <w:tab w:val="right" w:pos="9638"/>
        </w:tabs>
        <w:spacing w:after="120"/>
        <w:ind w:left="283"/>
        <w:rPr>
          <w:i/>
          <w:sz w:val="18"/>
        </w:rPr>
      </w:pPr>
      <w:r w:rsidRPr="00FA2F29">
        <w:rPr>
          <w:i/>
          <w:sz w:val="18"/>
        </w:rPr>
        <w:tab/>
        <w:t>Paragraphes</w:t>
      </w:r>
      <w:r w:rsidRPr="00FA2F29">
        <w:rPr>
          <w:i/>
          <w:sz w:val="18"/>
        </w:rPr>
        <w:tab/>
        <w:t>Page</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t>I.</w:t>
      </w:r>
      <w:r w:rsidRPr="00FA2F29">
        <w:tab/>
      </w:r>
      <w:r w:rsidR="00531211" w:rsidRPr="00531211">
        <w:t>Participation</w:t>
      </w:r>
      <w:r w:rsidRPr="00FA2F29">
        <w:tab/>
      </w:r>
      <w:r w:rsidRPr="00FA2F29">
        <w:tab/>
      </w:r>
      <w:r w:rsidR="00531211">
        <w:t>1−2</w:t>
      </w:r>
      <w:r w:rsidRPr="00FA2F29">
        <w:tab/>
      </w:r>
      <w:r w:rsidR="00023D91">
        <w:t>3</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t>I</w:t>
      </w:r>
      <w:r>
        <w:t>I</w:t>
      </w:r>
      <w:r w:rsidRPr="00FA2F29">
        <w:t>.</w:t>
      </w:r>
      <w:r w:rsidRPr="00FA2F29">
        <w:tab/>
      </w:r>
      <w:r w:rsidR="00531211" w:rsidRPr="00531211">
        <w:t>Adoption de l</w:t>
      </w:r>
      <w:r w:rsidR="00E42E9D">
        <w:t>’</w:t>
      </w:r>
      <w:r w:rsidR="00531211" w:rsidRPr="00531211">
        <w:t>ordre du jour (point 1 de l</w:t>
      </w:r>
      <w:r w:rsidR="00E42E9D">
        <w:t>’</w:t>
      </w:r>
      <w:r w:rsidR="00531211" w:rsidRPr="00531211">
        <w:t>ordre du jour)</w:t>
      </w:r>
      <w:r w:rsidRPr="00FA2F29">
        <w:tab/>
      </w:r>
      <w:r w:rsidRPr="00FA2F29">
        <w:tab/>
      </w:r>
      <w:r w:rsidR="00531211">
        <w:t>3</w:t>
      </w:r>
      <w:r w:rsidRPr="00FA2F29">
        <w:tab/>
      </w:r>
      <w:r w:rsidR="00023D91">
        <w:t>3</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t>I</w:t>
      </w:r>
      <w:r>
        <w:t>II</w:t>
      </w:r>
      <w:r w:rsidRPr="00FA2F29">
        <w:t>.</w:t>
      </w:r>
      <w:r w:rsidRPr="00FA2F29">
        <w:tab/>
      </w:r>
      <w:r w:rsidR="00531211" w:rsidRPr="00531211">
        <w:t>Règlement n</w:t>
      </w:r>
      <w:r w:rsidR="00531211" w:rsidRPr="00531211">
        <w:rPr>
          <w:vertAlign w:val="superscript"/>
        </w:rPr>
        <w:t>o</w:t>
      </w:r>
      <w:r w:rsidR="00531211" w:rsidRPr="00531211">
        <w:t> 28 (Avertisseurs sonores)</w:t>
      </w:r>
      <w:r w:rsidR="00531211">
        <w:t xml:space="preserve"> </w:t>
      </w:r>
      <w:r w:rsidR="00531211" w:rsidRPr="00531211">
        <w:t>(point 2 de l</w:t>
      </w:r>
      <w:r w:rsidR="00E42E9D">
        <w:t>’</w:t>
      </w:r>
      <w:r w:rsidR="00531211" w:rsidRPr="00531211">
        <w:t>ordre du jour)</w:t>
      </w:r>
      <w:r w:rsidRPr="00FA2F29">
        <w:tab/>
      </w:r>
      <w:r w:rsidRPr="00FA2F29">
        <w:tab/>
      </w:r>
      <w:r w:rsidR="00531211">
        <w:t>4−5</w:t>
      </w:r>
      <w:r w:rsidRPr="00FA2F29">
        <w:tab/>
      </w:r>
      <w:r w:rsidR="00023D91">
        <w:t>3</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t>I</w:t>
      </w:r>
      <w:r>
        <w:t>V</w:t>
      </w:r>
      <w:r w:rsidRPr="00FA2F29">
        <w:t>.</w:t>
      </w:r>
      <w:r w:rsidRPr="00FA2F29">
        <w:tab/>
      </w:r>
      <w:r w:rsidR="00531211" w:rsidRPr="00531211">
        <w:t>Règlement n</w:t>
      </w:r>
      <w:r w:rsidR="00531211" w:rsidRPr="00531211">
        <w:rPr>
          <w:vertAlign w:val="superscript"/>
        </w:rPr>
        <w:t>o</w:t>
      </w:r>
      <w:r w:rsidR="00531211" w:rsidRPr="00531211">
        <w:t> 41 (Bruit émis par les motocycles): Extension</w:t>
      </w:r>
      <w:r w:rsidR="00531211">
        <w:br/>
      </w:r>
      <w:r w:rsidR="00531211" w:rsidRPr="00531211">
        <w:t>(point 3 de l</w:t>
      </w:r>
      <w:r w:rsidR="00E42E9D">
        <w:t>’</w:t>
      </w:r>
      <w:r w:rsidR="00531211" w:rsidRPr="00531211">
        <w:t>ordre du jour)</w:t>
      </w:r>
      <w:r w:rsidRPr="00FA2F29">
        <w:tab/>
      </w:r>
      <w:r w:rsidRPr="00FA2F29">
        <w:tab/>
      </w:r>
      <w:r w:rsidR="00531211">
        <w:t>6−7</w:t>
      </w:r>
      <w:r w:rsidRPr="00FA2F29">
        <w:tab/>
      </w:r>
      <w:r w:rsidR="00023D91">
        <w:t>4</w:t>
      </w:r>
    </w:p>
    <w:p w:rsidR="00FA2F29" w:rsidRDefault="00FA2F29" w:rsidP="00FA2F29">
      <w:pPr>
        <w:tabs>
          <w:tab w:val="right" w:pos="850"/>
          <w:tab w:val="right" w:leader="dot" w:pos="7654"/>
          <w:tab w:val="right" w:pos="8929"/>
          <w:tab w:val="right" w:pos="9638"/>
        </w:tabs>
        <w:spacing w:after="120"/>
        <w:ind w:left="1134" w:hanging="1134"/>
      </w:pPr>
      <w:r>
        <w:tab/>
        <w:t>V.</w:t>
      </w:r>
      <w:r>
        <w:tab/>
      </w:r>
      <w:r w:rsidR="00531211" w:rsidRPr="00531211">
        <w:t>Règlement n</w:t>
      </w:r>
      <w:r w:rsidR="00531211" w:rsidRPr="00531211">
        <w:rPr>
          <w:vertAlign w:val="superscript"/>
        </w:rPr>
        <w:t>o</w:t>
      </w:r>
      <w:r w:rsidR="00531211" w:rsidRPr="00531211">
        <w:t> 51 (Bruit des véhicules des catégories M et N)</w:t>
      </w:r>
      <w:r w:rsidR="00531211">
        <w:br/>
      </w:r>
      <w:r w:rsidR="00531211" w:rsidRPr="00531211">
        <w:t>(point 4 de l</w:t>
      </w:r>
      <w:r w:rsidR="00E42E9D">
        <w:t>’</w:t>
      </w:r>
      <w:r w:rsidR="00531211" w:rsidRPr="00531211">
        <w:t>ordre du jour)</w:t>
      </w:r>
      <w:r>
        <w:tab/>
      </w:r>
      <w:r>
        <w:tab/>
      </w:r>
      <w:r w:rsidR="00531211">
        <w:t>8−11</w:t>
      </w:r>
      <w:r>
        <w:tab/>
      </w:r>
      <w:r w:rsidR="00023D91">
        <w:t>4</w:t>
      </w:r>
    </w:p>
    <w:p w:rsidR="00FA2F29" w:rsidRPr="00FA2F29" w:rsidRDefault="00FA2F29" w:rsidP="00FA2F29">
      <w:pPr>
        <w:tabs>
          <w:tab w:val="right" w:leader="dot" w:pos="7654"/>
          <w:tab w:val="right" w:pos="8929"/>
          <w:tab w:val="right" w:pos="9638"/>
        </w:tabs>
        <w:spacing w:after="120"/>
        <w:ind w:left="1559" w:hanging="425"/>
      </w:pPr>
      <w:r w:rsidRPr="00FA2F29">
        <w:t>A.</w:t>
      </w:r>
      <w:r w:rsidRPr="00FA2F29">
        <w:tab/>
      </w:r>
      <w:r w:rsidR="00F81C08" w:rsidRPr="00F81C08">
        <w:t>Extension</w:t>
      </w:r>
      <w:r w:rsidRPr="00FA2F29">
        <w:tab/>
      </w:r>
      <w:r w:rsidRPr="00FA2F29">
        <w:tab/>
      </w:r>
      <w:r w:rsidR="00531211">
        <w:t>8−10</w:t>
      </w:r>
      <w:r w:rsidRPr="00FA2F29">
        <w:tab/>
      </w:r>
      <w:r w:rsidR="00023D91">
        <w:t>4</w:t>
      </w:r>
    </w:p>
    <w:p w:rsidR="00FA2F29" w:rsidRDefault="00FA2F29" w:rsidP="00FA2F29">
      <w:pPr>
        <w:tabs>
          <w:tab w:val="right" w:leader="dot" w:pos="7654"/>
          <w:tab w:val="right" w:pos="8929"/>
          <w:tab w:val="right" w:pos="9638"/>
        </w:tabs>
        <w:spacing w:after="120"/>
        <w:ind w:left="1559" w:hanging="425"/>
      </w:pPr>
      <w:r>
        <w:t>B.</w:t>
      </w:r>
      <w:r>
        <w:tab/>
      </w:r>
      <w:r w:rsidR="00F81C08" w:rsidRPr="00F81C08">
        <w:t>Prescriptions supplémentaires applicables aux émissions sonores</w:t>
      </w:r>
      <w:r>
        <w:tab/>
      </w:r>
      <w:r>
        <w:tab/>
      </w:r>
      <w:r w:rsidR="00531211">
        <w:t>11</w:t>
      </w:r>
      <w:r>
        <w:tab/>
      </w:r>
      <w:r w:rsidR="00023D91">
        <w:t>5</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r>
      <w:r>
        <w:t>V</w:t>
      </w:r>
      <w:r w:rsidRPr="00FA2F29">
        <w:t>I.</w:t>
      </w:r>
      <w:r w:rsidRPr="00FA2F29">
        <w:tab/>
      </w:r>
      <w:r w:rsidR="00F81C08" w:rsidRPr="00F81C08">
        <w:t>Règlement n</w:t>
      </w:r>
      <w:r w:rsidR="00F81C08" w:rsidRPr="00F81C08">
        <w:rPr>
          <w:vertAlign w:val="superscript"/>
        </w:rPr>
        <w:t>o</w:t>
      </w:r>
      <w:r w:rsidR="00F81C08" w:rsidRPr="00F81C08">
        <w:t> 59 (Dispositifs silencieux d</w:t>
      </w:r>
      <w:r w:rsidR="00E42E9D">
        <w:t>’</w:t>
      </w:r>
      <w:r w:rsidR="00F81C08" w:rsidRPr="00F81C08">
        <w:t>échappement</w:t>
      </w:r>
      <w:r w:rsidR="00F81C08">
        <w:t xml:space="preserve"> </w:t>
      </w:r>
      <w:r w:rsidR="00F81C08" w:rsidRPr="00F81C08">
        <w:t>de remplacement)</w:t>
      </w:r>
      <w:r w:rsidR="00F81C08">
        <w:br/>
      </w:r>
      <w:r w:rsidR="00F81C08" w:rsidRPr="00F81C08">
        <w:t>(point 5 de l</w:t>
      </w:r>
      <w:r w:rsidR="00E42E9D">
        <w:t>’</w:t>
      </w:r>
      <w:r w:rsidR="00F81C08" w:rsidRPr="00F81C08">
        <w:t>ordre du jour)</w:t>
      </w:r>
      <w:r w:rsidRPr="00FA2F29">
        <w:tab/>
      </w:r>
      <w:r w:rsidRPr="00FA2F29">
        <w:tab/>
      </w:r>
      <w:r w:rsidR="00531211">
        <w:t>12</w:t>
      </w:r>
      <w:r w:rsidRPr="00FA2F29">
        <w:tab/>
      </w:r>
      <w:r w:rsidR="00023D91">
        <w:t>5</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r>
      <w:r>
        <w:t>V</w:t>
      </w:r>
      <w:r w:rsidRPr="00FA2F29">
        <w:t>I</w:t>
      </w:r>
      <w:r>
        <w:t>I</w:t>
      </w:r>
      <w:r w:rsidRPr="00FA2F29">
        <w:t>.</w:t>
      </w:r>
      <w:r w:rsidRPr="00FA2F29">
        <w:tab/>
      </w:r>
      <w:r w:rsidR="00023D91" w:rsidRPr="00023D91">
        <w:t>Règlement n</w:t>
      </w:r>
      <w:r w:rsidR="00023D91" w:rsidRPr="00023D91">
        <w:rPr>
          <w:vertAlign w:val="superscript"/>
        </w:rPr>
        <w:t>o</w:t>
      </w:r>
      <w:r w:rsidR="00023D91" w:rsidRPr="00023D91">
        <w:t> 92 (Dispositifs silencieux d</w:t>
      </w:r>
      <w:r w:rsidR="00E42E9D">
        <w:t>’</w:t>
      </w:r>
      <w:r w:rsidR="00023D91" w:rsidRPr="00023D91">
        <w:t>échappement de remplacement</w:t>
      </w:r>
      <w:r w:rsidR="00023D91">
        <w:br/>
      </w:r>
      <w:r w:rsidR="00023D91" w:rsidRPr="00023D91">
        <w:t>pour motocycles) (point 6 de l</w:t>
      </w:r>
      <w:r w:rsidR="00E42E9D">
        <w:t>’</w:t>
      </w:r>
      <w:r w:rsidR="00023D91" w:rsidRPr="00023D91">
        <w:t>ordre du jour)</w:t>
      </w:r>
      <w:r w:rsidRPr="00FA2F29">
        <w:tab/>
      </w:r>
      <w:r w:rsidRPr="00FA2F29">
        <w:tab/>
      </w:r>
      <w:r w:rsidR="00531211">
        <w:t>13</w:t>
      </w:r>
      <w:r w:rsidRPr="00FA2F29">
        <w:tab/>
      </w:r>
      <w:r w:rsidR="00023D91">
        <w:t>5</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r>
      <w:r>
        <w:t>V</w:t>
      </w:r>
      <w:r w:rsidRPr="00FA2F29">
        <w:t>I</w:t>
      </w:r>
      <w:r>
        <w:t>II</w:t>
      </w:r>
      <w:r w:rsidRPr="00FA2F29">
        <w:t>.</w:t>
      </w:r>
      <w:r w:rsidRPr="00FA2F29">
        <w:tab/>
      </w:r>
      <w:r w:rsidR="00023D91" w:rsidRPr="00023D91">
        <w:t>Règlement n</w:t>
      </w:r>
      <w:r w:rsidR="00023D91" w:rsidRPr="00023D91">
        <w:rPr>
          <w:vertAlign w:val="superscript"/>
        </w:rPr>
        <w:t>o</w:t>
      </w:r>
      <w:r w:rsidR="00023D91" w:rsidRPr="00023D91">
        <w:t xml:space="preserve"> 117 (Pneumatiques </w:t>
      </w:r>
      <w:r w:rsidR="00251799">
        <w:t>− </w:t>
      </w:r>
      <w:r w:rsidR="00023D91" w:rsidRPr="00023D91">
        <w:t>Résistance au roulement, bruit de roulement</w:t>
      </w:r>
      <w:r w:rsidR="00023D91">
        <w:br/>
      </w:r>
      <w:r w:rsidR="00023D91" w:rsidRPr="00023D91">
        <w:t>et adhérence sur sol mouillé)</w:t>
      </w:r>
      <w:r w:rsidR="00023D91">
        <w:t xml:space="preserve"> </w:t>
      </w:r>
      <w:r w:rsidR="00023D91" w:rsidRPr="00023D91">
        <w:t>(point 7 de l</w:t>
      </w:r>
      <w:r w:rsidR="00E42E9D">
        <w:t>’</w:t>
      </w:r>
      <w:r w:rsidR="00023D91" w:rsidRPr="00023D91">
        <w:t>ordre du jour)</w:t>
      </w:r>
      <w:r w:rsidRPr="00FA2F29">
        <w:tab/>
      </w:r>
      <w:r w:rsidRPr="00FA2F29">
        <w:tab/>
      </w:r>
      <w:r w:rsidR="00531211">
        <w:t>14−16</w:t>
      </w:r>
      <w:r w:rsidRPr="00FA2F29">
        <w:tab/>
      </w:r>
      <w:r w:rsidR="00023D91">
        <w:t>5</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t>I</w:t>
      </w:r>
      <w:r>
        <w:t>X</w:t>
      </w:r>
      <w:r w:rsidRPr="00FA2F29">
        <w:t>.</w:t>
      </w:r>
      <w:r w:rsidRPr="00FA2F29">
        <w:tab/>
      </w:r>
      <w:r w:rsidR="00023D91" w:rsidRPr="00023D91">
        <w:t>Amendements collectifs (point 8 de l</w:t>
      </w:r>
      <w:r w:rsidR="00E42E9D">
        <w:t>’</w:t>
      </w:r>
      <w:r w:rsidR="00023D91" w:rsidRPr="00023D91">
        <w:t>ordre du jour): Prescriptions</w:t>
      </w:r>
      <w:r w:rsidR="00023D91">
        <w:br/>
      </w:r>
      <w:r w:rsidR="00023D91" w:rsidRPr="00023D91">
        <w:t>supplémentaires visant les Règlements</w:t>
      </w:r>
      <w:r w:rsidR="00023D91">
        <w:t xml:space="preserve"> </w:t>
      </w:r>
      <w:r w:rsidR="00023D91" w:rsidRPr="00023D91">
        <w:t>n</w:t>
      </w:r>
      <w:r w:rsidR="00023D91" w:rsidRPr="00023D91">
        <w:rPr>
          <w:vertAlign w:val="superscript"/>
        </w:rPr>
        <w:t>os</w:t>
      </w:r>
      <w:r w:rsidR="00023D91" w:rsidRPr="00023D91">
        <w:t> 9, 41 et 63</w:t>
      </w:r>
      <w:r w:rsidRPr="00FA2F29">
        <w:tab/>
      </w:r>
      <w:r w:rsidRPr="00FA2F29">
        <w:tab/>
      </w:r>
      <w:r w:rsidR="00531211">
        <w:t>17</w:t>
      </w:r>
      <w:r w:rsidRPr="00FA2F29">
        <w:tab/>
      </w:r>
      <w:r w:rsidR="00023D91">
        <w:t>6</w:t>
      </w:r>
    </w:p>
    <w:p w:rsidR="00FA2F29" w:rsidRPr="00FA2F29" w:rsidRDefault="00FA2F29" w:rsidP="00FA2F29">
      <w:pPr>
        <w:tabs>
          <w:tab w:val="right" w:pos="850"/>
          <w:tab w:val="right" w:leader="dot" w:pos="7654"/>
          <w:tab w:val="right" w:pos="8929"/>
          <w:tab w:val="right" w:pos="9638"/>
        </w:tabs>
        <w:spacing w:after="120"/>
        <w:ind w:left="1134" w:hanging="1134"/>
      </w:pPr>
      <w:r w:rsidRPr="00FA2F29">
        <w:lastRenderedPageBreak/>
        <w:tab/>
      </w:r>
      <w:r>
        <w:t>X</w:t>
      </w:r>
      <w:r w:rsidRPr="00FA2F29">
        <w:t>.</w:t>
      </w:r>
      <w:r w:rsidRPr="00FA2F29">
        <w:tab/>
      </w:r>
      <w:r w:rsidR="00023D91" w:rsidRPr="00023D91">
        <w:t>Échange de renseignements sur les prescriptions nationales</w:t>
      </w:r>
      <w:r w:rsidR="00023D91">
        <w:t xml:space="preserve"> </w:t>
      </w:r>
      <w:r w:rsidR="00023D91" w:rsidRPr="00023D91">
        <w:t>et internationales</w:t>
      </w:r>
      <w:r w:rsidR="00023D91">
        <w:br/>
      </w:r>
      <w:r w:rsidR="00023D91" w:rsidRPr="00023D91">
        <w:t>en matière de niveau sonore</w:t>
      </w:r>
      <w:r w:rsidR="00023D91">
        <w:t xml:space="preserve"> </w:t>
      </w:r>
      <w:r w:rsidR="00023D91" w:rsidRPr="00023D91">
        <w:t>(point 9 de l</w:t>
      </w:r>
      <w:r w:rsidR="00E42E9D">
        <w:t>’</w:t>
      </w:r>
      <w:r w:rsidR="00023D91" w:rsidRPr="00023D91">
        <w:t>ordre du jour)</w:t>
      </w:r>
      <w:r w:rsidRPr="00FA2F29">
        <w:tab/>
      </w:r>
      <w:r w:rsidRPr="00FA2F29">
        <w:tab/>
      </w:r>
      <w:r w:rsidR="00531211">
        <w:t>18−20</w:t>
      </w:r>
      <w:r w:rsidRPr="00FA2F29">
        <w:tab/>
      </w:r>
      <w:r w:rsidR="00023D91">
        <w:t>6</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r>
      <w:r>
        <w:t>X</w:t>
      </w:r>
      <w:r w:rsidRPr="00FA2F29">
        <w:t>I.</w:t>
      </w:r>
      <w:r w:rsidRPr="00FA2F29">
        <w:tab/>
      </w:r>
      <w:r w:rsidR="00023D91" w:rsidRPr="00023D91">
        <w:t>Incidences du revêtement de la route sur le bruit de roulement des pneumatiques</w:t>
      </w:r>
      <w:r w:rsidR="00023D91">
        <w:br/>
      </w:r>
      <w:r w:rsidR="00023D91" w:rsidRPr="00023D91">
        <w:t>(point 10 de l</w:t>
      </w:r>
      <w:r w:rsidR="00E42E9D">
        <w:t>’</w:t>
      </w:r>
      <w:r w:rsidR="00023D91" w:rsidRPr="00023D91">
        <w:t>ordre du jour)</w:t>
      </w:r>
      <w:r w:rsidRPr="00FA2F29">
        <w:tab/>
      </w:r>
      <w:r w:rsidRPr="00FA2F29">
        <w:tab/>
      </w:r>
      <w:r w:rsidR="00531211">
        <w:t>21−22</w:t>
      </w:r>
      <w:r w:rsidRPr="00FA2F29">
        <w:tab/>
      </w:r>
      <w:r w:rsidR="00023D91">
        <w:t>7</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r>
      <w:r>
        <w:t>X</w:t>
      </w:r>
      <w:r w:rsidRPr="00FA2F29">
        <w:t>II.</w:t>
      </w:r>
      <w:r w:rsidRPr="00FA2F29">
        <w:tab/>
      </w:r>
      <w:r w:rsidR="00023D91" w:rsidRPr="00023D91">
        <w:t>Véhicules à moteur silencieux (point 11 de l</w:t>
      </w:r>
      <w:r w:rsidR="00E42E9D">
        <w:t>’</w:t>
      </w:r>
      <w:r w:rsidR="00023D91" w:rsidRPr="00023D91">
        <w:t>ordre du jour)</w:t>
      </w:r>
      <w:r w:rsidRPr="00FA2F29">
        <w:tab/>
      </w:r>
      <w:r w:rsidRPr="00FA2F29">
        <w:tab/>
      </w:r>
      <w:r w:rsidR="00531211">
        <w:t>23−26</w:t>
      </w:r>
      <w:r w:rsidRPr="00FA2F29">
        <w:tab/>
      </w:r>
      <w:r w:rsidR="00023D91">
        <w:t>8</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r>
      <w:r>
        <w:t>XI</w:t>
      </w:r>
      <w:r w:rsidR="00023D91">
        <w:t>I</w:t>
      </w:r>
      <w:r>
        <w:t>I</w:t>
      </w:r>
      <w:r w:rsidRPr="00FA2F29">
        <w:t>.</w:t>
      </w:r>
      <w:r w:rsidRPr="00FA2F29">
        <w:tab/>
      </w:r>
      <w:r w:rsidR="00023D91" w:rsidRPr="00023D91">
        <w:t>Définitions et sigles figurant dans les Règlements relevant</w:t>
      </w:r>
      <w:r w:rsidR="00023D91">
        <w:t xml:space="preserve"> </w:t>
      </w:r>
      <w:r w:rsidR="00023D91" w:rsidRPr="00023D91">
        <w:t>de la responsabilité</w:t>
      </w:r>
      <w:r w:rsidR="00023D91">
        <w:br/>
      </w:r>
      <w:r w:rsidR="00023D91" w:rsidRPr="00023D91">
        <w:t>du GRB (point 12 de l</w:t>
      </w:r>
      <w:r w:rsidR="00E42E9D">
        <w:t>’</w:t>
      </w:r>
      <w:r w:rsidR="00023D91" w:rsidRPr="00023D91">
        <w:t>ordre du jour)</w:t>
      </w:r>
      <w:r w:rsidRPr="00FA2F29">
        <w:tab/>
      </w:r>
      <w:r w:rsidRPr="00FA2F29">
        <w:tab/>
      </w:r>
      <w:r w:rsidR="00531211">
        <w:t>27</w:t>
      </w:r>
      <w:r w:rsidRPr="00FA2F29">
        <w:tab/>
      </w:r>
      <w:r w:rsidR="00023D91">
        <w:t>8</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r>
      <w:r>
        <w:t>XIV</w:t>
      </w:r>
      <w:r w:rsidRPr="00FA2F29">
        <w:t>.</w:t>
      </w:r>
      <w:r w:rsidRPr="00FA2F29">
        <w:tab/>
      </w:r>
      <w:r w:rsidR="00023D91" w:rsidRPr="00023D91">
        <w:t>Propositions d</w:t>
      </w:r>
      <w:r w:rsidR="00E42E9D">
        <w:t>’</w:t>
      </w:r>
      <w:r w:rsidR="00023D91" w:rsidRPr="00023D91">
        <w:t>amendements à la Résolution d</w:t>
      </w:r>
      <w:r w:rsidR="00E42E9D">
        <w:t>’</w:t>
      </w:r>
      <w:r w:rsidR="00023D91" w:rsidRPr="00023D91">
        <w:t>ensemble</w:t>
      </w:r>
      <w:r w:rsidR="00023D91">
        <w:t xml:space="preserve"> </w:t>
      </w:r>
      <w:r w:rsidR="00023D91" w:rsidRPr="00023D91">
        <w:t>sur la construction</w:t>
      </w:r>
      <w:r w:rsidR="00023D91">
        <w:br/>
      </w:r>
      <w:r w:rsidR="00023D91" w:rsidRPr="00023D91">
        <w:t>des véhicules (point 13 de l</w:t>
      </w:r>
      <w:r w:rsidR="00E42E9D">
        <w:t>’</w:t>
      </w:r>
      <w:r w:rsidR="00023D91" w:rsidRPr="00023D91">
        <w:t>ordre du jour)</w:t>
      </w:r>
      <w:r w:rsidRPr="00FA2F29">
        <w:tab/>
      </w:r>
      <w:r w:rsidRPr="00FA2F29">
        <w:tab/>
      </w:r>
      <w:r w:rsidR="00531211">
        <w:t>28</w:t>
      </w:r>
      <w:r w:rsidRPr="00FA2F29">
        <w:tab/>
      </w:r>
      <w:r w:rsidR="00023D91">
        <w:t>9</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r>
      <w:r>
        <w:t>XV</w:t>
      </w:r>
      <w:r w:rsidRPr="00FA2F29">
        <w:t>.</w:t>
      </w:r>
      <w:r w:rsidRPr="00FA2F29">
        <w:tab/>
      </w:r>
      <w:r w:rsidR="00023D91" w:rsidRPr="00023D91">
        <w:t>Mise au point d</w:t>
      </w:r>
      <w:r w:rsidR="00E42E9D">
        <w:t>’</w:t>
      </w:r>
      <w:r w:rsidR="00023D91" w:rsidRPr="00023D91">
        <w:t>une homologation de type internationale</w:t>
      </w:r>
      <w:r w:rsidR="00023D91">
        <w:t xml:space="preserve"> </w:t>
      </w:r>
      <w:r w:rsidR="00023D91" w:rsidRPr="00023D91">
        <w:t>de l</w:t>
      </w:r>
      <w:r w:rsidR="00E42E9D">
        <w:t>’</w:t>
      </w:r>
      <w:r w:rsidR="00023D91" w:rsidRPr="00023D91">
        <w:t>ensemble</w:t>
      </w:r>
      <w:r w:rsidR="00023D91">
        <w:br/>
      </w:r>
      <w:r w:rsidR="00023D91" w:rsidRPr="00023D91">
        <w:t>du véhicule (IWVTA) et participation</w:t>
      </w:r>
      <w:r w:rsidR="00023D91">
        <w:t xml:space="preserve"> </w:t>
      </w:r>
      <w:r w:rsidR="00023D91" w:rsidRPr="00023D91">
        <w:t>des Groupes de travail</w:t>
      </w:r>
      <w:r w:rsidR="00023D91">
        <w:br/>
      </w:r>
      <w:r w:rsidR="00023D91" w:rsidRPr="00023D91">
        <w:t>à cette entreprise</w:t>
      </w:r>
      <w:r w:rsidR="00023D91">
        <w:t xml:space="preserve"> </w:t>
      </w:r>
      <w:r w:rsidR="00023D91" w:rsidRPr="00023D91">
        <w:t>(point 14 de l</w:t>
      </w:r>
      <w:r w:rsidR="00E42E9D">
        <w:t>’</w:t>
      </w:r>
      <w:r w:rsidR="00023D91" w:rsidRPr="00023D91">
        <w:t>ordre du jour)</w:t>
      </w:r>
      <w:r w:rsidRPr="00FA2F29">
        <w:tab/>
      </w:r>
      <w:r w:rsidRPr="00FA2F29">
        <w:tab/>
      </w:r>
      <w:r w:rsidR="00531211">
        <w:t>29</w:t>
      </w:r>
      <w:r w:rsidRPr="00FA2F29">
        <w:tab/>
      </w:r>
      <w:r w:rsidR="00023D91">
        <w:t>9</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r>
      <w:r>
        <w:t>XV</w:t>
      </w:r>
      <w:r w:rsidRPr="00FA2F29">
        <w:t>I.</w:t>
      </w:r>
      <w:r w:rsidRPr="00FA2F29">
        <w:tab/>
      </w:r>
      <w:r w:rsidR="00023D91" w:rsidRPr="00023D91">
        <w:t>Points saillants de la session du WP.29 de novembre 2014</w:t>
      </w:r>
      <w:r w:rsidR="00023D91">
        <w:br/>
      </w:r>
      <w:r w:rsidR="00023D91" w:rsidRPr="00023D91">
        <w:t>(point 15 de l</w:t>
      </w:r>
      <w:r w:rsidR="00E42E9D">
        <w:t>’</w:t>
      </w:r>
      <w:r w:rsidR="00023D91" w:rsidRPr="00023D91">
        <w:t>ordre du jour)</w:t>
      </w:r>
      <w:r w:rsidRPr="00FA2F29">
        <w:tab/>
      </w:r>
      <w:r w:rsidRPr="00FA2F29">
        <w:tab/>
      </w:r>
      <w:r w:rsidR="00531211">
        <w:t>30</w:t>
      </w:r>
      <w:r w:rsidRPr="00FA2F29">
        <w:tab/>
      </w:r>
      <w:r w:rsidR="00023D91">
        <w:t>9</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r>
      <w:r>
        <w:t>XV</w:t>
      </w:r>
      <w:r w:rsidRPr="00FA2F29">
        <w:t>II.</w:t>
      </w:r>
      <w:r w:rsidRPr="00FA2F29">
        <w:tab/>
      </w:r>
      <w:r w:rsidR="00023D91" w:rsidRPr="00023D91">
        <w:t>Échange de vues sur le futur programme de travail du GRB</w:t>
      </w:r>
      <w:r w:rsidR="00023D91">
        <w:br/>
      </w:r>
      <w:r w:rsidR="00023D91" w:rsidRPr="00023D91">
        <w:t>(point 16 de l</w:t>
      </w:r>
      <w:r w:rsidR="00E42E9D">
        <w:t>’</w:t>
      </w:r>
      <w:r w:rsidR="00023D91" w:rsidRPr="00023D91">
        <w:t>ordre du jour)</w:t>
      </w:r>
      <w:r w:rsidRPr="00FA2F29">
        <w:tab/>
      </w:r>
      <w:r w:rsidRPr="00FA2F29">
        <w:tab/>
      </w:r>
      <w:r w:rsidR="00531211">
        <w:t>31</w:t>
      </w:r>
      <w:r w:rsidRPr="00FA2F29">
        <w:tab/>
      </w:r>
      <w:r w:rsidR="00023D91">
        <w:t>9</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r>
      <w:r w:rsidR="0013564E">
        <w:t>XVIII</w:t>
      </w:r>
      <w:r w:rsidRPr="00FA2F29">
        <w:t>.</w:t>
      </w:r>
      <w:r w:rsidRPr="00FA2F29">
        <w:tab/>
      </w:r>
      <w:r w:rsidR="00023D91" w:rsidRPr="00023D91">
        <w:t>Questions diverses (point 17 de l</w:t>
      </w:r>
      <w:r w:rsidR="00E42E9D">
        <w:t>’</w:t>
      </w:r>
      <w:r w:rsidR="00023D91" w:rsidRPr="00023D91">
        <w:t>ordre du jour)</w:t>
      </w:r>
      <w:r w:rsidRPr="00FA2F29">
        <w:tab/>
      </w:r>
      <w:r w:rsidRPr="00FA2F29">
        <w:tab/>
      </w:r>
      <w:r w:rsidR="00531211">
        <w:t>32−34</w:t>
      </w:r>
      <w:r w:rsidRPr="00FA2F29">
        <w:tab/>
      </w:r>
      <w:r w:rsidR="00023D91">
        <w:t>10</w:t>
      </w:r>
    </w:p>
    <w:p w:rsidR="00FA2F29" w:rsidRPr="00FA2F29" w:rsidRDefault="00FA2F29" w:rsidP="00FA2F29">
      <w:pPr>
        <w:tabs>
          <w:tab w:val="right" w:pos="850"/>
          <w:tab w:val="right" w:leader="dot" w:pos="7654"/>
          <w:tab w:val="right" w:pos="8929"/>
          <w:tab w:val="right" w:pos="9638"/>
        </w:tabs>
        <w:spacing w:after="120"/>
        <w:ind w:left="1134" w:hanging="1134"/>
      </w:pPr>
      <w:r w:rsidRPr="00FA2F29">
        <w:tab/>
      </w:r>
      <w:r w:rsidR="0013564E">
        <w:t>XIX</w:t>
      </w:r>
      <w:r w:rsidRPr="00FA2F29">
        <w:t>.</w:t>
      </w:r>
      <w:r w:rsidRPr="00FA2F29">
        <w:tab/>
      </w:r>
      <w:r w:rsidR="00023D91" w:rsidRPr="00023D91">
        <w:t>Ordre du jour provisoire de la soixante</w:t>
      </w:r>
      <w:r w:rsidR="00D37FAD">
        <w:t>-</w:t>
      </w:r>
      <w:r w:rsidR="00023D91" w:rsidRPr="00023D91">
        <w:t>deuxième session</w:t>
      </w:r>
      <w:r w:rsidR="00023D91">
        <w:br/>
      </w:r>
      <w:r w:rsidR="00023D91" w:rsidRPr="00023D91">
        <w:t>(point 18 de l</w:t>
      </w:r>
      <w:r w:rsidR="00E42E9D">
        <w:t>’</w:t>
      </w:r>
      <w:r w:rsidR="00023D91" w:rsidRPr="00023D91">
        <w:t>ordre du jour)</w:t>
      </w:r>
      <w:r w:rsidR="00023D91" w:rsidRPr="00023D91">
        <w:tab/>
      </w:r>
      <w:r w:rsidRPr="00FA2F29">
        <w:tab/>
      </w:r>
      <w:r w:rsidR="00023D91">
        <w:t>35</w:t>
      </w:r>
      <w:r w:rsidRPr="00FA2F29">
        <w:tab/>
      </w:r>
      <w:r w:rsidR="00023D91">
        <w:t>10</w:t>
      </w:r>
      <w:r w:rsidRPr="00FA2F29">
        <w:tab/>
      </w:r>
    </w:p>
    <w:p w:rsidR="00FA2F29" w:rsidRPr="00FA2F29" w:rsidRDefault="00FA2F29" w:rsidP="00FA2F29">
      <w:pPr>
        <w:tabs>
          <w:tab w:val="right" w:pos="850"/>
        </w:tabs>
        <w:spacing w:after="120"/>
      </w:pPr>
      <w:r>
        <w:tab/>
        <w:t>Annexes</w:t>
      </w:r>
    </w:p>
    <w:p w:rsidR="0013564E" w:rsidRPr="00FA2F29" w:rsidRDefault="0013564E" w:rsidP="0013564E">
      <w:pPr>
        <w:tabs>
          <w:tab w:val="right" w:pos="850"/>
          <w:tab w:val="right" w:leader="dot" w:pos="7654"/>
          <w:tab w:val="right" w:pos="8929"/>
          <w:tab w:val="right" w:pos="9638"/>
        </w:tabs>
        <w:spacing w:after="120"/>
        <w:ind w:left="1134" w:hanging="1134"/>
      </w:pPr>
      <w:r w:rsidRPr="00FA2F29">
        <w:tab/>
        <w:t>I.</w:t>
      </w:r>
      <w:r w:rsidRPr="00FA2F29">
        <w:tab/>
      </w:r>
      <w:r w:rsidR="00023D91" w:rsidRPr="00023D91">
        <w:t>Liste des documents informels distribués pendant la session (GRB-61...)</w:t>
      </w:r>
      <w:r w:rsidRPr="00FA2F29">
        <w:tab/>
      </w:r>
      <w:r w:rsidRPr="00FA2F29">
        <w:tab/>
      </w:r>
      <w:r w:rsidRPr="00FA2F29">
        <w:tab/>
      </w:r>
      <w:r w:rsidR="00023D91">
        <w:t>12</w:t>
      </w:r>
    </w:p>
    <w:p w:rsidR="0013564E" w:rsidRPr="00FA2F29" w:rsidRDefault="0013564E" w:rsidP="0013564E">
      <w:pPr>
        <w:tabs>
          <w:tab w:val="right" w:pos="850"/>
          <w:tab w:val="right" w:leader="dot" w:pos="7654"/>
          <w:tab w:val="right" w:pos="8929"/>
          <w:tab w:val="right" w:pos="9638"/>
        </w:tabs>
        <w:spacing w:after="120"/>
        <w:ind w:left="1134" w:hanging="1134"/>
      </w:pPr>
      <w:r w:rsidRPr="00FA2F29">
        <w:tab/>
        <w:t>I</w:t>
      </w:r>
      <w:r>
        <w:t>I</w:t>
      </w:r>
      <w:r w:rsidRPr="00FA2F29">
        <w:t>.</w:t>
      </w:r>
      <w:r w:rsidRPr="00FA2F29">
        <w:tab/>
      </w:r>
      <w:r w:rsidR="00023D91" w:rsidRPr="00023D91">
        <w:t>Modifications du document ECE/TRANS/WP.29/GRB/2014/4 adoptées</w:t>
      </w:r>
      <w:r w:rsidRPr="00FA2F29">
        <w:tab/>
      </w:r>
      <w:r w:rsidRPr="00FA2F29">
        <w:tab/>
      </w:r>
      <w:r w:rsidRPr="00FA2F29">
        <w:tab/>
      </w:r>
      <w:r w:rsidR="00023D91">
        <w:t>14</w:t>
      </w:r>
    </w:p>
    <w:p w:rsidR="0013564E" w:rsidRPr="00FA2F29" w:rsidRDefault="0013564E" w:rsidP="0013564E">
      <w:pPr>
        <w:tabs>
          <w:tab w:val="right" w:pos="850"/>
          <w:tab w:val="right" w:leader="dot" w:pos="7654"/>
          <w:tab w:val="right" w:pos="8929"/>
          <w:tab w:val="right" w:pos="9638"/>
        </w:tabs>
        <w:spacing w:after="120"/>
        <w:ind w:left="1134" w:hanging="1134"/>
      </w:pPr>
      <w:r w:rsidRPr="00FA2F29">
        <w:tab/>
        <w:t>I</w:t>
      </w:r>
      <w:r>
        <w:t>II</w:t>
      </w:r>
      <w:r w:rsidRPr="00FA2F29">
        <w:t>.</w:t>
      </w:r>
      <w:r w:rsidRPr="00FA2F29">
        <w:tab/>
      </w:r>
      <w:r w:rsidR="00023D91" w:rsidRPr="00023D91">
        <w:t>Modifications des documents ECE/TRANS/WP.29/GRB/2015/3</w:t>
      </w:r>
      <w:r w:rsidR="00023D91">
        <w:br/>
      </w:r>
      <w:r w:rsidR="00023D91" w:rsidRPr="00023D91">
        <w:t>et Corr.1 adoptées</w:t>
      </w:r>
      <w:r w:rsidRPr="00FA2F29">
        <w:tab/>
      </w:r>
      <w:r w:rsidRPr="00FA2F29">
        <w:tab/>
      </w:r>
      <w:r w:rsidRPr="00FA2F29">
        <w:tab/>
      </w:r>
      <w:r w:rsidR="00023D91">
        <w:t>15</w:t>
      </w:r>
    </w:p>
    <w:p w:rsidR="0013564E" w:rsidRPr="00FA2F29" w:rsidRDefault="0013564E" w:rsidP="0013564E">
      <w:pPr>
        <w:tabs>
          <w:tab w:val="right" w:pos="850"/>
          <w:tab w:val="right" w:leader="dot" w:pos="7654"/>
          <w:tab w:val="right" w:pos="8929"/>
          <w:tab w:val="right" w:pos="9638"/>
        </w:tabs>
        <w:spacing w:after="120"/>
        <w:ind w:left="1134" w:hanging="1134"/>
      </w:pPr>
      <w:r w:rsidRPr="00FA2F29">
        <w:tab/>
        <w:t>I</w:t>
      </w:r>
      <w:r>
        <w:t>V</w:t>
      </w:r>
      <w:r w:rsidRPr="00FA2F29">
        <w:t>.</w:t>
      </w:r>
      <w:r w:rsidRPr="00FA2F29">
        <w:tab/>
      </w:r>
      <w:r w:rsidR="00023D91" w:rsidRPr="00023D91">
        <w:t>Modifications du document ECE/TRANS/WP.29/GRB/2015/4 adoptées</w:t>
      </w:r>
      <w:r w:rsidRPr="00FA2F29">
        <w:tab/>
      </w:r>
      <w:r w:rsidRPr="00FA2F29">
        <w:tab/>
      </w:r>
      <w:r w:rsidRPr="00FA2F29">
        <w:tab/>
      </w:r>
      <w:r w:rsidR="00023D91">
        <w:t>18</w:t>
      </w:r>
    </w:p>
    <w:p w:rsidR="0013564E" w:rsidRDefault="0013564E" w:rsidP="0013564E">
      <w:pPr>
        <w:tabs>
          <w:tab w:val="right" w:pos="850"/>
          <w:tab w:val="right" w:leader="dot" w:pos="7654"/>
          <w:tab w:val="right" w:pos="8929"/>
          <w:tab w:val="right" w:pos="9638"/>
        </w:tabs>
        <w:spacing w:after="120"/>
        <w:ind w:left="1134" w:hanging="1134"/>
      </w:pPr>
      <w:r>
        <w:tab/>
        <w:t>V.</w:t>
      </w:r>
      <w:r>
        <w:tab/>
      </w:r>
      <w:r w:rsidR="00023D91" w:rsidRPr="00023D91">
        <w:t>Amendements au Règlement n</w:t>
      </w:r>
      <w:r w:rsidR="00023D91" w:rsidRPr="00023D91">
        <w:rPr>
          <w:vertAlign w:val="superscript"/>
        </w:rPr>
        <w:t>o</w:t>
      </w:r>
      <w:r w:rsidR="00023D91" w:rsidRPr="00023D91">
        <w:t> 117 adoptés (sur la base</w:t>
      </w:r>
      <w:r w:rsidR="00023D91">
        <w:t xml:space="preserve"> </w:t>
      </w:r>
      <w:r w:rsidR="00023D91" w:rsidRPr="00023D91">
        <w:t>du document</w:t>
      </w:r>
      <w:r w:rsidR="00023D91">
        <w:br/>
      </w:r>
      <w:r w:rsidR="00023D91" w:rsidRPr="00023D91">
        <w:t>ECE/TRANS/WP.29/GRB/2014/8)</w:t>
      </w:r>
      <w:r>
        <w:tab/>
      </w:r>
      <w:r>
        <w:tab/>
      </w:r>
      <w:r>
        <w:tab/>
      </w:r>
      <w:r w:rsidR="00023D91">
        <w:t>19</w:t>
      </w:r>
    </w:p>
    <w:p w:rsidR="0013564E" w:rsidRPr="00FA2F29" w:rsidRDefault="0013564E" w:rsidP="0013564E">
      <w:pPr>
        <w:tabs>
          <w:tab w:val="right" w:pos="850"/>
          <w:tab w:val="right" w:leader="dot" w:pos="7654"/>
          <w:tab w:val="right" w:pos="8929"/>
          <w:tab w:val="right" w:pos="9638"/>
        </w:tabs>
        <w:spacing w:after="120"/>
        <w:ind w:left="1134" w:hanging="1134"/>
      </w:pPr>
      <w:r w:rsidRPr="00FA2F29">
        <w:tab/>
      </w:r>
      <w:r>
        <w:t>V</w:t>
      </w:r>
      <w:r w:rsidRPr="00FA2F29">
        <w:t>I.</w:t>
      </w:r>
      <w:r w:rsidRPr="00FA2F29">
        <w:tab/>
      </w:r>
      <w:r w:rsidR="00023D91" w:rsidRPr="00023D91">
        <w:t>Amendements au Règlement n</w:t>
      </w:r>
      <w:r w:rsidR="00023D91" w:rsidRPr="00023D91">
        <w:rPr>
          <w:vertAlign w:val="superscript"/>
        </w:rPr>
        <w:t>o</w:t>
      </w:r>
      <w:r w:rsidR="00023D91" w:rsidRPr="00023D91">
        <w:t> 117 adoptés (sur la base</w:t>
      </w:r>
      <w:r w:rsidR="00023D91">
        <w:t xml:space="preserve"> </w:t>
      </w:r>
      <w:r w:rsidR="00023D91" w:rsidRPr="00023D91">
        <w:t>du document</w:t>
      </w:r>
      <w:r w:rsidR="00023D91">
        <w:br/>
      </w:r>
      <w:r w:rsidR="00023D91" w:rsidRPr="00023D91">
        <w:t>GRB-61-14)</w:t>
      </w:r>
      <w:r w:rsidRPr="00FA2F29">
        <w:tab/>
      </w:r>
      <w:r w:rsidRPr="00FA2F29">
        <w:tab/>
      </w:r>
      <w:r w:rsidRPr="00FA2F29">
        <w:tab/>
      </w:r>
      <w:r w:rsidR="00023D91">
        <w:t>20</w:t>
      </w:r>
    </w:p>
    <w:p w:rsidR="0013564E" w:rsidRPr="00FA2F29" w:rsidRDefault="0013564E" w:rsidP="0013564E">
      <w:pPr>
        <w:tabs>
          <w:tab w:val="right" w:pos="850"/>
          <w:tab w:val="right" w:leader="dot" w:pos="7654"/>
          <w:tab w:val="right" w:pos="8929"/>
          <w:tab w:val="right" w:pos="9638"/>
        </w:tabs>
        <w:spacing w:after="120"/>
        <w:ind w:left="1134" w:hanging="1134"/>
      </w:pPr>
      <w:r w:rsidRPr="00FA2F29">
        <w:tab/>
      </w:r>
      <w:r>
        <w:t>V</w:t>
      </w:r>
      <w:r w:rsidRPr="00FA2F29">
        <w:t>I</w:t>
      </w:r>
      <w:r>
        <w:t>I</w:t>
      </w:r>
      <w:r w:rsidRPr="00FA2F29">
        <w:t>.</w:t>
      </w:r>
      <w:r w:rsidRPr="00FA2F29">
        <w:tab/>
      </w:r>
      <w:r w:rsidR="00023D91" w:rsidRPr="00023D91">
        <w:t>Amendements au Règlement n</w:t>
      </w:r>
      <w:r w:rsidR="00023D91" w:rsidRPr="00023D91">
        <w:rPr>
          <w:vertAlign w:val="superscript"/>
        </w:rPr>
        <w:t>o</w:t>
      </w:r>
      <w:r w:rsidR="00023D91" w:rsidRPr="00023D91">
        <w:t> 9 adoptés (sur la base</w:t>
      </w:r>
      <w:r w:rsidR="00023D91">
        <w:t xml:space="preserve"> </w:t>
      </w:r>
      <w:r w:rsidR="00023D91" w:rsidRPr="00023D91">
        <w:t>du document</w:t>
      </w:r>
      <w:r w:rsidR="00023D91">
        <w:br/>
      </w:r>
      <w:r w:rsidR="00023D91" w:rsidRPr="00023D91">
        <w:t>ECE/TRANS/WP.29/GRB/2015/5)</w:t>
      </w:r>
      <w:r w:rsidRPr="00FA2F29">
        <w:tab/>
      </w:r>
      <w:r w:rsidRPr="00FA2F29">
        <w:tab/>
      </w:r>
      <w:r w:rsidRPr="00FA2F29">
        <w:tab/>
      </w:r>
      <w:r w:rsidR="00023D91">
        <w:t>21</w:t>
      </w:r>
    </w:p>
    <w:p w:rsidR="0013564E" w:rsidRPr="00FA2F29" w:rsidRDefault="0013564E" w:rsidP="0013564E">
      <w:pPr>
        <w:tabs>
          <w:tab w:val="right" w:pos="850"/>
          <w:tab w:val="right" w:leader="dot" w:pos="7654"/>
          <w:tab w:val="right" w:pos="8929"/>
          <w:tab w:val="right" w:pos="9638"/>
        </w:tabs>
        <w:spacing w:after="120"/>
        <w:ind w:left="1134" w:hanging="1134"/>
      </w:pPr>
      <w:r w:rsidRPr="00FA2F29">
        <w:tab/>
      </w:r>
      <w:r>
        <w:t>V</w:t>
      </w:r>
      <w:r w:rsidRPr="00FA2F29">
        <w:t>I</w:t>
      </w:r>
      <w:r>
        <w:t>II</w:t>
      </w:r>
      <w:r w:rsidRPr="00FA2F29">
        <w:t>.</w:t>
      </w:r>
      <w:r w:rsidRPr="00FA2F29">
        <w:tab/>
      </w:r>
      <w:r w:rsidR="00023D91" w:rsidRPr="00023D91">
        <w:t>Amendements au Règlement n</w:t>
      </w:r>
      <w:r w:rsidR="00023D91" w:rsidRPr="00023D91">
        <w:rPr>
          <w:vertAlign w:val="superscript"/>
        </w:rPr>
        <w:t>o</w:t>
      </w:r>
      <w:r w:rsidR="00023D91" w:rsidRPr="00023D91">
        <w:t> 41 adoptés (sur la base</w:t>
      </w:r>
      <w:r w:rsidR="00023D91">
        <w:t xml:space="preserve"> </w:t>
      </w:r>
      <w:r w:rsidR="00023D91" w:rsidRPr="00023D91">
        <w:t>du document</w:t>
      </w:r>
      <w:r w:rsidR="00023D91">
        <w:br/>
      </w:r>
      <w:r w:rsidR="00023D91" w:rsidRPr="00023D91">
        <w:t>ECE/TRANS/WP.29/GRB/2015/5)</w:t>
      </w:r>
      <w:r w:rsidRPr="00FA2F29">
        <w:tab/>
      </w:r>
      <w:r w:rsidRPr="00FA2F29">
        <w:tab/>
      </w:r>
      <w:r w:rsidRPr="00FA2F29">
        <w:tab/>
      </w:r>
      <w:r w:rsidR="00023D91">
        <w:t>22</w:t>
      </w:r>
    </w:p>
    <w:p w:rsidR="0013564E" w:rsidRPr="00FA2F29" w:rsidRDefault="0013564E" w:rsidP="0013564E">
      <w:pPr>
        <w:tabs>
          <w:tab w:val="right" w:pos="850"/>
          <w:tab w:val="right" w:leader="dot" w:pos="7654"/>
          <w:tab w:val="right" w:pos="8929"/>
          <w:tab w:val="right" w:pos="9638"/>
        </w:tabs>
        <w:spacing w:after="120"/>
        <w:ind w:left="1134" w:hanging="1134"/>
      </w:pPr>
      <w:r w:rsidRPr="00FA2F29">
        <w:tab/>
        <w:t>I</w:t>
      </w:r>
      <w:r>
        <w:t>X</w:t>
      </w:r>
      <w:r w:rsidRPr="00FA2F29">
        <w:t>.</w:t>
      </w:r>
      <w:r w:rsidRPr="00FA2F29">
        <w:tab/>
      </w:r>
      <w:r w:rsidR="00023D91" w:rsidRPr="00023D91">
        <w:t>Amendements au Règlement n</w:t>
      </w:r>
      <w:r w:rsidR="00023D91" w:rsidRPr="00023D91">
        <w:rPr>
          <w:vertAlign w:val="superscript"/>
        </w:rPr>
        <w:t>o</w:t>
      </w:r>
      <w:r w:rsidR="00023D91" w:rsidRPr="00023D91">
        <w:t> 63 adoptés (sur la base</w:t>
      </w:r>
      <w:r w:rsidR="00023D91">
        <w:t xml:space="preserve"> </w:t>
      </w:r>
      <w:r w:rsidR="00023D91" w:rsidRPr="00023D91">
        <w:t>du document</w:t>
      </w:r>
      <w:r w:rsidR="00023D91">
        <w:br/>
      </w:r>
      <w:r w:rsidR="00023D91" w:rsidRPr="00023D91">
        <w:t>ECE/TRANS/WP.29/GRB/2015/5)</w:t>
      </w:r>
      <w:r w:rsidRPr="00FA2F29">
        <w:tab/>
      </w:r>
      <w:r w:rsidRPr="00FA2F29">
        <w:tab/>
      </w:r>
      <w:r w:rsidRPr="00FA2F29">
        <w:tab/>
      </w:r>
      <w:r w:rsidR="00023D91">
        <w:t>23</w:t>
      </w:r>
    </w:p>
    <w:p w:rsidR="0013564E" w:rsidRPr="00FA2F29" w:rsidRDefault="0013564E" w:rsidP="0013564E">
      <w:pPr>
        <w:tabs>
          <w:tab w:val="right" w:pos="850"/>
          <w:tab w:val="right" w:leader="dot" w:pos="7654"/>
          <w:tab w:val="right" w:pos="8929"/>
          <w:tab w:val="right" w:pos="9638"/>
        </w:tabs>
        <w:spacing w:after="120"/>
        <w:ind w:left="1134" w:hanging="1134"/>
      </w:pPr>
      <w:r w:rsidRPr="00FA2F29">
        <w:tab/>
      </w:r>
      <w:r>
        <w:t>X</w:t>
      </w:r>
      <w:r w:rsidRPr="00FA2F29">
        <w:t>.</w:t>
      </w:r>
      <w:r w:rsidRPr="00FA2F29">
        <w:tab/>
      </w:r>
      <w:r w:rsidR="00023D91" w:rsidRPr="00023D91">
        <w:t>Groupes informels du GRB</w:t>
      </w:r>
      <w:r w:rsidRPr="00FA2F29">
        <w:tab/>
      </w:r>
      <w:r w:rsidRPr="00FA2F29">
        <w:tab/>
      </w:r>
      <w:r w:rsidRPr="00FA2F29">
        <w:tab/>
      </w:r>
      <w:r w:rsidR="00023D91">
        <w:t>24</w:t>
      </w:r>
    </w:p>
    <w:p w:rsidR="00742462" w:rsidRPr="00E16D27" w:rsidRDefault="0013564E" w:rsidP="0013564E">
      <w:pPr>
        <w:pStyle w:val="HChG"/>
      </w:pPr>
      <w:r>
        <w:br w:type="page"/>
      </w:r>
      <w:r w:rsidR="00742462">
        <w:lastRenderedPageBreak/>
        <w:tab/>
        <w:t>I.</w:t>
      </w:r>
      <w:r w:rsidR="00742462">
        <w:tab/>
        <w:t>Participation</w:t>
      </w:r>
    </w:p>
    <w:p w:rsidR="00E01A0A" w:rsidRDefault="00742462" w:rsidP="0087389B">
      <w:pPr>
        <w:pStyle w:val="ParNoG"/>
        <w:rPr>
          <w:spacing w:val="-1"/>
        </w:rPr>
      </w:pPr>
      <w:r w:rsidRPr="00E01A0A">
        <w:rPr>
          <w:spacing w:val="-1"/>
        </w:rPr>
        <w:t>Le Groupe de travail du bruit (GRB) a tenu sa soixante et unième session du 27 au 29 janvier</w:t>
      </w:r>
      <w:r w:rsidR="00671BF7" w:rsidRPr="00E01A0A">
        <w:rPr>
          <w:spacing w:val="-1"/>
        </w:rPr>
        <w:t xml:space="preserve"> </w:t>
      </w:r>
      <w:r w:rsidRPr="00E01A0A">
        <w:rPr>
          <w:spacing w:val="-1"/>
        </w:rPr>
        <w:t>2015, à Genève, sous la présidence de M. S. Ficheux (France). Y ont participé, conformément à l</w:t>
      </w:r>
      <w:r w:rsidR="00E42E9D">
        <w:rPr>
          <w:spacing w:val="-1"/>
        </w:rPr>
        <w:t>’</w:t>
      </w:r>
      <w:r w:rsidR="0086678F" w:rsidRPr="00E01A0A">
        <w:rPr>
          <w:spacing w:val="-1"/>
        </w:rPr>
        <w:t>article </w:t>
      </w:r>
      <w:r w:rsidRPr="00E01A0A">
        <w:rPr>
          <w:spacing w:val="-1"/>
        </w:rPr>
        <w:t>1 a) du Règlement intérieur du Forum mondial de l</w:t>
      </w:r>
      <w:r w:rsidR="00E42E9D">
        <w:rPr>
          <w:spacing w:val="-1"/>
        </w:rPr>
        <w:t>’</w:t>
      </w:r>
      <w:r w:rsidRPr="00E01A0A">
        <w:rPr>
          <w:spacing w:val="-1"/>
        </w:rPr>
        <w:t>harmonisation des Règlements concernant les véhicules (WP.29) (TRANS/WP.29/690, Amend.1 et Amend.2)</w:t>
      </w:r>
      <w:r w:rsidR="008D065C">
        <w:rPr>
          <w:spacing w:val="-1"/>
        </w:rPr>
        <w:t>,</w:t>
      </w:r>
      <w:r w:rsidRPr="00E01A0A">
        <w:rPr>
          <w:spacing w:val="-1"/>
        </w:rPr>
        <w:t xml:space="preserve"> des représentants des pays suivants: Allemagne, Autriche, Belgique, Chine, Espagne, Fédération de Russie, France, Hongrie, Inde, Italie, Japon, Norvège, Pays-Bas, Pologne, République de Corée, Royaume-Uni de Grande-Bretagne et d</w:t>
      </w:r>
      <w:r w:rsidR="00E42E9D">
        <w:rPr>
          <w:spacing w:val="-1"/>
        </w:rPr>
        <w:t>’</w:t>
      </w:r>
      <w:r w:rsidRPr="00E01A0A">
        <w:rPr>
          <w:spacing w:val="-1"/>
        </w:rPr>
        <w:t>Irlande du Nord, Suède et Suisse. Un expert de la Commission européenne était aussi présent. Des experts des organisations non gouvernementales suivantes ont aussi participé à la session: Conférence européenne des directeurs des routes (CEDR),</w:t>
      </w:r>
      <w:r w:rsidR="00671BF7" w:rsidRPr="00E01A0A">
        <w:rPr>
          <w:spacing w:val="-1"/>
        </w:rPr>
        <w:t xml:space="preserve"> </w:t>
      </w:r>
      <w:r w:rsidRPr="00E01A0A">
        <w:rPr>
          <w:spacing w:val="-1"/>
        </w:rPr>
        <w:t>Association européenne des fournisseurs de l</w:t>
      </w:r>
      <w:r w:rsidR="00E42E9D">
        <w:rPr>
          <w:spacing w:val="-1"/>
        </w:rPr>
        <w:t>’</w:t>
      </w:r>
      <w:r w:rsidRPr="00E01A0A">
        <w:rPr>
          <w:spacing w:val="-1"/>
        </w:rPr>
        <w:t>automobile (CLEPA), Organisation technique européenne du pneumatique et de la jante (ETRTO), Association internationale des constructeurs de motocycles (IMMA), Organisation internationale de normalisation (ISO), Organisation internationale des constructeurs d</w:t>
      </w:r>
      <w:r w:rsidR="00E42E9D">
        <w:rPr>
          <w:spacing w:val="-1"/>
        </w:rPr>
        <w:t>’</w:t>
      </w:r>
      <w:r w:rsidRPr="00E01A0A">
        <w:rPr>
          <w:spacing w:val="-1"/>
        </w:rPr>
        <w:t>automobiles (OICA) et Union mondiale des aveugles (UMA).</w:t>
      </w:r>
    </w:p>
    <w:p w:rsidR="00742462" w:rsidRPr="00E16D27" w:rsidRDefault="00742462" w:rsidP="0087389B">
      <w:pPr>
        <w:pStyle w:val="ParNoG"/>
      </w:pPr>
      <w:r w:rsidRPr="0090559C">
        <w:t>Dans son allocution liminaire, M</w:t>
      </w:r>
      <w:r w:rsidRPr="0090559C">
        <w:rPr>
          <w:vertAlign w:val="superscript"/>
        </w:rPr>
        <w:t>me</w:t>
      </w:r>
      <w:r w:rsidRPr="0090559C">
        <w:t xml:space="preserve"> Eva Molnar, Directrice de la Division des transports de la CEE, a informé le GRB de la récente désignation de M. Walter Nissler au poste de Chef de la </w:t>
      </w:r>
      <w:r w:rsidRPr="006F26EF">
        <w:t>section des Règlements concernant les véhicules et des innovations dans le domaine des transports.</w:t>
      </w:r>
      <w:r w:rsidRPr="0090559C">
        <w:t xml:space="preserve"> Elle a également mentionné les négociations actuellement en cours à l</w:t>
      </w:r>
      <w:r w:rsidR="00E42E9D">
        <w:t>’</w:t>
      </w:r>
      <w:r w:rsidRPr="0090559C">
        <w:t>échelle mondiale sur les objectifs de développement durable (ODD) qui devraient remplacer les objectifs du Millénaire pour le développement (OMD) dès 2016, et a plaidé en faveur de l</w:t>
      </w:r>
      <w:r w:rsidR="00E42E9D">
        <w:t>’</w:t>
      </w:r>
      <w:r w:rsidRPr="0090559C">
        <w:t>inclusion d</w:t>
      </w:r>
      <w:r w:rsidR="00E42E9D">
        <w:t>’</w:t>
      </w:r>
      <w:r w:rsidRPr="0090559C">
        <w:t xml:space="preserve">objectifs liés aux transports dans les ODD. Elle a présenté la nouvelle édition de la publication de la CEE intitulée «Transport for Sustainable Development», qui porte sur la sécurité des transports et les caractéristiques écologiques des véhicules. Enfin, elle a informé le GRB des </w:t>
      </w:r>
      <w:r w:rsidR="0013564E">
        <w:t xml:space="preserve">principaux </w:t>
      </w:r>
      <w:r w:rsidRPr="0090559C">
        <w:t xml:space="preserve">points </w:t>
      </w:r>
      <w:r w:rsidR="0013564E">
        <w:t xml:space="preserve">qui seront abordés à la prochaine </w:t>
      </w:r>
      <w:r w:rsidRPr="0090559C">
        <w:t>session du Comité des transports intérieurs (24-26 février</w:t>
      </w:r>
      <w:r w:rsidR="00671BF7">
        <w:t xml:space="preserve"> </w:t>
      </w:r>
      <w:r w:rsidRPr="0090559C">
        <w:t>2015).</w:t>
      </w:r>
    </w:p>
    <w:p w:rsidR="00742462" w:rsidRPr="0087389B" w:rsidRDefault="00742462" w:rsidP="0087389B">
      <w:pPr>
        <w:pStyle w:val="HChG"/>
      </w:pPr>
      <w:r>
        <w:tab/>
      </w:r>
      <w:r w:rsidRPr="0087389B">
        <w:t>II.</w:t>
      </w:r>
      <w:r>
        <w:tab/>
      </w:r>
      <w:r w:rsidRPr="0087389B">
        <w:t>Adoption de l</w:t>
      </w:r>
      <w:r w:rsidR="00E42E9D">
        <w:t>’</w:t>
      </w:r>
      <w:r w:rsidRPr="0087389B">
        <w:t>ordre du jour (</w:t>
      </w:r>
      <w:r w:rsidR="0086678F">
        <w:t>point </w:t>
      </w:r>
      <w:r w:rsidRPr="0087389B">
        <w:t>1 de l</w:t>
      </w:r>
      <w:r w:rsidR="00E42E9D">
        <w:t>’</w:t>
      </w:r>
      <w:r w:rsidRPr="0087389B">
        <w:t>ordre du jour)</w:t>
      </w:r>
    </w:p>
    <w:p w:rsidR="00E01A0A" w:rsidRDefault="00742462" w:rsidP="00E01A0A">
      <w:pPr>
        <w:pStyle w:val="SingleTxtG"/>
        <w:ind w:left="2552" w:hanging="1418"/>
        <w:jc w:val="left"/>
      </w:pPr>
      <w:r w:rsidRPr="0087389B">
        <w:rPr>
          <w:i/>
        </w:rPr>
        <w:t>Document</w:t>
      </w:r>
      <w:r w:rsidRPr="005544A3">
        <w:t>:</w:t>
      </w:r>
      <w:r>
        <w:tab/>
        <w:t>ECE/TRANS/WP.29/GRB/2015/1.</w:t>
      </w:r>
    </w:p>
    <w:p w:rsidR="00742462" w:rsidRPr="00E16D27" w:rsidRDefault="00742462" w:rsidP="0087389B">
      <w:pPr>
        <w:pStyle w:val="ParNoG"/>
        <w:tabs>
          <w:tab w:val="clear" w:pos="1701"/>
        </w:tabs>
      </w:pPr>
      <w:r>
        <w:t>Le GRB a examiné et adopté l</w:t>
      </w:r>
      <w:r w:rsidR="00E42E9D">
        <w:t>’</w:t>
      </w:r>
      <w:r>
        <w:t>ordre du jour.</w:t>
      </w:r>
    </w:p>
    <w:p w:rsidR="00742462" w:rsidRPr="0087389B" w:rsidRDefault="00742462" w:rsidP="0087389B">
      <w:pPr>
        <w:pStyle w:val="HChG"/>
      </w:pPr>
      <w:r>
        <w:tab/>
      </w:r>
      <w:r w:rsidRPr="0087389B">
        <w:t>III.</w:t>
      </w:r>
      <w:r>
        <w:tab/>
      </w:r>
      <w:r w:rsidRPr="0087389B">
        <w:t xml:space="preserve">Règlement </w:t>
      </w:r>
      <w:r w:rsidR="0086678F">
        <w:rPr>
          <w:rFonts w:eastAsia="MS Mincho"/>
        </w:rPr>
        <w:t>n</w:t>
      </w:r>
      <w:r w:rsidR="0086678F">
        <w:rPr>
          <w:rFonts w:eastAsia="MS Mincho"/>
          <w:vertAlign w:val="superscript"/>
        </w:rPr>
        <w:t>o</w:t>
      </w:r>
      <w:r w:rsidR="0086678F">
        <w:t> </w:t>
      </w:r>
      <w:r w:rsidRPr="0087389B">
        <w:t>28 (Avertisseurs sonores)</w:t>
      </w:r>
      <w:r w:rsidR="0013564E">
        <w:br/>
      </w:r>
      <w:r w:rsidRPr="0087389B">
        <w:t>(</w:t>
      </w:r>
      <w:r w:rsidR="0086678F">
        <w:t>point </w:t>
      </w:r>
      <w:r w:rsidRPr="0087389B">
        <w:t>2 de l</w:t>
      </w:r>
      <w:r w:rsidR="00E42E9D">
        <w:t>’</w:t>
      </w:r>
      <w:r w:rsidRPr="0087389B">
        <w:t>ordre du jour)</w:t>
      </w:r>
    </w:p>
    <w:p w:rsidR="00742462" w:rsidRPr="00E01A0A" w:rsidRDefault="00742462" w:rsidP="00E01A0A">
      <w:pPr>
        <w:pStyle w:val="SingleTxtG"/>
        <w:ind w:left="2552" w:hanging="1418"/>
        <w:jc w:val="left"/>
        <w:rPr>
          <w:spacing w:val="-2"/>
        </w:rPr>
      </w:pPr>
      <w:r w:rsidRPr="00E01A0A">
        <w:rPr>
          <w:i/>
          <w:spacing w:val="-2"/>
        </w:rPr>
        <w:t>Documents</w:t>
      </w:r>
      <w:r w:rsidRPr="00E01A0A">
        <w:rPr>
          <w:spacing w:val="-2"/>
        </w:rPr>
        <w:t>:</w:t>
      </w:r>
      <w:r w:rsidRPr="004F2633">
        <w:rPr>
          <w:spacing w:val="-2"/>
        </w:rPr>
        <w:tab/>
      </w:r>
      <w:r w:rsidRPr="00E01A0A">
        <w:rPr>
          <w:spacing w:val="-2"/>
        </w:rPr>
        <w:t>ECE/TRANS/WP.29/GRB/2014/4</w:t>
      </w:r>
      <w:r w:rsidR="008D065C">
        <w:rPr>
          <w:spacing w:val="-2"/>
        </w:rPr>
        <w:t>;</w:t>
      </w:r>
      <w:r w:rsidRPr="00E01A0A">
        <w:rPr>
          <w:spacing w:val="-2"/>
        </w:rPr>
        <w:t xml:space="preserve"> documents GRB-61-07 et GRB-61-12.</w:t>
      </w:r>
    </w:p>
    <w:p w:rsidR="00742462" w:rsidRPr="0090559C" w:rsidRDefault="00742462" w:rsidP="0087389B">
      <w:pPr>
        <w:pStyle w:val="ParNoG"/>
        <w:tabs>
          <w:tab w:val="clear" w:pos="1701"/>
        </w:tabs>
      </w:pPr>
      <w:r w:rsidRPr="0090559C">
        <w:t>Le GRB a repris l</w:t>
      </w:r>
      <w:r w:rsidR="00E42E9D">
        <w:t>’</w:t>
      </w:r>
      <w:r w:rsidRPr="0090559C">
        <w:t>examen du document ECE/TRANS/WP.29/GRB/2014/4 soumis par l</w:t>
      </w:r>
      <w:r w:rsidR="00E42E9D">
        <w:t>’</w:t>
      </w:r>
      <w:r w:rsidRPr="0090559C">
        <w:t xml:space="preserve">OICA, dans lequel sont proposés des amendements au Règlement ONU </w:t>
      </w:r>
      <w:r w:rsidR="0086678F" w:rsidRPr="0086678F">
        <w:t>n</w:t>
      </w:r>
      <w:r w:rsidR="0086678F" w:rsidRPr="0086678F">
        <w:rPr>
          <w:vertAlign w:val="superscript"/>
        </w:rPr>
        <w:t>o</w:t>
      </w:r>
      <w:r w:rsidR="0086678F" w:rsidRPr="0086678F">
        <w:t> </w:t>
      </w:r>
      <w:r w:rsidRPr="0090559C">
        <w:t>28, notamment une réduction du niveau sonore prescrit pour les avertisseurs sonores de 93 à 87 dB(A). L</w:t>
      </w:r>
      <w:r w:rsidR="00E42E9D">
        <w:t>’</w:t>
      </w:r>
      <w:r w:rsidRPr="0090559C">
        <w:t>expert de l</w:t>
      </w:r>
      <w:r w:rsidR="00E42E9D">
        <w:t>’</w:t>
      </w:r>
      <w:r w:rsidRPr="0090559C">
        <w:t>IMMA a suggéré d</w:t>
      </w:r>
      <w:r w:rsidR="00E42E9D">
        <w:t>’</w:t>
      </w:r>
      <w:r w:rsidRPr="0090559C">
        <w:t>apporter d</w:t>
      </w:r>
      <w:r w:rsidR="00E42E9D">
        <w:t>’</w:t>
      </w:r>
      <w:r w:rsidRPr="0090559C">
        <w:t>autres modifications à cette proposition (GRB-61-07). Le GRB a adopté la proposition telle que modifiée par l</w:t>
      </w:r>
      <w:r w:rsidR="00E42E9D">
        <w:t>’</w:t>
      </w:r>
      <w:r w:rsidRPr="0090559C">
        <w:t>annexe II du présent rapport et a demandé au secrétariat de la soumettre au WP.29 et au Comité d</w:t>
      </w:r>
      <w:r w:rsidR="00E42E9D">
        <w:t>’</w:t>
      </w:r>
      <w:r w:rsidRPr="0090559C">
        <w:t>administration de l</w:t>
      </w:r>
      <w:r w:rsidR="00E42E9D">
        <w:t>’</w:t>
      </w:r>
      <w:r w:rsidRPr="0090559C">
        <w:t>Accord de 1958 (AC.1) en tant que projet de complément 4 à la série initiale d</w:t>
      </w:r>
      <w:r w:rsidR="00E42E9D">
        <w:t>’</w:t>
      </w:r>
      <w:r w:rsidRPr="0090559C">
        <w:t xml:space="preserve">amendements au Règlement </w:t>
      </w:r>
      <w:r w:rsidR="0086678F" w:rsidRPr="0086678F">
        <w:t>n</w:t>
      </w:r>
      <w:r w:rsidR="0086678F" w:rsidRPr="0086678F">
        <w:rPr>
          <w:vertAlign w:val="superscript"/>
        </w:rPr>
        <w:t>o</w:t>
      </w:r>
      <w:r w:rsidR="0086678F" w:rsidRPr="0086678F">
        <w:t> </w:t>
      </w:r>
      <w:r w:rsidRPr="0090559C">
        <w:t>28, pour examen et mise aux voix à leurs sessions de juin</w:t>
      </w:r>
      <w:r w:rsidR="00671BF7">
        <w:t xml:space="preserve"> </w:t>
      </w:r>
      <w:r w:rsidRPr="0090559C">
        <w:t>2015. Le GRB a fait valoir que la modification adoptée concernant le niveau sonore assouplissait cette prescription et qu</w:t>
      </w:r>
      <w:r w:rsidR="00E42E9D">
        <w:t>’</w:t>
      </w:r>
      <w:r w:rsidRPr="0090559C">
        <w:t>il n</w:t>
      </w:r>
      <w:r w:rsidR="00E42E9D">
        <w:t>’</w:t>
      </w:r>
      <w:r w:rsidRPr="0090559C">
        <w:t>était donc pas nécessaire d</w:t>
      </w:r>
      <w:r w:rsidR="00E42E9D">
        <w:t>’</w:t>
      </w:r>
      <w:r w:rsidRPr="0090559C">
        <w:t>adopter une nouvelle série d</w:t>
      </w:r>
      <w:r w:rsidR="00E42E9D">
        <w:t>’</w:t>
      </w:r>
      <w:r w:rsidRPr="0090559C">
        <w:t>amendements visant à ajouter des dispositions transitoires.</w:t>
      </w:r>
    </w:p>
    <w:p w:rsidR="00742462" w:rsidRPr="00E16D27" w:rsidRDefault="00742462" w:rsidP="0087389B">
      <w:pPr>
        <w:pStyle w:val="ParNoG"/>
        <w:tabs>
          <w:tab w:val="clear" w:pos="1701"/>
        </w:tabs>
      </w:pPr>
      <w:r w:rsidRPr="0090559C">
        <w:lastRenderedPageBreak/>
        <w:t>L</w:t>
      </w:r>
      <w:r w:rsidR="00E42E9D">
        <w:t>’</w:t>
      </w:r>
      <w:r w:rsidRPr="0090559C">
        <w:t xml:space="preserve">expert de la Fédération de Russie, faisant observer que le Règlement </w:t>
      </w:r>
      <w:r w:rsidR="0086678F" w:rsidRPr="0086678F">
        <w:t>n</w:t>
      </w:r>
      <w:r w:rsidR="0086678F" w:rsidRPr="0086678F">
        <w:rPr>
          <w:vertAlign w:val="superscript"/>
        </w:rPr>
        <w:t>o</w:t>
      </w:r>
      <w:r w:rsidR="0086678F" w:rsidRPr="0086678F">
        <w:t> </w:t>
      </w:r>
      <w:r w:rsidRPr="0090559C">
        <w:t>28 n</w:t>
      </w:r>
      <w:r w:rsidR="00E42E9D">
        <w:t>’</w:t>
      </w:r>
      <w:r w:rsidRPr="0090559C">
        <w:t>avait pas été actualisé depuis longtemps, a proposé d</w:t>
      </w:r>
      <w:r w:rsidR="00E42E9D">
        <w:t>’</w:t>
      </w:r>
      <w:r w:rsidRPr="0090559C">
        <w:t>y apporter plusieurs modifications de forme (GRB-61-12). Le GRB a salué cette initiative et a décidé d</w:t>
      </w:r>
      <w:r w:rsidR="00E42E9D">
        <w:t>’</w:t>
      </w:r>
      <w:r w:rsidRPr="0090559C">
        <w:t>examiner ces modifications à sa prochaine session, sur la base d</w:t>
      </w:r>
      <w:r w:rsidR="00E42E9D">
        <w:t>’</w:t>
      </w:r>
      <w:r w:rsidRPr="0090559C">
        <w:t>un document officiel soumis par l</w:t>
      </w:r>
      <w:r w:rsidR="00E42E9D">
        <w:t>’</w:t>
      </w:r>
      <w:r w:rsidRPr="0090559C">
        <w:t>expert de la Fédération de Russie.</w:t>
      </w:r>
    </w:p>
    <w:p w:rsidR="00742462" w:rsidRPr="0087389B" w:rsidRDefault="00742462" w:rsidP="0087389B">
      <w:pPr>
        <w:pStyle w:val="HChG"/>
      </w:pPr>
      <w:r>
        <w:tab/>
      </w:r>
      <w:r w:rsidRPr="0087389B">
        <w:t>IV.</w:t>
      </w:r>
      <w:r>
        <w:tab/>
      </w:r>
      <w:r w:rsidRPr="0087389B">
        <w:t xml:space="preserve">Règlement </w:t>
      </w:r>
      <w:r w:rsidR="0086678F" w:rsidRPr="0086678F">
        <w:t>n</w:t>
      </w:r>
      <w:r w:rsidR="0086678F" w:rsidRPr="0086678F">
        <w:rPr>
          <w:vertAlign w:val="superscript"/>
        </w:rPr>
        <w:t>o</w:t>
      </w:r>
      <w:r w:rsidR="0086678F" w:rsidRPr="0086678F">
        <w:t> </w:t>
      </w:r>
      <w:r w:rsidRPr="0087389B">
        <w:t>41 (Bruit émis par les motocycles): Extension (</w:t>
      </w:r>
      <w:r w:rsidR="0086678F">
        <w:t>point </w:t>
      </w:r>
      <w:r w:rsidRPr="0087389B">
        <w:t>3 de l</w:t>
      </w:r>
      <w:r w:rsidR="00E42E9D">
        <w:t>’</w:t>
      </w:r>
      <w:r w:rsidRPr="0087389B">
        <w:t>ordre du jour)</w:t>
      </w:r>
    </w:p>
    <w:p w:rsidR="00E01A0A" w:rsidRDefault="00742462" w:rsidP="00E01A0A">
      <w:pPr>
        <w:pStyle w:val="SingleTxtG"/>
        <w:ind w:left="2552" w:hanging="1418"/>
        <w:jc w:val="left"/>
      </w:pPr>
      <w:r w:rsidRPr="00E01A0A">
        <w:rPr>
          <w:i/>
        </w:rPr>
        <w:t>Documents</w:t>
      </w:r>
      <w:r w:rsidRPr="00E01A0A">
        <w:t>:</w:t>
      </w:r>
      <w:r w:rsidRPr="004F2633">
        <w:tab/>
      </w:r>
      <w:r w:rsidRPr="00E01A0A">
        <w:t>ECE/TRANS/WP.29/GRB/2015/2 et Corr.1 et Corr.2</w:t>
      </w:r>
      <w:r w:rsidR="008D065C">
        <w:t>;</w:t>
      </w:r>
      <w:r w:rsidR="00E01A0A">
        <w:br/>
      </w:r>
      <w:r w:rsidRPr="00E01A0A">
        <w:t>document GRB-61-11.</w:t>
      </w:r>
    </w:p>
    <w:p w:rsidR="00E01A0A" w:rsidRDefault="00742462" w:rsidP="0087389B">
      <w:pPr>
        <w:pStyle w:val="ParNoG"/>
        <w:tabs>
          <w:tab w:val="clear" w:pos="1701"/>
        </w:tabs>
        <w:rPr>
          <w:spacing w:val="-2"/>
        </w:rPr>
      </w:pPr>
      <w:r w:rsidRPr="00E01A0A">
        <w:rPr>
          <w:spacing w:val="-2"/>
        </w:rPr>
        <w:t>L</w:t>
      </w:r>
      <w:r w:rsidR="00E42E9D">
        <w:rPr>
          <w:spacing w:val="-2"/>
        </w:rPr>
        <w:t>’</w:t>
      </w:r>
      <w:r w:rsidRPr="00E01A0A">
        <w:rPr>
          <w:spacing w:val="-2"/>
        </w:rPr>
        <w:t>expert de l</w:t>
      </w:r>
      <w:r w:rsidR="00E42E9D">
        <w:rPr>
          <w:spacing w:val="-2"/>
        </w:rPr>
        <w:t>’</w:t>
      </w:r>
      <w:r w:rsidRPr="00E01A0A">
        <w:rPr>
          <w:spacing w:val="-2"/>
        </w:rPr>
        <w:t>IMMA a proposé d</w:t>
      </w:r>
      <w:r w:rsidR="00E42E9D">
        <w:rPr>
          <w:spacing w:val="-2"/>
        </w:rPr>
        <w:t>’</w:t>
      </w:r>
      <w:r w:rsidRPr="00E01A0A">
        <w:rPr>
          <w:spacing w:val="-2"/>
        </w:rPr>
        <w:t xml:space="preserve">introduire dans le Règlement </w:t>
      </w:r>
      <w:r w:rsidR="0086678F" w:rsidRPr="00E01A0A">
        <w:rPr>
          <w:spacing w:val="-2"/>
        </w:rPr>
        <w:t>n</w:t>
      </w:r>
      <w:r w:rsidR="0086678F" w:rsidRPr="00E01A0A">
        <w:rPr>
          <w:spacing w:val="-2"/>
          <w:vertAlign w:val="superscript"/>
        </w:rPr>
        <w:t>o</w:t>
      </w:r>
      <w:r w:rsidR="0086678F" w:rsidRPr="00E01A0A">
        <w:rPr>
          <w:spacing w:val="-2"/>
        </w:rPr>
        <w:t> </w:t>
      </w:r>
      <w:r w:rsidRPr="00E01A0A">
        <w:rPr>
          <w:spacing w:val="-2"/>
        </w:rPr>
        <w:t>41 la valeur calculée du régime moteur pour les véhicules à divers types de transmission (ECE/TRANS/WP.29/GRB/2015/2 et Corr.1 et Corr.2). Le GRB a adopté cette proposition, qu</w:t>
      </w:r>
      <w:r w:rsidR="00E42E9D">
        <w:rPr>
          <w:spacing w:val="-2"/>
        </w:rPr>
        <w:t>’</w:t>
      </w:r>
      <w:r w:rsidRPr="00E01A0A">
        <w:rPr>
          <w:spacing w:val="-2"/>
        </w:rPr>
        <w:t>il a demandé au secrétariat de soumettre au WP.29 et à l</w:t>
      </w:r>
      <w:r w:rsidR="00E42E9D">
        <w:rPr>
          <w:spacing w:val="-2"/>
        </w:rPr>
        <w:t>’</w:t>
      </w:r>
      <w:r w:rsidRPr="00E01A0A">
        <w:rPr>
          <w:spacing w:val="-2"/>
        </w:rPr>
        <w:t xml:space="preserve">AC.1 en tant que projet de complément au Règlement </w:t>
      </w:r>
      <w:r w:rsidR="0086678F" w:rsidRPr="00E01A0A">
        <w:rPr>
          <w:spacing w:val="-2"/>
        </w:rPr>
        <w:t>n</w:t>
      </w:r>
      <w:r w:rsidR="0086678F" w:rsidRPr="00E01A0A">
        <w:rPr>
          <w:spacing w:val="-2"/>
          <w:vertAlign w:val="superscript"/>
        </w:rPr>
        <w:t>o</w:t>
      </w:r>
      <w:r w:rsidR="0086678F" w:rsidRPr="00E01A0A">
        <w:rPr>
          <w:spacing w:val="-2"/>
        </w:rPr>
        <w:t> </w:t>
      </w:r>
      <w:r w:rsidRPr="00E01A0A">
        <w:rPr>
          <w:spacing w:val="-2"/>
        </w:rPr>
        <w:t>41, pour examen et mise aux voix à leurs sessions de juin</w:t>
      </w:r>
      <w:r w:rsidR="00671BF7" w:rsidRPr="00E01A0A">
        <w:rPr>
          <w:spacing w:val="-2"/>
        </w:rPr>
        <w:t xml:space="preserve"> </w:t>
      </w:r>
      <w:r w:rsidRPr="00E01A0A">
        <w:rPr>
          <w:spacing w:val="-2"/>
        </w:rPr>
        <w:t>2015.</w:t>
      </w:r>
    </w:p>
    <w:p w:rsidR="00742462" w:rsidRPr="00E16D27" w:rsidRDefault="00742462" w:rsidP="0087389B">
      <w:pPr>
        <w:pStyle w:val="ParNoG"/>
        <w:tabs>
          <w:tab w:val="clear" w:pos="1701"/>
        </w:tabs>
      </w:pPr>
      <w:r w:rsidRPr="0090559C">
        <w:t>L</w:t>
      </w:r>
      <w:r w:rsidR="00E42E9D">
        <w:t>’</w:t>
      </w:r>
      <w:r w:rsidRPr="0090559C">
        <w:t>expert de l</w:t>
      </w:r>
      <w:r w:rsidR="00E42E9D">
        <w:t>’</w:t>
      </w:r>
      <w:r w:rsidRPr="0090559C">
        <w:t xml:space="preserve">IMMA a en outre proposé de modifier le paragraphe 8.2 du Règlement </w:t>
      </w:r>
      <w:r w:rsidR="0086678F" w:rsidRPr="0086678F">
        <w:t>n</w:t>
      </w:r>
      <w:r w:rsidR="0086678F" w:rsidRPr="0086678F">
        <w:rPr>
          <w:vertAlign w:val="superscript"/>
        </w:rPr>
        <w:t>o</w:t>
      </w:r>
      <w:r w:rsidR="0086678F" w:rsidRPr="0086678F">
        <w:t> </w:t>
      </w:r>
      <w:r w:rsidRPr="0090559C">
        <w:t>41, qui porte sur la conformité de la production (GRB-61-11). L</w:t>
      </w:r>
      <w:r w:rsidR="008D065C">
        <w:t>e</w:t>
      </w:r>
      <w:r w:rsidRPr="0090559C">
        <w:t xml:space="preserve"> GRB a décidé d</w:t>
      </w:r>
      <w:r w:rsidR="00E42E9D">
        <w:t>’</w:t>
      </w:r>
      <w:r w:rsidRPr="0090559C">
        <w:t>étudier cette question à sa prochaine session sur la base d</w:t>
      </w:r>
      <w:r w:rsidR="00E42E9D">
        <w:t>’</w:t>
      </w:r>
      <w:r w:rsidRPr="0090559C">
        <w:t>un document officiel soumis par l</w:t>
      </w:r>
      <w:r w:rsidR="00E42E9D">
        <w:t>’</w:t>
      </w:r>
      <w:r w:rsidRPr="0090559C">
        <w:t>IMMA.</w:t>
      </w:r>
    </w:p>
    <w:p w:rsidR="00742462" w:rsidRPr="0087389B" w:rsidRDefault="00742462" w:rsidP="0087389B">
      <w:pPr>
        <w:pStyle w:val="HChG"/>
      </w:pPr>
      <w:r>
        <w:tab/>
      </w:r>
      <w:r w:rsidRPr="0087389B">
        <w:t>V.</w:t>
      </w:r>
      <w:r w:rsidRPr="00DB393B">
        <w:tab/>
      </w:r>
      <w:r w:rsidRPr="0087389B">
        <w:t xml:space="preserve">Règlement </w:t>
      </w:r>
      <w:r w:rsidR="0086678F" w:rsidRPr="0086678F">
        <w:t>n</w:t>
      </w:r>
      <w:r w:rsidR="0086678F" w:rsidRPr="0086678F">
        <w:rPr>
          <w:vertAlign w:val="superscript"/>
        </w:rPr>
        <w:t>o</w:t>
      </w:r>
      <w:r w:rsidR="0086678F" w:rsidRPr="0086678F">
        <w:t> </w:t>
      </w:r>
      <w:r w:rsidRPr="0087389B">
        <w:t>51 (Bruit des véhicules des catégories M et N) (</w:t>
      </w:r>
      <w:r w:rsidR="0086678F">
        <w:t>point </w:t>
      </w:r>
      <w:r w:rsidRPr="0087389B">
        <w:t>4 de l</w:t>
      </w:r>
      <w:r w:rsidR="00E42E9D">
        <w:t>’</w:t>
      </w:r>
      <w:r w:rsidRPr="0087389B">
        <w:t>ordre du jour)</w:t>
      </w:r>
    </w:p>
    <w:p w:rsidR="00742462" w:rsidRPr="00E16D27" w:rsidRDefault="00742462" w:rsidP="0087389B">
      <w:pPr>
        <w:pStyle w:val="H1G"/>
      </w:pPr>
      <w:r>
        <w:tab/>
        <w:t>A.</w:t>
      </w:r>
      <w:r>
        <w:tab/>
        <w:t>Extension</w:t>
      </w:r>
    </w:p>
    <w:p w:rsidR="00742462" w:rsidRPr="0090559C" w:rsidRDefault="00742462" w:rsidP="00E01A0A">
      <w:pPr>
        <w:pStyle w:val="SingleTxtG"/>
        <w:ind w:left="2552" w:hanging="1418"/>
        <w:jc w:val="left"/>
      </w:pPr>
      <w:r w:rsidRPr="0087389B">
        <w:rPr>
          <w:i/>
        </w:rPr>
        <w:t>Documents</w:t>
      </w:r>
      <w:r w:rsidRPr="0090559C">
        <w:t>:</w:t>
      </w:r>
      <w:r w:rsidRPr="004F2633">
        <w:tab/>
      </w:r>
      <w:r w:rsidRPr="0090559C">
        <w:t>ECE/TRANS/WP.29/GRB/2015/3 et Corr.1</w:t>
      </w:r>
      <w:r w:rsidR="008D065C">
        <w:t>;</w:t>
      </w:r>
      <w:r w:rsidRPr="0090559C">
        <w:t xml:space="preserve"> documents </w:t>
      </w:r>
      <w:r w:rsidR="0013564E">
        <w:t xml:space="preserve">informels </w:t>
      </w:r>
      <w:r w:rsidRPr="0090559C">
        <w:t>GRB</w:t>
      </w:r>
      <w:r w:rsidR="0013564E">
        <w:noBreakHyphen/>
      </w:r>
      <w:r w:rsidRPr="0090559C">
        <w:t>61-05 et GRB-61-08.</w:t>
      </w:r>
    </w:p>
    <w:p w:rsidR="00E01A0A" w:rsidRPr="008D065C" w:rsidRDefault="00742462" w:rsidP="0087389B">
      <w:pPr>
        <w:pStyle w:val="ParNoG"/>
        <w:tabs>
          <w:tab w:val="clear" w:pos="1701"/>
        </w:tabs>
        <w:rPr>
          <w:spacing w:val="-2"/>
        </w:rPr>
      </w:pPr>
      <w:r w:rsidRPr="008D065C">
        <w:rPr>
          <w:spacing w:val="-2"/>
        </w:rPr>
        <w:t>L</w:t>
      </w:r>
      <w:r w:rsidR="00E42E9D">
        <w:rPr>
          <w:spacing w:val="-2"/>
        </w:rPr>
        <w:t>’</w:t>
      </w:r>
      <w:r w:rsidRPr="008D065C">
        <w:rPr>
          <w:spacing w:val="-2"/>
        </w:rPr>
        <w:t>expert de l</w:t>
      </w:r>
      <w:r w:rsidR="00E42E9D">
        <w:rPr>
          <w:spacing w:val="-2"/>
        </w:rPr>
        <w:t>’</w:t>
      </w:r>
      <w:r w:rsidRPr="008D065C">
        <w:rPr>
          <w:spacing w:val="-2"/>
        </w:rPr>
        <w:t xml:space="preserve">OICA a proposé, au nom du groupe informel des Règlements ONU </w:t>
      </w:r>
      <w:r w:rsidR="0086678F" w:rsidRPr="008D065C">
        <w:rPr>
          <w:rFonts w:eastAsia="MS Mincho"/>
          <w:spacing w:val="-2"/>
        </w:rPr>
        <w:t>n</w:t>
      </w:r>
      <w:r w:rsidR="0086678F" w:rsidRPr="008D065C">
        <w:rPr>
          <w:rFonts w:eastAsia="MS Mincho"/>
          <w:spacing w:val="-2"/>
          <w:vertAlign w:val="superscript"/>
        </w:rPr>
        <w:t>os</w:t>
      </w:r>
      <w:r w:rsidR="0086678F" w:rsidRPr="008D065C">
        <w:rPr>
          <w:spacing w:val="-2"/>
        </w:rPr>
        <w:t> </w:t>
      </w:r>
      <w:r w:rsidRPr="008D065C">
        <w:rPr>
          <w:spacing w:val="-2"/>
        </w:rPr>
        <w:t>51 et 59, d</w:t>
      </w:r>
      <w:r w:rsidR="00E42E9D">
        <w:rPr>
          <w:spacing w:val="-2"/>
        </w:rPr>
        <w:t>’</w:t>
      </w:r>
      <w:r w:rsidRPr="008D065C">
        <w:rPr>
          <w:spacing w:val="-2"/>
        </w:rPr>
        <w:t>apporter d</w:t>
      </w:r>
      <w:r w:rsidR="00E42E9D">
        <w:rPr>
          <w:spacing w:val="-2"/>
        </w:rPr>
        <w:t>’</w:t>
      </w:r>
      <w:r w:rsidRPr="008D065C">
        <w:rPr>
          <w:spacing w:val="-2"/>
        </w:rPr>
        <w:t>autres modifications à la série 03 d</w:t>
      </w:r>
      <w:r w:rsidR="00E42E9D">
        <w:rPr>
          <w:spacing w:val="-2"/>
        </w:rPr>
        <w:t>’</w:t>
      </w:r>
      <w:r w:rsidRPr="008D065C">
        <w:rPr>
          <w:spacing w:val="-2"/>
        </w:rPr>
        <w:t xml:space="preserve">amendements au Règlement </w:t>
      </w:r>
      <w:r w:rsidR="0086678F" w:rsidRPr="008D065C">
        <w:rPr>
          <w:spacing w:val="-2"/>
        </w:rPr>
        <w:t>n</w:t>
      </w:r>
      <w:r w:rsidR="0086678F" w:rsidRPr="008D065C">
        <w:rPr>
          <w:spacing w:val="-2"/>
          <w:vertAlign w:val="superscript"/>
        </w:rPr>
        <w:t>o</w:t>
      </w:r>
      <w:r w:rsidR="0086678F" w:rsidRPr="008D065C">
        <w:rPr>
          <w:spacing w:val="-2"/>
        </w:rPr>
        <w:t> </w:t>
      </w:r>
      <w:r w:rsidRPr="008D065C">
        <w:rPr>
          <w:spacing w:val="-2"/>
        </w:rPr>
        <w:t>51 (ECE/TRANS/WP.29/GRB/2015/3 et Corr.1). L</w:t>
      </w:r>
      <w:r w:rsidR="00E42E9D">
        <w:rPr>
          <w:spacing w:val="-2"/>
        </w:rPr>
        <w:t>’</w:t>
      </w:r>
      <w:r w:rsidRPr="008D065C">
        <w:rPr>
          <w:spacing w:val="-2"/>
        </w:rPr>
        <w:t>expert du Japon, préoccupé par l</w:t>
      </w:r>
      <w:r w:rsidR="00E42E9D">
        <w:rPr>
          <w:spacing w:val="-2"/>
        </w:rPr>
        <w:t>’</w:t>
      </w:r>
      <w:r w:rsidRPr="008D065C">
        <w:rPr>
          <w:spacing w:val="-2"/>
        </w:rPr>
        <w:t>inclusion dans ces propositions d</w:t>
      </w:r>
      <w:r w:rsidR="00E42E9D">
        <w:rPr>
          <w:spacing w:val="-2"/>
        </w:rPr>
        <w:t>’</w:t>
      </w:r>
      <w:r w:rsidRPr="008D065C">
        <w:rPr>
          <w:spacing w:val="-2"/>
        </w:rPr>
        <w:t xml:space="preserve">une disposition tendant à relâcher les contraintes </w:t>
      </w:r>
      <w:r w:rsidR="00E01A0A" w:rsidRPr="008D065C">
        <w:rPr>
          <w:spacing w:val="-2"/>
        </w:rPr>
        <w:t>réglementaires</w:t>
      </w:r>
      <w:r w:rsidRPr="008D065C">
        <w:rPr>
          <w:spacing w:val="-2"/>
        </w:rPr>
        <w:t xml:space="preserve"> visant une catégorie spécifique de véhicules (GRB-61-05), a </w:t>
      </w:r>
      <w:r w:rsidR="0013564E" w:rsidRPr="008D065C">
        <w:rPr>
          <w:spacing w:val="-2"/>
        </w:rPr>
        <w:t>proposé</w:t>
      </w:r>
      <w:r w:rsidRPr="008D065C">
        <w:rPr>
          <w:spacing w:val="-2"/>
        </w:rPr>
        <w:t xml:space="preserve"> un autre libellé. D</w:t>
      </w:r>
      <w:r w:rsidR="00E42E9D">
        <w:rPr>
          <w:spacing w:val="-2"/>
        </w:rPr>
        <w:t>’</w:t>
      </w:r>
      <w:r w:rsidRPr="008D065C">
        <w:rPr>
          <w:spacing w:val="-2"/>
        </w:rPr>
        <w:t xml:space="preserve">autres corrections ont été </w:t>
      </w:r>
      <w:r w:rsidR="0013564E" w:rsidRPr="008D065C">
        <w:rPr>
          <w:spacing w:val="-2"/>
        </w:rPr>
        <w:t>suggérées</w:t>
      </w:r>
      <w:r w:rsidRPr="008D065C">
        <w:rPr>
          <w:spacing w:val="-2"/>
        </w:rPr>
        <w:t xml:space="preserve"> par les experts des Pays-Bas (GRB-61-08), de l</w:t>
      </w:r>
      <w:r w:rsidR="00E42E9D">
        <w:rPr>
          <w:spacing w:val="-2"/>
        </w:rPr>
        <w:t>’</w:t>
      </w:r>
      <w:r w:rsidRPr="008D065C">
        <w:rPr>
          <w:spacing w:val="-2"/>
        </w:rPr>
        <w:t>Espagne, de la Commission européenne et de l</w:t>
      </w:r>
      <w:r w:rsidR="00E42E9D">
        <w:rPr>
          <w:spacing w:val="-2"/>
        </w:rPr>
        <w:t>’</w:t>
      </w:r>
      <w:r w:rsidRPr="008D065C">
        <w:rPr>
          <w:spacing w:val="-2"/>
        </w:rPr>
        <w:t>OICA. Enfin, le GRB a adopté les propositions telles que modifiées par l</w:t>
      </w:r>
      <w:r w:rsidR="00E42E9D">
        <w:rPr>
          <w:spacing w:val="-2"/>
        </w:rPr>
        <w:t>’</w:t>
      </w:r>
      <w:r w:rsidRPr="008D065C">
        <w:rPr>
          <w:spacing w:val="-2"/>
        </w:rPr>
        <w:t>annexe III du présent rapport.</w:t>
      </w:r>
    </w:p>
    <w:p w:rsidR="00742462" w:rsidRPr="008D065C" w:rsidRDefault="00742462" w:rsidP="00E01A0A">
      <w:pPr>
        <w:pStyle w:val="ParNoG"/>
        <w:keepNext/>
        <w:tabs>
          <w:tab w:val="clear" w:pos="1701"/>
        </w:tabs>
        <w:rPr>
          <w:spacing w:val="-1"/>
        </w:rPr>
      </w:pPr>
      <w:r w:rsidRPr="008050ED">
        <w:t>Le GRB a rappelé qu</w:t>
      </w:r>
      <w:r w:rsidR="00E42E9D">
        <w:t>’</w:t>
      </w:r>
      <w:r w:rsidRPr="008050ED">
        <w:t>il avait adopté, à sa session précédente, le projet de série 03 d</w:t>
      </w:r>
      <w:r w:rsidR="00E42E9D">
        <w:t>’</w:t>
      </w:r>
      <w:r w:rsidRPr="008050ED">
        <w:t xml:space="preserve">amendements au Règlement </w:t>
      </w:r>
      <w:r w:rsidR="0086678F" w:rsidRPr="008050ED">
        <w:t>n</w:t>
      </w:r>
      <w:r w:rsidR="0086678F" w:rsidRPr="008050ED">
        <w:rPr>
          <w:vertAlign w:val="superscript"/>
        </w:rPr>
        <w:t>o</w:t>
      </w:r>
      <w:r w:rsidR="0086678F" w:rsidRPr="008050ED">
        <w:t> </w:t>
      </w:r>
      <w:r w:rsidRPr="008050ED">
        <w:t>51 (ECE/TRANS/WP.29/GRB/2014/5, ECE/TRANS/</w:t>
      </w:r>
      <w:r w:rsidR="008050ED">
        <w:t xml:space="preserve"> </w:t>
      </w:r>
      <w:r w:rsidRPr="008050ED">
        <w:t>WP.29/GRB/58</w:t>
      </w:r>
      <w:r w:rsidRPr="008D065C">
        <w:rPr>
          <w:spacing w:val="-1"/>
        </w:rPr>
        <w:t>, par. 5 et annexe III), lequel avait par la suite été soumis au WP.29 et à l</w:t>
      </w:r>
      <w:r w:rsidR="00E42E9D">
        <w:rPr>
          <w:spacing w:val="-1"/>
        </w:rPr>
        <w:t>’</w:t>
      </w:r>
      <w:r w:rsidRPr="008D065C">
        <w:rPr>
          <w:spacing w:val="-1"/>
        </w:rPr>
        <w:t>AC.1 pour examen et mise aux voix à leurs sessions de mars</w:t>
      </w:r>
      <w:r w:rsidR="00671BF7" w:rsidRPr="008D065C">
        <w:rPr>
          <w:spacing w:val="-1"/>
        </w:rPr>
        <w:t xml:space="preserve"> </w:t>
      </w:r>
      <w:r w:rsidRPr="008D065C">
        <w:rPr>
          <w:spacing w:val="-1"/>
        </w:rPr>
        <w:t>2015, dans le document ECE/TRANS/WP.29/2015/3. En ce qui concerne les propositions supplémentaires adoptées à cette session (par. 8 ci-dessus et annexe III du présent rapport), le GRB a retenu deux approches possibles:</w:t>
      </w:r>
    </w:p>
    <w:p w:rsidR="00742462" w:rsidRPr="0090559C" w:rsidRDefault="00742462" w:rsidP="008050ED">
      <w:pPr>
        <w:pStyle w:val="SingleTxtG"/>
        <w:ind w:firstLine="567"/>
      </w:pPr>
      <w:r w:rsidRPr="0090559C">
        <w:t>i)</w:t>
      </w:r>
      <w:r w:rsidRPr="0090559C">
        <w:tab/>
      </w:r>
      <w:r w:rsidR="008050ED" w:rsidRPr="0090559C">
        <w:t xml:space="preserve">Les </w:t>
      </w:r>
      <w:r w:rsidRPr="0090559C">
        <w:t>soumettre séparément au WP.29 et à l</w:t>
      </w:r>
      <w:r w:rsidR="00E42E9D">
        <w:t>’</w:t>
      </w:r>
      <w:r w:rsidRPr="0090559C">
        <w:t>AC.1 pour examen et mise aux voix à leurs sessions de juin</w:t>
      </w:r>
      <w:r w:rsidR="00671BF7">
        <w:t xml:space="preserve"> </w:t>
      </w:r>
      <w:r w:rsidRPr="0090559C">
        <w:t>2015 en tant que projet de complément 1 à la série 03 d</w:t>
      </w:r>
      <w:r w:rsidR="00E42E9D">
        <w:t>’</w:t>
      </w:r>
      <w:r w:rsidRPr="0090559C">
        <w:t xml:space="preserve">amendements au Règlement </w:t>
      </w:r>
      <w:r w:rsidR="0086678F" w:rsidRPr="0086678F">
        <w:t>n</w:t>
      </w:r>
      <w:r w:rsidR="0086678F" w:rsidRPr="0086678F">
        <w:rPr>
          <w:vertAlign w:val="superscript"/>
        </w:rPr>
        <w:t>o</w:t>
      </w:r>
      <w:r w:rsidR="0086678F" w:rsidRPr="0086678F">
        <w:t> </w:t>
      </w:r>
      <w:r w:rsidRPr="0090559C">
        <w:t>51; ou</w:t>
      </w:r>
    </w:p>
    <w:p w:rsidR="00742462" w:rsidRPr="0090559C" w:rsidRDefault="00742462" w:rsidP="008050ED">
      <w:pPr>
        <w:pStyle w:val="SingleTxtG"/>
        <w:ind w:firstLine="567"/>
      </w:pPr>
      <w:r w:rsidRPr="0090559C">
        <w:lastRenderedPageBreak/>
        <w:t>ii)</w:t>
      </w:r>
      <w:r w:rsidRPr="0090559C">
        <w:tab/>
      </w:r>
      <w:r w:rsidR="008050ED" w:rsidRPr="0090559C">
        <w:t xml:space="preserve">Les </w:t>
      </w:r>
      <w:r w:rsidRPr="0090559C">
        <w:t>combiner avec la série 03 d</w:t>
      </w:r>
      <w:r w:rsidR="00E42E9D">
        <w:t>’</w:t>
      </w:r>
      <w:r w:rsidRPr="0090559C">
        <w:t xml:space="preserve">amendements au Règlement </w:t>
      </w:r>
      <w:r w:rsidR="0086678F" w:rsidRPr="0086678F">
        <w:t>n</w:t>
      </w:r>
      <w:r w:rsidR="0086678F" w:rsidRPr="0086678F">
        <w:rPr>
          <w:vertAlign w:val="superscript"/>
        </w:rPr>
        <w:t>o</w:t>
      </w:r>
      <w:r w:rsidR="0086678F" w:rsidRPr="0086678F">
        <w:t> </w:t>
      </w:r>
      <w:r w:rsidRPr="0090559C">
        <w:t>51 (ECE/TRANS/WP.29/2015/3) dans un document unique et soumettre celui-ci au WP.29 et à l</w:t>
      </w:r>
      <w:r w:rsidR="00E42E9D">
        <w:t>’</w:t>
      </w:r>
      <w:r w:rsidRPr="0090559C">
        <w:t>AC.1 pour examen et mise aux voix à leurs sessions de juin</w:t>
      </w:r>
      <w:r w:rsidR="00671BF7">
        <w:t xml:space="preserve"> </w:t>
      </w:r>
      <w:r w:rsidRPr="0090559C">
        <w:t xml:space="preserve">2015. En ce cas, il serait demandé à ces deux organes de </w:t>
      </w:r>
      <w:r w:rsidR="0013564E">
        <w:t xml:space="preserve">ne pas </w:t>
      </w:r>
      <w:r w:rsidRPr="0090559C">
        <w:t>examiner le document ECE/TRANS/WP.29/2015/3 en mars</w:t>
      </w:r>
      <w:r w:rsidR="00671BF7">
        <w:t xml:space="preserve"> </w:t>
      </w:r>
      <w:r w:rsidRPr="0090559C">
        <w:t>2015.</w:t>
      </w:r>
    </w:p>
    <w:p w:rsidR="00742462" w:rsidRPr="00E16D27" w:rsidRDefault="00742462" w:rsidP="0087389B">
      <w:pPr>
        <w:pStyle w:val="ParNoG"/>
        <w:tabs>
          <w:tab w:val="clear" w:pos="1701"/>
        </w:tabs>
      </w:pPr>
      <w:r w:rsidRPr="0090559C">
        <w:t>Le GRB a opté pour la deuxième option et a demandé à son président de rendre compte de cette décision au WP.29, à l</w:t>
      </w:r>
      <w:r w:rsidR="00E42E9D">
        <w:t>’</w:t>
      </w:r>
      <w:r w:rsidRPr="0090559C">
        <w:t>AC.1 et au Comité de gestion pour la coordination des travaux (AC.2) à leurs sessions de mars</w:t>
      </w:r>
      <w:r w:rsidR="00671BF7">
        <w:t xml:space="preserve"> </w:t>
      </w:r>
      <w:r w:rsidRPr="0090559C">
        <w:t>2015. Le GRB a aussi noté que le groupe informel des Règlements n</w:t>
      </w:r>
      <w:r w:rsidRPr="0090559C">
        <w:rPr>
          <w:vertAlign w:val="superscript"/>
        </w:rPr>
        <w:t>os</w:t>
      </w:r>
      <w:r w:rsidRPr="0090559C">
        <w:t> 51 et 59 avait mené à bien ses travaux et qu</w:t>
      </w:r>
      <w:r w:rsidR="00E42E9D">
        <w:t>’</w:t>
      </w:r>
      <w:r w:rsidRPr="0090559C">
        <w:t>il n</w:t>
      </w:r>
      <w:r w:rsidR="00E42E9D">
        <w:t>’</w:t>
      </w:r>
      <w:r w:rsidRPr="0090559C">
        <w:t>était donc pas nécessaire de proroger son mandat.</w:t>
      </w:r>
    </w:p>
    <w:p w:rsidR="00742462" w:rsidRPr="00E16D27" w:rsidRDefault="00742462" w:rsidP="00E01A0A">
      <w:pPr>
        <w:pStyle w:val="H1G"/>
        <w:spacing w:before="320" w:after="220"/>
      </w:pPr>
      <w:r>
        <w:tab/>
        <w:t>B.</w:t>
      </w:r>
      <w:r>
        <w:tab/>
        <w:t>Prescriptions supplémentaires applicables aux émissions sonores</w:t>
      </w:r>
    </w:p>
    <w:p w:rsidR="00742462" w:rsidRPr="00E16D27" w:rsidRDefault="00742462" w:rsidP="0087389B">
      <w:pPr>
        <w:pStyle w:val="ParNoG"/>
        <w:tabs>
          <w:tab w:val="clear" w:pos="1701"/>
        </w:tabs>
      </w:pPr>
      <w:r>
        <w:t>Aucun renseignement nouveau n</w:t>
      </w:r>
      <w:r w:rsidR="00E42E9D">
        <w:t>’</w:t>
      </w:r>
      <w:r>
        <w:t>a été communiqué au titre de ce point de l</w:t>
      </w:r>
      <w:r w:rsidR="00E42E9D">
        <w:t>’</w:t>
      </w:r>
      <w:r>
        <w:t>ordre</w:t>
      </w:r>
      <w:r w:rsidR="00E01A0A">
        <w:br/>
      </w:r>
      <w:r>
        <w:t>du jour.</w:t>
      </w:r>
    </w:p>
    <w:p w:rsidR="00742462" w:rsidRPr="0087389B" w:rsidRDefault="00742462" w:rsidP="00E01A0A">
      <w:pPr>
        <w:pStyle w:val="HChG"/>
        <w:spacing w:before="320" w:after="220"/>
      </w:pPr>
      <w:r>
        <w:tab/>
      </w:r>
      <w:r w:rsidRPr="0087389B">
        <w:t>VI.</w:t>
      </w:r>
      <w:r>
        <w:tab/>
      </w:r>
      <w:r w:rsidRPr="0087389B">
        <w:t xml:space="preserve">Règlement </w:t>
      </w:r>
      <w:r w:rsidR="0086678F" w:rsidRPr="0086678F">
        <w:t>n</w:t>
      </w:r>
      <w:r w:rsidR="0086678F" w:rsidRPr="0086678F">
        <w:rPr>
          <w:vertAlign w:val="superscript"/>
        </w:rPr>
        <w:t>o</w:t>
      </w:r>
      <w:r w:rsidR="0086678F" w:rsidRPr="0086678F">
        <w:t> </w:t>
      </w:r>
      <w:r w:rsidRPr="0087389B">
        <w:t>59 (Dispositifs silencieux d</w:t>
      </w:r>
      <w:r w:rsidR="00E42E9D">
        <w:t>’</w:t>
      </w:r>
      <w:r w:rsidRPr="0087389B">
        <w:t>échappement</w:t>
      </w:r>
      <w:r w:rsidR="0013564E">
        <w:br/>
      </w:r>
      <w:r w:rsidRPr="0087389B">
        <w:t>de remplacement) (</w:t>
      </w:r>
      <w:r w:rsidR="0086678F">
        <w:t>point </w:t>
      </w:r>
      <w:r w:rsidRPr="0087389B">
        <w:t>5 de l</w:t>
      </w:r>
      <w:r w:rsidR="00E42E9D">
        <w:t>’</w:t>
      </w:r>
      <w:r w:rsidRPr="0087389B">
        <w:t>ordre du jour)</w:t>
      </w:r>
    </w:p>
    <w:p w:rsidR="00742462" w:rsidRPr="0090559C" w:rsidRDefault="00742462" w:rsidP="00E01A0A">
      <w:pPr>
        <w:pStyle w:val="SingleTxtG"/>
        <w:ind w:left="2552" w:hanging="1418"/>
        <w:jc w:val="left"/>
      </w:pPr>
      <w:r w:rsidRPr="0087389B">
        <w:rPr>
          <w:i/>
        </w:rPr>
        <w:t>Document</w:t>
      </w:r>
      <w:r w:rsidRPr="0090559C">
        <w:t>:</w:t>
      </w:r>
      <w:r w:rsidRPr="0090559C">
        <w:tab/>
        <w:t>ECE/TRANS/WP.29/GRB/2015/4.</w:t>
      </w:r>
    </w:p>
    <w:p w:rsidR="00742462" w:rsidRPr="00E16D27" w:rsidRDefault="00742462" w:rsidP="0087389B">
      <w:pPr>
        <w:pStyle w:val="ParNoG"/>
        <w:tabs>
          <w:tab w:val="clear" w:pos="1701"/>
        </w:tabs>
      </w:pPr>
      <w:r w:rsidRPr="0090559C">
        <w:t xml:space="preserve">Le GRB a examiné de nouvelles propositions </w:t>
      </w:r>
      <w:r w:rsidR="0013564E">
        <w:t xml:space="preserve">pour la </w:t>
      </w:r>
      <w:r w:rsidRPr="0090559C">
        <w:t>série 02 d</w:t>
      </w:r>
      <w:r w:rsidR="00E42E9D">
        <w:t>’</w:t>
      </w:r>
      <w:r w:rsidRPr="0090559C">
        <w:t xml:space="preserve">amendements au Règlement </w:t>
      </w:r>
      <w:r w:rsidR="0086678F" w:rsidRPr="0086678F">
        <w:t>n</w:t>
      </w:r>
      <w:r w:rsidR="0086678F" w:rsidRPr="0086678F">
        <w:rPr>
          <w:vertAlign w:val="superscript"/>
        </w:rPr>
        <w:t>o</w:t>
      </w:r>
      <w:r w:rsidR="0086678F" w:rsidRPr="0086678F">
        <w:t> </w:t>
      </w:r>
      <w:r w:rsidRPr="0090559C">
        <w:t>59</w:t>
      </w:r>
      <w:r w:rsidR="0013564E">
        <w:t>,</w:t>
      </w:r>
      <w:r w:rsidRPr="0090559C">
        <w:t xml:space="preserve"> élaborées par le groupe informel des Règlements </w:t>
      </w:r>
      <w:r w:rsidR="0086678F" w:rsidRPr="0086678F">
        <w:t>n</w:t>
      </w:r>
      <w:r w:rsidR="0086678F" w:rsidRPr="0086678F">
        <w:rPr>
          <w:vertAlign w:val="superscript"/>
        </w:rPr>
        <w:t>os</w:t>
      </w:r>
      <w:r w:rsidR="0086678F" w:rsidRPr="0086678F">
        <w:t> </w:t>
      </w:r>
      <w:r w:rsidRPr="0090559C">
        <w:t>51 et 59 (ECE/TRANS/WP.29/GRB/2015/4). Le GRB a adopté ces propositions telles que modifiées par l</w:t>
      </w:r>
      <w:r w:rsidR="00E42E9D">
        <w:t>’</w:t>
      </w:r>
      <w:r w:rsidRPr="0090559C">
        <w:t>annexe IV du présent rapport et a demandé au secrétariat de les soumettre au WP.29 et à l</w:t>
      </w:r>
      <w:r w:rsidR="00E42E9D">
        <w:t>’</w:t>
      </w:r>
      <w:r w:rsidRPr="0090559C">
        <w:t>AC.1 en tant que projet de complément 1 à la série 02 d</w:t>
      </w:r>
      <w:r w:rsidR="00E42E9D">
        <w:t>’</w:t>
      </w:r>
      <w:r w:rsidRPr="0090559C">
        <w:t xml:space="preserve">amendements au Règlement </w:t>
      </w:r>
      <w:r w:rsidR="0086678F" w:rsidRPr="0086678F">
        <w:t>n</w:t>
      </w:r>
      <w:r w:rsidR="0086678F" w:rsidRPr="0086678F">
        <w:rPr>
          <w:vertAlign w:val="superscript"/>
        </w:rPr>
        <w:t>o</w:t>
      </w:r>
      <w:r w:rsidR="0086678F" w:rsidRPr="0086678F">
        <w:t> </w:t>
      </w:r>
      <w:r w:rsidRPr="0090559C">
        <w:t>59, pour examen et mise aux voix à leurs sessions de juin</w:t>
      </w:r>
      <w:r w:rsidR="00671BF7">
        <w:t xml:space="preserve"> </w:t>
      </w:r>
      <w:r w:rsidRPr="0090559C">
        <w:t>2015.</w:t>
      </w:r>
    </w:p>
    <w:p w:rsidR="00742462" w:rsidRPr="0087389B" w:rsidRDefault="00742462" w:rsidP="00E01A0A">
      <w:pPr>
        <w:pStyle w:val="HChG"/>
        <w:spacing w:before="320" w:after="220"/>
      </w:pPr>
      <w:r>
        <w:tab/>
      </w:r>
      <w:r w:rsidRPr="0087389B">
        <w:t>VII.</w:t>
      </w:r>
      <w:r>
        <w:tab/>
      </w:r>
      <w:r w:rsidRPr="0013564E">
        <w:rPr>
          <w:spacing w:val="1"/>
        </w:rPr>
        <w:t xml:space="preserve">Règlement </w:t>
      </w:r>
      <w:r w:rsidR="0086678F" w:rsidRPr="0086678F">
        <w:rPr>
          <w:spacing w:val="1"/>
        </w:rPr>
        <w:t>n</w:t>
      </w:r>
      <w:r w:rsidR="0086678F" w:rsidRPr="0086678F">
        <w:rPr>
          <w:spacing w:val="1"/>
          <w:vertAlign w:val="superscript"/>
        </w:rPr>
        <w:t>o</w:t>
      </w:r>
      <w:r w:rsidR="0086678F" w:rsidRPr="0086678F">
        <w:rPr>
          <w:spacing w:val="1"/>
        </w:rPr>
        <w:t> </w:t>
      </w:r>
      <w:r w:rsidRPr="0013564E">
        <w:rPr>
          <w:spacing w:val="1"/>
        </w:rPr>
        <w:t>92 (Dispositifs silencieux d</w:t>
      </w:r>
      <w:r w:rsidR="00E42E9D">
        <w:rPr>
          <w:spacing w:val="1"/>
        </w:rPr>
        <w:t>’</w:t>
      </w:r>
      <w:r w:rsidRPr="0013564E">
        <w:rPr>
          <w:spacing w:val="1"/>
        </w:rPr>
        <w:t>échappement de</w:t>
      </w:r>
      <w:r w:rsidRPr="0087389B">
        <w:t xml:space="preserve"> </w:t>
      </w:r>
      <w:r w:rsidRPr="0013564E">
        <w:rPr>
          <w:spacing w:val="-1"/>
        </w:rPr>
        <w:t>remplacement pour motocycles) (</w:t>
      </w:r>
      <w:r w:rsidR="0086678F">
        <w:rPr>
          <w:spacing w:val="-1"/>
        </w:rPr>
        <w:t>point </w:t>
      </w:r>
      <w:r w:rsidRPr="0013564E">
        <w:rPr>
          <w:spacing w:val="-1"/>
        </w:rPr>
        <w:t>6 de l</w:t>
      </w:r>
      <w:r w:rsidR="00E42E9D">
        <w:rPr>
          <w:spacing w:val="-1"/>
        </w:rPr>
        <w:t>’</w:t>
      </w:r>
      <w:r w:rsidRPr="0013564E">
        <w:rPr>
          <w:spacing w:val="-1"/>
        </w:rPr>
        <w:t>ordre du jour)</w:t>
      </w:r>
    </w:p>
    <w:p w:rsidR="00742462" w:rsidRPr="00E16D27" w:rsidRDefault="00742462" w:rsidP="0087389B">
      <w:pPr>
        <w:pStyle w:val="ParNoG"/>
        <w:tabs>
          <w:tab w:val="clear" w:pos="1701"/>
        </w:tabs>
      </w:pPr>
      <w:r>
        <w:t>Aucun renseignement nouveau n</w:t>
      </w:r>
      <w:r w:rsidR="00E42E9D">
        <w:t>’</w:t>
      </w:r>
      <w:r>
        <w:t>a été communiqué au titre de ce point de l</w:t>
      </w:r>
      <w:r w:rsidR="00E42E9D">
        <w:t>’</w:t>
      </w:r>
      <w:r>
        <w:t>ordre du</w:t>
      </w:r>
      <w:r w:rsidR="0013564E">
        <w:t> </w:t>
      </w:r>
      <w:r>
        <w:t>jour.</w:t>
      </w:r>
    </w:p>
    <w:p w:rsidR="00742462" w:rsidRPr="0087389B" w:rsidRDefault="00742462" w:rsidP="00E01A0A">
      <w:pPr>
        <w:pStyle w:val="HChG"/>
        <w:spacing w:before="320" w:after="220"/>
      </w:pPr>
      <w:r>
        <w:tab/>
      </w:r>
      <w:r w:rsidRPr="0087389B">
        <w:t>VIII.</w:t>
      </w:r>
      <w:r>
        <w:tab/>
      </w:r>
      <w:r w:rsidRPr="0087389B">
        <w:t xml:space="preserve">Règlement </w:t>
      </w:r>
      <w:r w:rsidR="0086678F" w:rsidRPr="0086678F">
        <w:t>n</w:t>
      </w:r>
      <w:r w:rsidR="0086678F" w:rsidRPr="0086678F">
        <w:rPr>
          <w:vertAlign w:val="superscript"/>
        </w:rPr>
        <w:t>o</w:t>
      </w:r>
      <w:r w:rsidR="0086678F" w:rsidRPr="0086678F">
        <w:t> </w:t>
      </w:r>
      <w:r w:rsidRPr="0087389B">
        <w:t xml:space="preserve">117 (Pneumatiques </w:t>
      </w:r>
      <w:r w:rsidR="008050ED">
        <w:t>−</w:t>
      </w:r>
      <w:r w:rsidRPr="0087389B">
        <w:t xml:space="preserve"> Résistance au roulement, bruit de roulement et adhérence sur sol mouillé)</w:t>
      </w:r>
      <w:r w:rsidR="0013564E">
        <w:br/>
      </w:r>
      <w:r w:rsidRPr="0087389B">
        <w:t>(</w:t>
      </w:r>
      <w:r w:rsidR="0086678F">
        <w:t>point </w:t>
      </w:r>
      <w:r w:rsidRPr="0087389B">
        <w:t>7 de l</w:t>
      </w:r>
      <w:r w:rsidR="00E42E9D">
        <w:t>’</w:t>
      </w:r>
      <w:r w:rsidRPr="0087389B">
        <w:t>ordre du jour)</w:t>
      </w:r>
    </w:p>
    <w:p w:rsidR="00742462" w:rsidRPr="0090559C" w:rsidRDefault="00742462" w:rsidP="00E01A0A">
      <w:pPr>
        <w:pStyle w:val="SingleTxtG"/>
        <w:ind w:left="2552" w:hanging="1418"/>
        <w:jc w:val="left"/>
      </w:pPr>
      <w:r w:rsidRPr="0087389B">
        <w:rPr>
          <w:i/>
        </w:rPr>
        <w:t>Documents</w:t>
      </w:r>
      <w:r w:rsidRPr="0090559C">
        <w:t>:</w:t>
      </w:r>
      <w:r w:rsidRPr="0090559C">
        <w:tab/>
        <w:t>ECE/TRANS/WP.29/GRB/2014/8</w:t>
      </w:r>
      <w:r w:rsidR="008050ED">
        <w:t>;</w:t>
      </w:r>
      <w:r w:rsidRPr="0090559C">
        <w:t xml:space="preserve"> ECE/TRANS/WP.29/GRRF/2015/9</w:t>
      </w:r>
      <w:r w:rsidR="008050ED">
        <w:t>;</w:t>
      </w:r>
      <w:r w:rsidR="0087389B">
        <w:t xml:space="preserve"> </w:t>
      </w:r>
      <w:r w:rsidRPr="0090559C">
        <w:t xml:space="preserve">documents </w:t>
      </w:r>
      <w:r w:rsidR="0013564E">
        <w:t xml:space="preserve">informels </w:t>
      </w:r>
      <w:r w:rsidRPr="0090559C">
        <w:t>GRB-61-06, GRB-61-09 et GRB-61-14.</w:t>
      </w:r>
    </w:p>
    <w:p w:rsidR="00742462" w:rsidRPr="0090559C" w:rsidRDefault="00742462" w:rsidP="0087389B">
      <w:pPr>
        <w:pStyle w:val="ParNoG"/>
        <w:tabs>
          <w:tab w:val="clear" w:pos="1701"/>
        </w:tabs>
      </w:pPr>
      <w:r w:rsidRPr="0090559C">
        <w:t>Le GRB a poursuivi l</w:t>
      </w:r>
      <w:r w:rsidR="00E42E9D">
        <w:t>’</w:t>
      </w:r>
      <w:r w:rsidRPr="0090559C">
        <w:t xml:space="preserve">examen de la proposition révisée concernant </w:t>
      </w:r>
      <w:r w:rsidRPr="006F26EF">
        <w:t>la précision de la mesure du temps par les instruments utilisés pour mesurer la résistance au roulement</w:t>
      </w:r>
      <w:r w:rsidR="00671BF7">
        <w:t xml:space="preserve"> </w:t>
      </w:r>
      <w:r w:rsidRPr="0090559C">
        <w:t>(ECE/TRANS/WP.29/GRB/2014/8). L</w:t>
      </w:r>
      <w:r w:rsidR="00E42E9D">
        <w:t>’</w:t>
      </w:r>
      <w:r w:rsidRPr="0090559C">
        <w:t>expert du Japon a proposé plusieurs modifications à cette proposition (GRB-61-06). Le GRB a adopté cette proposition telle que modifiée par l</w:t>
      </w:r>
      <w:r w:rsidR="00E42E9D">
        <w:t>’</w:t>
      </w:r>
      <w:r w:rsidRPr="0090559C">
        <w:t>annexe V du présent rapport et a demandé au secrétariat de la soumettre au WP.29 et à l</w:t>
      </w:r>
      <w:r w:rsidR="00E42E9D">
        <w:t>’</w:t>
      </w:r>
      <w:r w:rsidRPr="0090559C">
        <w:t>AC.1 en tant que projet de complément 8 à la série 02 d</w:t>
      </w:r>
      <w:r w:rsidR="00E42E9D">
        <w:t>’</w:t>
      </w:r>
      <w:r w:rsidRPr="0090559C">
        <w:t xml:space="preserve">amendements au Règlement </w:t>
      </w:r>
      <w:r w:rsidR="0086678F" w:rsidRPr="0086678F">
        <w:t>n</w:t>
      </w:r>
      <w:r w:rsidR="0086678F" w:rsidRPr="0086678F">
        <w:rPr>
          <w:vertAlign w:val="superscript"/>
        </w:rPr>
        <w:t>o</w:t>
      </w:r>
      <w:r w:rsidR="0086678F" w:rsidRPr="0086678F">
        <w:t> </w:t>
      </w:r>
      <w:r w:rsidRPr="0090559C">
        <w:t>117, pour examen et mise aux voix à leurs sessions de juin</w:t>
      </w:r>
      <w:r w:rsidR="00671BF7">
        <w:t xml:space="preserve"> </w:t>
      </w:r>
      <w:r w:rsidRPr="0090559C">
        <w:t>2015. Le GRB a aussi noté que le Groupe de travail en matière de roulement et de freinage (GRRF) examinerait, à sa session de février</w:t>
      </w:r>
      <w:r w:rsidR="00671BF7">
        <w:t xml:space="preserve"> </w:t>
      </w:r>
      <w:r w:rsidRPr="0090559C">
        <w:t xml:space="preserve">2015, un </w:t>
      </w:r>
      <w:r w:rsidR="0013564E">
        <w:t>rectificatif</w:t>
      </w:r>
      <w:r w:rsidRPr="0090559C">
        <w:t xml:space="preserve"> au complément 6 à la série 02 d</w:t>
      </w:r>
      <w:r w:rsidR="00E42E9D">
        <w:t>’</w:t>
      </w:r>
      <w:r w:rsidRPr="0090559C">
        <w:t xml:space="preserve">amendements au Règlement </w:t>
      </w:r>
      <w:r w:rsidR="0086678F" w:rsidRPr="0086678F">
        <w:t>n</w:t>
      </w:r>
      <w:r w:rsidR="0086678F" w:rsidRPr="0086678F">
        <w:rPr>
          <w:vertAlign w:val="superscript"/>
        </w:rPr>
        <w:t>o</w:t>
      </w:r>
      <w:r w:rsidR="0086678F" w:rsidRPr="0086678F">
        <w:t> </w:t>
      </w:r>
      <w:r w:rsidRPr="0090559C">
        <w:t>117 (ECE/TRANS/WP.29/GRRF/2015/9).</w:t>
      </w:r>
    </w:p>
    <w:p w:rsidR="00742462" w:rsidRPr="0090559C" w:rsidRDefault="00742462" w:rsidP="0087389B">
      <w:pPr>
        <w:pStyle w:val="ParNoG"/>
        <w:tabs>
          <w:tab w:val="clear" w:pos="1701"/>
        </w:tabs>
      </w:pPr>
      <w:r w:rsidRPr="0090559C">
        <w:lastRenderedPageBreak/>
        <w:t>L</w:t>
      </w:r>
      <w:r w:rsidR="00E42E9D">
        <w:t>’</w:t>
      </w:r>
      <w:r w:rsidRPr="0090559C">
        <w:t>expert de la France a présenté les résultats d</w:t>
      </w:r>
      <w:r w:rsidR="00E42E9D">
        <w:t>’</w:t>
      </w:r>
      <w:r w:rsidRPr="0090559C">
        <w:t>essais réalisés sur les pneumatiques de véhicules utilitaires (des classes C</w:t>
      </w:r>
      <w:r w:rsidRPr="0090559C">
        <w:rPr>
          <w:vertAlign w:val="subscript"/>
        </w:rPr>
        <w:t>2</w:t>
      </w:r>
      <w:r w:rsidRPr="0090559C">
        <w:t xml:space="preserve"> et C</w:t>
      </w:r>
      <w:r w:rsidRPr="0090559C">
        <w:rPr>
          <w:vertAlign w:val="subscript"/>
        </w:rPr>
        <w:t>3</w:t>
      </w:r>
      <w:r w:rsidRPr="0090559C">
        <w:t xml:space="preserve">) dans le cadre de </w:t>
      </w:r>
      <w:r w:rsidRPr="006F26EF">
        <w:t>l</w:t>
      </w:r>
      <w:r w:rsidR="00E42E9D">
        <w:t>’</w:t>
      </w:r>
      <w:r w:rsidRPr="006F26EF">
        <w:t>essai de décélération utilisant la forme dω/dt pour la mesure de la résistance au roulement</w:t>
      </w:r>
      <w:r w:rsidRPr="0090559C">
        <w:t xml:space="preserve"> (GRB-61-09). Cette étude visait à comparer les valeurs obtenues </w:t>
      </w:r>
      <w:r w:rsidR="0013564E">
        <w:t xml:space="preserve">avec </w:t>
      </w:r>
      <w:r w:rsidRPr="0090559C">
        <w:t xml:space="preserve">une machine destinée </w:t>
      </w:r>
      <w:r w:rsidR="0013564E">
        <w:t xml:space="preserve">spécifiquement aux </w:t>
      </w:r>
      <w:r w:rsidRPr="0090559C">
        <w:t xml:space="preserve">essais de résistance au roulement et </w:t>
      </w:r>
      <w:r w:rsidR="0013564E">
        <w:t>celles obtenues avec d</w:t>
      </w:r>
      <w:r w:rsidR="00E42E9D">
        <w:t>’</w:t>
      </w:r>
      <w:r w:rsidR="0013564E">
        <w:t xml:space="preserve">autres </w:t>
      </w:r>
      <w:r w:rsidRPr="0090559C">
        <w:t xml:space="preserve">dispositifs. Étant donné la mauvaise répétabilité des mesures effectuées grâce à des machines non spécialisées, </w:t>
      </w:r>
      <w:r w:rsidR="0013564E">
        <w:t>il n</w:t>
      </w:r>
      <w:r w:rsidR="00E42E9D">
        <w:t>’</w:t>
      </w:r>
      <w:r w:rsidR="0013564E">
        <w:t xml:space="preserve">est pas certain que ces machines puissent être utilisées pour </w:t>
      </w:r>
      <w:r w:rsidRPr="0090559C">
        <w:t>l</w:t>
      </w:r>
      <w:r w:rsidR="00E42E9D">
        <w:t>’</w:t>
      </w:r>
      <w:r w:rsidRPr="0090559C">
        <w:t xml:space="preserve">essai de décélération. Le GRB a </w:t>
      </w:r>
      <w:r w:rsidR="0013564E">
        <w:t xml:space="preserve">estimé </w:t>
      </w:r>
      <w:r w:rsidRPr="0090559C">
        <w:t xml:space="preserve">que des </w:t>
      </w:r>
      <w:r w:rsidR="0013564E">
        <w:t>études</w:t>
      </w:r>
      <w:r w:rsidRPr="0090559C">
        <w:t xml:space="preserve"> supplémentaires </w:t>
      </w:r>
      <w:r w:rsidR="0013564E">
        <w:t xml:space="preserve">seraient nécessaires </w:t>
      </w:r>
      <w:r w:rsidRPr="0090559C">
        <w:t>et a encouragé d</w:t>
      </w:r>
      <w:r w:rsidR="00E42E9D">
        <w:t>’</w:t>
      </w:r>
      <w:r w:rsidRPr="0090559C">
        <w:t>autres laboratoires à procéder</w:t>
      </w:r>
      <w:r w:rsidR="0013564E">
        <w:t xml:space="preserve"> à de tels essais</w:t>
      </w:r>
      <w:r w:rsidRPr="0090559C">
        <w:t>.</w:t>
      </w:r>
    </w:p>
    <w:p w:rsidR="00742462" w:rsidRPr="00E01A0A" w:rsidRDefault="00742462" w:rsidP="0087389B">
      <w:pPr>
        <w:pStyle w:val="ParNoG"/>
        <w:tabs>
          <w:tab w:val="clear" w:pos="1701"/>
        </w:tabs>
        <w:rPr>
          <w:spacing w:val="-1"/>
        </w:rPr>
      </w:pPr>
      <w:r w:rsidRPr="00E01A0A">
        <w:rPr>
          <w:spacing w:val="-1"/>
        </w:rPr>
        <w:t>L</w:t>
      </w:r>
      <w:r w:rsidR="00E42E9D">
        <w:rPr>
          <w:spacing w:val="-1"/>
        </w:rPr>
        <w:t>’</w:t>
      </w:r>
      <w:r w:rsidRPr="00E01A0A">
        <w:rPr>
          <w:spacing w:val="-1"/>
        </w:rPr>
        <w:t>expert de l</w:t>
      </w:r>
      <w:r w:rsidR="00E42E9D">
        <w:rPr>
          <w:spacing w:val="-1"/>
        </w:rPr>
        <w:t>’</w:t>
      </w:r>
      <w:r w:rsidRPr="00E01A0A">
        <w:rPr>
          <w:spacing w:val="-1"/>
        </w:rPr>
        <w:t xml:space="preserve">ETRTO a mentionné les travaux en cours qui visent à actualiser les références à la nouvelle version de la norme </w:t>
      </w:r>
      <w:r w:rsidR="0086678F" w:rsidRPr="00E01A0A">
        <w:rPr>
          <w:spacing w:val="-1"/>
        </w:rPr>
        <w:t>ISO </w:t>
      </w:r>
      <w:r w:rsidRPr="00E01A0A">
        <w:rPr>
          <w:spacing w:val="-1"/>
        </w:rPr>
        <w:t>10844:2014 (voir le par</w:t>
      </w:r>
      <w:r w:rsidR="008050ED">
        <w:rPr>
          <w:spacing w:val="-1"/>
        </w:rPr>
        <w:t>agraphe</w:t>
      </w:r>
      <w:r w:rsidRPr="00E01A0A">
        <w:rPr>
          <w:spacing w:val="-1"/>
        </w:rPr>
        <w:t> 17 ci</w:t>
      </w:r>
      <w:r w:rsidR="008050ED">
        <w:rPr>
          <w:spacing w:val="-1"/>
        </w:rPr>
        <w:noBreakHyphen/>
      </w:r>
      <w:r w:rsidRPr="00E01A0A">
        <w:rPr>
          <w:spacing w:val="-1"/>
        </w:rPr>
        <w:t>dessous) et a proposé d</w:t>
      </w:r>
      <w:r w:rsidR="00E42E9D">
        <w:rPr>
          <w:spacing w:val="-1"/>
        </w:rPr>
        <w:t>’</w:t>
      </w:r>
      <w:r w:rsidRPr="00E01A0A">
        <w:rPr>
          <w:spacing w:val="-1"/>
        </w:rPr>
        <w:t>apporter des modifications analogues à l</w:t>
      </w:r>
      <w:r w:rsidR="00E42E9D">
        <w:rPr>
          <w:spacing w:val="-1"/>
        </w:rPr>
        <w:t>’</w:t>
      </w:r>
      <w:r w:rsidRPr="00E01A0A">
        <w:rPr>
          <w:spacing w:val="-1"/>
        </w:rPr>
        <w:t>annexe 3 du Règlement</w:t>
      </w:r>
      <w:r w:rsidR="00251799">
        <w:rPr>
          <w:spacing w:val="-1"/>
        </w:rPr>
        <w:t xml:space="preserve"> </w:t>
      </w:r>
      <w:r w:rsidR="00251799" w:rsidRPr="00251799">
        <w:rPr>
          <w:rFonts w:eastAsia="MS Mincho"/>
          <w:spacing w:val="-1"/>
        </w:rPr>
        <w:t>n</w:t>
      </w:r>
      <w:r w:rsidR="00251799" w:rsidRPr="00251799">
        <w:rPr>
          <w:rFonts w:eastAsia="MS Mincho"/>
          <w:spacing w:val="-1"/>
          <w:vertAlign w:val="superscript"/>
        </w:rPr>
        <w:t>o</w:t>
      </w:r>
      <w:r w:rsidR="00251799">
        <w:rPr>
          <w:spacing w:val="-1"/>
        </w:rPr>
        <w:t> </w:t>
      </w:r>
      <w:r w:rsidRPr="00E01A0A">
        <w:rPr>
          <w:spacing w:val="-1"/>
        </w:rPr>
        <w:t>117</w:t>
      </w:r>
      <w:r w:rsidR="0086678F" w:rsidRPr="00E01A0A">
        <w:rPr>
          <w:spacing w:val="-1"/>
        </w:rPr>
        <w:t xml:space="preserve"> (GRB</w:t>
      </w:r>
      <w:r w:rsidR="0086678F" w:rsidRPr="00E01A0A">
        <w:rPr>
          <w:spacing w:val="-1"/>
        </w:rPr>
        <w:noBreakHyphen/>
      </w:r>
      <w:r w:rsidRPr="00E01A0A">
        <w:rPr>
          <w:spacing w:val="-1"/>
        </w:rPr>
        <w:t>61-14). L</w:t>
      </w:r>
      <w:r w:rsidR="00E42E9D">
        <w:rPr>
          <w:spacing w:val="-1"/>
        </w:rPr>
        <w:t>’</w:t>
      </w:r>
      <w:r w:rsidRPr="00E01A0A">
        <w:rPr>
          <w:spacing w:val="-1"/>
        </w:rPr>
        <w:t>expert de l</w:t>
      </w:r>
      <w:r w:rsidR="00E42E9D">
        <w:rPr>
          <w:spacing w:val="-1"/>
        </w:rPr>
        <w:t>’</w:t>
      </w:r>
      <w:r w:rsidRPr="00E01A0A">
        <w:rPr>
          <w:spacing w:val="-1"/>
        </w:rPr>
        <w:t xml:space="preserve">ISO a fait référence à son exposé sur la comparaison entre les versions 2014 et 2011 de la </w:t>
      </w:r>
      <w:r w:rsidR="0086678F" w:rsidRPr="00E01A0A">
        <w:rPr>
          <w:spacing w:val="-1"/>
        </w:rPr>
        <w:t>norme ISO </w:t>
      </w:r>
      <w:r w:rsidRPr="00E01A0A">
        <w:rPr>
          <w:spacing w:val="-1"/>
        </w:rPr>
        <w:t>10844 (GRB-60-17) et a rappelé que seules des modifications de forme avaient été apportées, à l</w:t>
      </w:r>
      <w:r w:rsidR="00E42E9D">
        <w:rPr>
          <w:spacing w:val="-1"/>
        </w:rPr>
        <w:t>’</w:t>
      </w:r>
      <w:r w:rsidRPr="00E01A0A">
        <w:rPr>
          <w:spacing w:val="-1"/>
        </w:rPr>
        <w:t>exclusion de toute modification d</w:t>
      </w:r>
      <w:r w:rsidR="00E42E9D">
        <w:rPr>
          <w:spacing w:val="-1"/>
        </w:rPr>
        <w:t>’</w:t>
      </w:r>
      <w:r w:rsidRPr="00E01A0A">
        <w:rPr>
          <w:spacing w:val="-1"/>
        </w:rPr>
        <w:t>ordre technique. Le GRB est convenu que des dispositions transitoires n</w:t>
      </w:r>
      <w:r w:rsidR="00E42E9D">
        <w:rPr>
          <w:spacing w:val="-1"/>
        </w:rPr>
        <w:t>’</w:t>
      </w:r>
      <w:r w:rsidRPr="00E01A0A">
        <w:rPr>
          <w:spacing w:val="-1"/>
        </w:rPr>
        <w:t>étaient donc pas nécessaires et a adopté cette proposition telle que reproduite dans l</w:t>
      </w:r>
      <w:r w:rsidR="00E42E9D">
        <w:rPr>
          <w:spacing w:val="-1"/>
        </w:rPr>
        <w:t>’</w:t>
      </w:r>
      <w:r w:rsidRPr="00E01A0A">
        <w:rPr>
          <w:spacing w:val="-1"/>
        </w:rPr>
        <w:t>annexe VI du présent rapport. Il a demandé au secrétariat de la soumettre au WP.29 et à l</w:t>
      </w:r>
      <w:r w:rsidR="00E42E9D">
        <w:rPr>
          <w:spacing w:val="-1"/>
        </w:rPr>
        <w:t>’</w:t>
      </w:r>
      <w:r w:rsidRPr="00E01A0A">
        <w:rPr>
          <w:spacing w:val="-1"/>
        </w:rPr>
        <w:t>AC.1 en tant que projet de complément</w:t>
      </w:r>
      <w:r w:rsidR="00671BF7" w:rsidRPr="00E01A0A">
        <w:rPr>
          <w:spacing w:val="-1"/>
        </w:rPr>
        <w:t xml:space="preserve"> </w:t>
      </w:r>
      <w:r w:rsidRPr="00E01A0A">
        <w:rPr>
          <w:spacing w:val="-1"/>
        </w:rPr>
        <w:t xml:space="preserve">au Règlement </w:t>
      </w:r>
      <w:r w:rsidR="0086678F" w:rsidRPr="00E01A0A">
        <w:rPr>
          <w:spacing w:val="-1"/>
        </w:rPr>
        <w:t>n</w:t>
      </w:r>
      <w:r w:rsidR="0086678F" w:rsidRPr="00E01A0A">
        <w:rPr>
          <w:spacing w:val="-1"/>
          <w:vertAlign w:val="superscript"/>
        </w:rPr>
        <w:t>o</w:t>
      </w:r>
      <w:r w:rsidR="0086678F" w:rsidRPr="00E01A0A">
        <w:rPr>
          <w:spacing w:val="-1"/>
        </w:rPr>
        <w:t> </w:t>
      </w:r>
      <w:r w:rsidRPr="00E01A0A">
        <w:rPr>
          <w:spacing w:val="-1"/>
        </w:rPr>
        <w:t>117 pour examen et mise aux voix à leurs sessions de juin</w:t>
      </w:r>
      <w:r w:rsidR="00671BF7" w:rsidRPr="00E01A0A">
        <w:rPr>
          <w:spacing w:val="-1"/>
        </w:rPr>
        <w:t xml:space="preserve"> </w:t>
      </w:r>
      <w:r w:rsidRPr="00E01A0A">
        <w:rPr>
          <w:spacing w:val="-1"/>
        </w:rPr>
        <w:t>2015.</w:t>
      </w:r>
    </w:p>
    <w:p w:rsidR="00742462" w:rsidRPr="0087389B" w:rsidRDefault="00742462" w:rsidP="0087389B">
      <w:pPr>
        <w:pStyle w:val="HChG"/>
      </w:pPr>
      <w:r>
        <w:tab/>
      </w:r>
      <w:r w:rsidRPr="0087389B">
        <w:t>IX.</w:t>
      </w:r>
      <w:r>
        <w:tab/>
      </w:r>
      <w:r w:rsidRPr="0087389B">
        <w:t>Amendements collectifs (</w:t>
      </w:r>
      <w:r w:rsidR="0086678F">
        <w:t>point </w:t>
      </w:r>
      <w:r w:rsidRPr="0087389B">
        <w:t>8 de l</w:t>
      </w:r>
      <w:r w:rsidR="00E42E9D">
        <w:t>’</w:t>
      </w:r>
      <w:r w:rsidRPr="0087389B">
        <w:t>ordre du jour): Prescriptions supplémentaires visant les Règlements</w:t>
      </w:r>
      <w:r w:rsidR="0013564E">
        <w:br/>
      </w:r>
      <w:r w:rsidR="0086678F" w:rsidRPr="0086678F">
        <w:t>n</w:t>
      </w:r>
      <w:r w:rsidR="0086678F" w:rsidRPr="0086678F">
        <w:rPr>
          <w:vertAlign w:val="superscript"/>
        </w:rPr>
        <w:t>os</w:t>
      </w:r>
      <w:r w:rsidR="0086678F" w:rsidRPr="0086678F">
        <w:t> </w:t>
      </w:r>
      <w:r w:rsidRPr="0087389B">
        <w:t>9, 41 et 63</w:t>
      </w:r>
    </w:p>
    <w:p w:rsidR="00742462" w:rsidRPr="0090559C" w:rsidRDefault="00742462" w:rsidP="00E01A0A">
      <w:pPr>
        <w:pStyle w:val="SingleTxtG"/>
        <w:ind w:left="2552" w:hanging="1418"/>
        <w:jc w:val="left"/>
      </w:pPr>
      <w:r w:rsidRPr="0087389B">
        <w:rPr>
          <w:i/>
        </w:rPr>
        <w:t>Documents</w:t>
      </w:r>
      <w:r w:rsidRPr="0090559C">
        <w:t>:</w:t>
      </w:r>
      <w:r w:rsidRPr="0090559C">
        <w:tab/>
        <w:t xml:space="preserve">ECE/TRANS/WP.29/GRB/2015/5 et document </w:t>
      </w:r>
      <w:r w:rsidR="0013564E">
        <w:t xml:space="preserve">informel </w:t>
      </w:r>
      <w:r w:rsidRPr="0090559C">
        <w:t>GRB-61-13.</w:t>
      </w:r>
    </w:p>
    <w:p w:rsidR="00742462" w:rsidRPr="00E16D27" w:rsidRDefault="00742462" w:rsidP="0087389B">
      <w:pPr>
        <w:pStyle w:val="ParNoG"/>
        <w:tabs>
          <w:tab w:val="clear" w:pos="1701"/>
        </w:tabs>
      </w:pPr>
      <w:r w:rsidRPr="0090559C">
        <w:t>L</w:t>
      </w:r>
      <w:r w:rsidR="00E42E9D">
        <w:t>’</w:t>
      </w:r>
      <w:r w:rsidRPr="0090559C">
        <w:t>expert de l</w:t>
      </w:r>
      <w:r w:rsidR="00E42E9D">
        <w:t>’</w:t>
      </w:r>
      <w:r w:rsidRPr="0090559C">
        <w:t>IMMA a proposé d</w:t>
      </w:r>
      <w:r w:rsidR="00E42E9D">
        <w:t>’</w:t>
      </w:r>
      <w:r w:rsidRPr="0090559C">
        <w:t xml:space="preserve">apporter des amendements collectifs aux Règlements </w:t>
      </w:r>
      <w:r w:rsidR="0086678F" w:rsidRPr="0086678F">
        <w:t>n</w:t>
      </w:r>
      <w:r w:rsidR="0086678F" w:rsidRPr="0086678F">
        <w:rPr>
          <w:vertAlign w:val="superscript"/>
        </w:rPr>
        <w:t>os</w:t>
      </w:r>
      <w:r w:rsidR="0086678F" w:rsidRPr="0086678F">
        <w:t> </w:t>
      </w:r>
      <w:r w:rsidRPr="0090559C">
        <w:t>9, 41 et 63 en vue de tenir compte de la norme ISO 10844:2014 récemment publiée et d</w:t>
      </w:r>
      <w:r w:rsidR="00E42E9D">
        <w:t>’</w:t>
      </w:r>
      <w:r w:rsidRPr="0090559C">
        <w:t>aligner les dispositions transitoires concernant les nouvelles homologations de type et les extensions d</w:t>
      </w:r>
      <w:r w:rsidR="00E42E9D">
        <w:t>’</w:t>
      </w:r>
      <w:r w:rsidRPr="0090559C">
        <w:t>homologations (ECE/TRANS/WP.29/GRB/2015/5 et GRB-61-13). Le GRB a adopté ces propositions telles que reproduites dans les annexes VII, VIII et IX du présent rapport et a demandé au secrétariat de les soumettre au WP.29 et à l</w:t>
      </w:r>
      <w:r w:rsidR="00E42E9D">
        <w:t>’</w:t>
      </w:r>
      <w:r w:rsidRPr="0090559C">
        <w:t>AC.1 pour examen et mise aux voix à leurs sessions de juin</w:t>
      </w:r>
      <w:r w:rsidR="00671BF7">
        <w:t xml:space="preserve"> </w:t>
      </w:r>
      <w:r w:rsidRPr="0090559C">
        <w:t>2015.</w:t>
      </w:r>
    </w:p>
    <w:p w:rsidR="00742462" w:rsidRPr="0087389B" w:rsidRDefault="00742462" w:rsidP="0087389B">
      <w:pPr>
        <w:pStyle w:val="HChG"/>
      </w:pPr>
      <w:r>
        <w:tab/>
      </w:r>
      <w:r w:rsidRPr="0087389B">
        <w:t>X.</w:t>
      </w:r>
      <w:r>
        <w:tab/>
      </w:r>
      <w:r w:rsidRPr="0087389B">
        <w:t>Échange de renseignements sur les prescriptions nationales</w:t>
      </w:r>
      <w:r w:rsidR="0013564E">
        <w:br/>
      </w:r>
      <w:r w:rsidRPr="0087389B">
        <w:t>et internationales en matière de niveau sonore</w:t>
      </w:r>
      <w:r w:rsidR="0013564E">
        <w:br/>
      </w:r>
      <w:r w:rsidRPr="0087389B">
        <w:t>(</w:t>
      </w:r>
      <w:r w:rsidR="0086678F">
        <w:t>point </w:t>
      </w:r>
      <w:r w:rsidRPr="0087389B">
        <w:t>9 de l</w:t>
      </w:r>
      <w:r w:rsidR="00E42E9D">
        <w:t>’</w:t>
      </w:r>
      <w:r w:rsidRPr="0087389B">
        <w:t>ordre du jour)</w:t>
      </w:r>
    </w:p>
    <w:p w:rsidR="00742462" w:rsidRPr="0090559C" w:rsidRDefault="00742462" w:rsidP="00E01A0A">
      <w:pPr>
        <w:pStyle w:val="SingleTxtG"/>
        <w:ind w:left="2552" w:hanging="1418"/>
        <w:jc w:val="left"/>
      </w:pPr>
      <w:r w:rsidRPr="0087389B">
        <w:rPr>
          <w:i/>
        </w:rPr>
        <w:t>Documents</w:t>
      </w:r>
      <w:r w:rsidRPr="0090559C">
        <w:t>:</w:t>
      </w:r>
      <w:r w:rsidRPr="0090559C">
        <w:tab/>
        <w:t xml:space="preserve">Documents </w:t>
      </w:r>
      <w:r w:rsidR="0013564E">
        <w:t xml:space="preserve">informels </w:t>
      </w:r>
      <w:r w:rsidRPr="0090559C">
        <w:t>GRB-61-01 et Add.1, GRB-61-03 et Add.1, GRB</w:t>
      </w:r>
      <w:r w:rsidR="0013564E">
        <w:noBreakHyphen/>
      </w:r>
      <w:r w:rsidRPr="0090559C">
        <w:t>61-17 et GRB-61-18.</w:t>
      </w:r>
    </w:p>
    <w:p w:rsidR="00742462" w:rsidRPr="0090559C" w:rsidRDefault="00742462" w:rsidP="0087389B">
      <w:pPr>
        <w:pStyle w:val="ParNoG"/>
        <w:tabs>
          <w:tab w:val="clear" w:pos="1701"/>
        </w:tabs>
      </w:pPr>
      <w:r w:rsidRPr="0090559C">
        <w:t>Après avoir cité deux études présentées à la session précédente du GRB, l</w:t>
      </w:r>
      <w:r w:rsidR="00E42E9D">
        <w:t>’</w:t>
      </w:r>
      <w:r w:rsidRPr="0090559C">
        <w:t>expert des Pays-Bas a avancé de nouveaux arguments en faveur d</w:t>
      </w:r>
      <w:r w:rsidR="00E42E9D">
        <w:t>’</w:t>
      </w:r>
      <w:r w:rsidRPr="0090559C">
        <w:t xml:space="preserve">une réduction des limites applicables </w:t>
      </w:r>
      <w:r w:rsidR="0013564E">
        <w:t xml:space="preserve">au niveau de bruit des pneumatiques </w:t>
      </w:r>
      <w:r w:rsidRPr="0090559C">
        <w:t xml:space="preserve">dans le Règlement </w:t>
      </w:r>
      <w:r w:rsidR="0086678F" w:rsidRPr="0086678F">
        <w:t>n</w:t>
      </w:r>
      <w:r w:rsidR="0086678F" w:rsidRPr="0086678F">
        <w:rPr>
          <w:vertAlign w:val="superscript"/>
        </w:rPr>
        <w:t>o</w:t>
      </w:r>
      <w:r w:rsidR="0086678F" w:rsidRPr="0086678F">
        <w:t> </w:t>
      </w:r>
      <w:r w:rsidRPr="0090559C">
        <w:t>117 et a présenté le texte de projets d</w:t>
      </w:r>
      <w:r w:rsidR="00E42E9D">
        <w:t>’</w:t>
      </w:r>
      <w:r w:rsidRPr="0090559C">
        <w:t>amendements (GRB-61-03 et Add.1). L</w:t>
      </w:r>
      <w:r w:rsidR="00E42E9D">
        <w:t>’</w:t>
      </w:r>
      <w:r w:rsidRPr="0090559C">
        <w:t>expert de l</w:t>
      </w:r>
      <w:r w:rsidR="00E42E9D">
        <w:t>’</w:t>
      </w:r>
      <w:r w:rsidRPr="0090559C">
        <w:t xml:space="preserve">ETRTO a </w:t>
      </w:r>
      <w:r w:rsidR="0013564E">
        <w:t>émis</w:t>
      </w:r>
      <w:r w:rsidRPr="0090559C">
        <w:t xml:space="preserve"> des doutes quant à la représentativité de l</w:t>
      </w:r>
      <w:r w:rsidR="00E42E9D">
        <w:t>’</w:t>
      </w:r>
      <w:r w:rsidRPr="0090559C">
        <w:t>échantillon de pneumatiques retenu aux fins de l</w:t>
      </w:r>
      <w:r w:rsidR="00E42E9D">
        <w:t>’</w:t>
      </w:r>
      <w:r w:rsidRPr="0090559C">
        <w:t>étude néerlandaise (GRB-61-18). Il a fait observer que les fabricants de pneumatiques s</w:t>
      </w:r>
      <w:r w:rsidR="00E42E9D">
        <w:t>’</w:t>
      </w:r>
      <w:r w:rsidRPr="0090559C">
        <w:t>employaient actuellement à satisfaire aux prescriptions de la série 02 d</w:t>
      </w:r>
      <w:r w:rsidR="00E42E9D">
        <w:t>’</w:t>
      </w:r>
      <w:r w:rsidRPr="0090559C">
        <w:t xml:space="preserve">amendements au Règlement </w:t>
      </w:r>
      <w:r w:rsidR="0086678F" w:rsidRPr="0086678F">
        <w:t>n</w:t>
      </w:r>
      <w:r w:rsidR="0086678F" w:rsidRPr="0086678F">
        <w:rPr>
          <w:vertAlign w:val="superscript"/>
        </w:rPr>
        <w:t>o</w:t>
      </w:r>
      <w:r w:rsidR="0086678F" w:rsidRPr="0086678F">
        <w:t> </w:t>
      </w:r>
      <w:r w:rsidRPr="0090559C">
        <w:t>117, entrée en vigueur en novembre</w:t>
      </w:r>
      <w:r w:rsidR="00671BF7">
        <w:t xml:space="preserve"> </w:t>
      </w:r>
      <w:r w:rsidRPr="0090559C">
        <w:t>2012. Selon lui, il serait prématuré d</w:t>
      </w:r>
      <w:r w:rsidR="00E42E9D">
        <w:t>’</w:t>
      </w:r>
      <w:r w:rsidRPr="0090559C">
        <w:t xml:space="preserve">envisager de réduire davantage les limites du niveau </w:t>
      </w:r>
      <w:r w:rsidR="0013564E">
        <w:t>de bruit</w:t>
      </w:r>
      <w:r w:rsidRPr="0090559C">
        <w:t xml:space="preserve"> des pneumatiques </w:t>
      </w:r>
      <w:r w:rsidR="0013564E">
        <w:t xml:space="preserve">avant que </w:t>
      </w:r>
      <w:r w:rsidRPr="0090559C">
        <w:lastRenderedPageBreak/>
        <w:t xml:space="preserve">ce processus </w:t>
      </w:r>
      <w:r w:rsidR="0013564E">
        <w:t>n</w:t>
      </w:r>
      <w:r w:rsidR="00E42E9D">
        <w:t>’</w:t>
      </w:r>
      <w:r w:rsidR="0013564E">
        <w:t xml:space="preserve">ait été </w:t>
      </w:r>
      <w:r w:rsidRPr="0090559C">
        <w:t>mené à bien</w:t>
      </w:r>
      <w:r w:rsidR="008050ED">
        <w:t>,</w:t>
      </w:r>
      <w:r w:rsidRPr="0090559C">
        <w:t xml:space="preserve"> </w:t>
      </w:r>
      <w:r w:rsidR="0013564E">
        <w:t xml:space="preserve">à savoir </w:t>
      </w:r>
      <w:r w:rsidRPr="0090559C">
        <w:t>d</w:t>
      </w:r>
      <w:r w:rsidR="00E42E9D">
        <w:t>’</w:t>
      </w:r>
      <w:r w:rsidRPr="0090559C">
        <w:t xml:space="preserve">ici </w:t>
      </w:r>
      <w:r w:rsidR="008050ED">
        <w:t xml:space="preserve">à </w:t>
      </w:r>
      <w:r w:rsidRPr="0090559C">
        <w:t>2018-2020. Les experts de la Chine, de la Norvège et de la Suisse ont avancé que la proposition soumise par les Pays-Bas devrait être examinée plus avant. Les experts de l</w:t>
      </w:r>
      <w:r w:rsidR="00E42E9D">
        <w:t>’</w:t>
      </w:r>
      <w:r w:rsidRPr="0090559C">
        <w:t xml:space="preserve">Allemagne et de la France ont </w:t>
      </w:r>
      <w:r w:rsidR="0013564E">
        <w:t xml:space="preserve">signalé des </w:t>
      </w:r>
      <w:r w:rsidRPr="0090559C">
        <w:t xml:space="preserve">problèmes </w:t>
      </w:r>
      <w:r w:rsidR="0013564E">
        <w:t xml:space="preserve">à propos de </w:t>
      </w:r>
      <w:r w:rsidRPr="0090559C">
        <w:t>l</w:t>
      </w:r>
      <w:r w:rsidR="00E42E9D">
        <w:t>’</w:t>
      </w:r>
      <w:r w:rsidRPr="0090559C">
        <w:t xml:space="preserve">étiquetage des pneumatiques. Le GRB a invité les experts à </w:t>
      </w:r>
      <w:r w:rsidR="00686B6C">
        <w:t xml:space="preserve">communiquer des </w:t>
      </w:r>
      <w:r w:rsidRPr="0090559C">
        <w:t xml:space="preserve">observations </w:t>
      </w:r>
      <w:r w:rsidR="00686B6C">
        <w:t>sur</w:t>
      </w:r>
      <w:r w:rsidRPr="0090559C">
        <w:t xml:space="preserve"> la proposition néerlandaise et a décidé de reprendre l</w:t>
      </w:r>
      <w:r w:rsidR="00E42E9D">
        <w:t>’</w:t>
      </w:r>
      <w:r w:rsidRPr="0090559C">
        <w:t xml:space="preserve">examen de cette question à sa prochaine session </w:t>
      </w:r>
      <w:r w:rsidR="00686B6C">
        <w:t>en s</w:t>
      </w:r>
      <w:r w:rsidR="00E42E9D">
        <w:t>’</w:t>
      </w:r>
      <w:r w:rsidR="00686B6C">
        <w:t xml:space="preserve">appuyant sur </w:t>
      </w:r>
      <w:r w:rsidRPr="0090559C">
        <w:t>un nouveau document informel où figureraient les propositions de projets d</w:t>
      </w:r>
      <w:r w:rsidR="00E42E9D">
        <w:t>’</w:t>
      </w:r>
      <w:r w:rsidRPr="0090559C">
        <w:t>amendements soumises par l</w:t>
      </w:r>
      <w:r w:rsidR="00E42E9D">
        <w:t>’</w:t>
      </w:r>
      <w:r w:rsidRPr="0090559C">
        <w:t>expert des Pays-Bas dans le document GRB-61-03.</w:t>
      </w:r>
    </w:p>
    <w:p w:rsidR="00742462" w:rsidRPr="0090559C" w:rsidRDefault="00742462" w:rsidP="0087389B">
      <w:pPr>
        <w:pStyle w:val="ParNoG"/>
        <w:tabs>
          <w:tab w:val="clear" w:pos="1701"/>
        </w:tabs>
      </w:pPr>
      <w:r w:rsidRPr="0090559C">
        <w:t>L</w:t>
      </w:r>
      <w:r w:rsidR="00E42E9D">
        <w:t>’</w:t>
      </w:r>
      <w:r w:rsidRPr="0090559C">
        <w:t>expert de la Fédération de Russie a exposé l</w:t>
      </w:r>
      <w:r w:rsidR="00E42E9D">
        <w:t>’</w:t>
      </w:r>
      <w:r w:rsidRPr="0090559C">
        <w:t xml:space="preserve">évolution des normes sanitaires et des règlements concernant le bruit intérieur dans </w:t>
      </w:r>
      <w:r w:rsidR="00686B6C">
        <w:t>l</w:t>
      </w:r>
      <w:r w:rsidR="00E42E9D">
        <w:t>’</w:t>
      </w:r>
      <w:r w:rsidR="00686B6C">
        <w:t>ex-</w:t>
      </w:r>
      <w:r w:rsidRPr="0090559C">
        <w:t xml:space="preserve">Union soviétique et dans la Fédération de Russie (GRB-61-17). Il a en outre informé le GRB </w:t>
      </w:r>
      <w:r w:rsidR="00686B6C">
        <w:t>qu</w:t>
      </w:r>
      <w:r w:rsidR="00E42E9D">
        <w:t>’</w:t>
      </w:r>
      <w:r w:rsidRPr="0090559C">
        <w:t xml:space="preserve">un nouveau règlement régional </w:t>
      </w:r>
      <w:r w:rsidR="00E01A0A" w:rsidRPr="00686B6C">
        <w:t>entré</w:t>
      </w:r>
      <w:r w:rsidR="00686B6C" w:rsidRPr="00686B6C">
        <w:t xml:space="preserve"> en vigueur le 1</w:t>
      </w:r>
      <w:r w:rsidR="00686B6C" w:rsidRPr="00686B6C">
        <w:rPr>
          <w:vertAlign w:val="superscript"/>
        </w:rPr>
        <w:t>er</w:t>
      </w:r>
      <w:r w:rsidR="00686B6C" w:rsidRPr="00686B6C">
        <w:t> janvier</w:t>
      </w:r>
      <w:r w:rsidR="00671BF7">
        <w:t xml:space="preserve"> </w:t>
      </w:r>
      <w:r w:rsidR="00686B6C" w:rsidRPr="00686B6C">
        <w:t>2015</w:t>
      </w:r>
      <w:r w:rsidR="008050ED">
        <w:t>,</w:t>
      </w:r>
      <w:r w:rsidR="00686B6C">
        <w:t xml:space="preserve"> </w:t>
      </w:r>
      <w:r w:rsidRPr="0090559C">
        <w:t>dans le cadre de l</w:t>
      </w:r>
      <w:r w:rsidR="00E42E9D">
        <w:t>’</w:t>
      </w:r>
      <w:r w:rsidRPr="0090559C">
        <w:t xml:space="preserve">Union douanière, </w:t>
      </w:r>
      <w:r w:rsidR="00686B6C">
        <w:t xml:space="preserve">fixait des </w:t>
      </w:r>
      <w:r w:rsidRPr="0090559C">
        <w:t xml:space="preserve">valeurs </w:t>
      </w:r>
      <w:r w:rsidR="00686B6C">
        <w:t>du</w:t>
      </w:r>
      <w:r w:rsidRPr="0090559C">
        <w:t xml:space="preserve"> bruit à l</w:t>
      </w:r>
      <w:r w:rsidR="00E42E9D">
        <w:t>’</w:t>
      </w:r>
      <w:r w:rsidRPr="0090559C">
        <w:t>intérieur des véhicules</w:t>
      </w:r>
      <w:r w:rsidR="00686B6C">
        <w:t xml:space="preserve"> à respecter obligatoirement</w:t>
      </w:r>
      <w:r w:rsidRPr="0090559C">
        <w:t xml:space="preserve">. Il a précisé que son exposé avait uniquement valeur informative et que toute proposition concrète ne </w:t>
      </w:r>
      <w:r w:rsidR="00686B6C">
        <w:t>pourrait</w:t>
      </w:r>
      <w:r w:rsidRPr="0090559C">
        <w:t xml:space="preserve"> être soumise au GRB qu</w:t>
      </w:r>
      <w:r w:rsidR="00E42E9D">
        <w:t>’</w:t>
      </w:r>
      <w:r w:rsidR="00686B6C">
        <w:t xml:space="preserve">après que </w:t>
      </w:r>
      <w:r w:rsidRPr="0090559C">
        <w:t>la norme ISO</w:t>
      </w:r>
      <w:r w:rsidR="008050ED">
        <w:t>-</w:t>
      </w:r>
      <w:r w:rsidRPr="0090559C">
        <w:t xml:space="preserve">5128 concernant le </w:t>
      </w:r>
      <w:r w:rsidRPr="006F26EF">
        <w:t>mesurage du bruit à l</w:t>
      </w:r>
      <w:r w:rsidR="00E42E9D">
        <w:t>’</w:t>
      </w:r>
      <w:r w:rsidRPr="006F26EF">
        <w:t>intérieur des véhicules à moteur,</w:t>
      </w:r>
      <w:r w:rsidR="00671BF7">
        <w:t xml:space="preserve"> </w:t>
      </w:r>
      <w:r w:rsidR="00686B6C">
        <w:t xml:space="preserve">qui remonte à </w:t>
      </w:r>
      <w:r w:rsidRPr="0090559C">
        <w:t>1980</w:t>
      </w:r>
      <w:r w:rsidR="00686B6C">
        <w:t>, aurait été actualisée</w:t>
      </w:r>
      <w:r w:rsidRPr="0090559C">
        <w:t>. L</w:t>
      </w:r>
      <w:r w:rsidR="00E42E9D">
        <w:t>’</w:t>
      </w:r>
      <w:r w:rsidRPr="0090559C">
        <w:t>expert de l</w:t>
      </w:r>
      <w:r w:rsidR="00E42E9D">
        <w:t>’</w:t>
      </w:r>
      <w:r w:rsidRPr="0090559C">
        <w:t>ISO a fait rapport sur les activités de son organisation dans ce domaine. Le Président a proposé de maintenir cette question à l</w:t>
      </w:r>
      <w:r w:rsidR="00E42E9D">
        <w:t>’</w:t>
      </w:r>
      <w:r w:rsidRPr="0090559C">
        <w:t>ordre du jour et, dans un premier temps, de déterminer s</w:t>
      </w:r>
      <w:r w:rsidR="00E42E9D">
        <w:t>’</w:t>
      </w:r>
      <w:r w:rsidRPr="0090559C">
        <w:t>il convient d</w:t>
      </w:r>
      <w:r w:rsidR="00E42E9D">
        <w:t>’</w:t>
      </w:r>
      <w:r w:rsidRPr="0090559C">
        <w:t>actualiser les méthodes de mesurage du bruit intérieur énoncées dans la Résolution d</w:t>
      </w:r>
      <w:r w:rsidR="00E42E9D">
        <w:t>’</w:t>
      </w:r>
      <w:r w:rsidRPr="0090559C">
        <w:t>ensemble sur la construction des véhicules (R.E.3).</w:t>
      </w:r>
    </w:p>
    <w:p w:rsidR="00742462" w:rsidRPr="00E16D27" w:rsidRDefault="00742462" w:rsidP="0087389B">
      <w:pPr>
        <w:pStyle w:val="ParNoG"/>
        <w:tabs>
          <w:tab w:val="clear" w:pos="1701"/>
        </w:tabs>
      </w:pPr>
      <w:r w:rsidRPr="0090559C">
        <w:t>L</w:t>
      </w:r>
      <w:r w:rsidR="00E42E9D">
        <w:t>’</w:t>
      </w:r>
      <w:r w:rsidRPr="0090559C">
        <w:t>expert des Pays-Bas a présenté un document de travail (GRB-61-01 et Add.1) dans lequel il est envisagé d</w:t>
      </w:r>
      <w:r w:rsidR="00E42E9D">
        <w:t>’</w:t>
      </w:r>
      <w:r w:rsidRPr="0090559C">
        <w:t>introduire un nouveau système d</w:t>
      </w:r>
      <w:r w:rsidR="00E42E9D">
        <w:t>’</w:t>
      </w:r>
      <w:r w:rsidRPr="0090559C">
        <w:t>étiquetage pour les véhicules en fonction des émissions sonores</w:t>
      </w:r>
      <w:r w:rsidR="00686B6C">
        <w:t xml:space="preserve"> et qui contient u</w:t>
      </w:r>
      <w:r w:rsidRPr="0090559C">
        <w:t>n premier modèle à cet effet. Il a notamment suggéré de faire reposer le système d</w:t>
      </w:r>
      <w:r w:rsidR="00E42E9D">
        <w:t>’</w:t>
      </w:r>
      <w:r w:rsidRPr="0090559C">
        <w:t xml:space="preserve">étiquetage destiné aux voitures particulières sur des </w:t>
      </w:r>
      <w:r w:rsidR="00686B6C">
        <w:t>notes</w:t>
      </w:r>
      <w:r w:rsidRPr="0090559C">
        <w:t xml:space="preserve"> tenant compte du bruit à l</w:t>
      </w:r>
      <w:r w:rsidR="00E42E9D">
        <w:t>’</w:t>
      </w:r>
      <w:r w:rsidRPr="0090559C">
        <w:t>intérieur de l</w:t>
      </w:r>
      <w:r w:rsidR="00E42E9D">
        <w:t>’</w:t>
      </w:r>
      <w:r w:rsidRPr="0090559C">
        <w:t>habitacle, du bruit du groupe motopropulseur (moteur et échappement) et du bruit des pneumatiques. Les experts de l</w:t>
      </w:r>
      <w:r w:rsidR="00E42E9D">
        <w:t>’</w:t>
      </w:r>
      <w:r w:rsidRPr="0090559C">
        <w:t>Allemagne, de l</w:t>
      </w:r>
      <w:r w:rsidR="00E42E9D">
        <w:t>’</w:t>
      </w:r>
      <w:r w:rsidRPr="0090559C">
        <w:t>Autriche, de la France et de l</w:t>
      </w:r>
      <w:r w:rsidR="00E42E9D">
        <w:t>’</w:t>
      </w:r>
      <w:r w:rsidRPr="0090559C">
        <w:t>OICA ont soulevé des questions d</w:t>
      </w:r>
      <w:r w:rsidR="00E42E9D">
        <w:t>’</w:t>
      </w:r>
      <w:r w:rsidRPr="0090559C">
        <w:t>ordre pratique concernant les avantages qu</w:t>
      </w:r>
      <w:r w:rsidR="00E42E9D">
        <w:t>’</w:t>
      </w:r>
      <w:r w:rsidRPr="0090559C">
        <w:t>un tel système d</w:t>
      </w:r>
      <w:r w:rsidR="00E42E9D">
        <w:t>’</w:t>
      </w:r>
      <w:r w:rsidRPr="0090559C">
        <w:t xml:space="preserve">étiquetage pourrait avoir pour </w:t>
      </w:r>
      <w:r w:rsidR="00686B6C">
        <w:t>les usagers</w:t>
      </w:r>
      <w:r w:rsidRPr="0090559C">
        <w:t>. L</w:t>
      </w:r>
      <w:r w:rsidR="00E42E9D">
        <w:t>’</w:t>
      </w:r>
      <w:r w:rsidRPr="0090559C">
        <w:t>expert de la Commission européenne a fait observer que l</w:t>
      </w:r>
      <w:r w:rsidR="00E42E9D">
        <w:t>’</w:t>
      </w:r>
      <w:r w:rsidRPr="0090559C">
        <w:t>étiquetage relevait de la compétence communautaire et qu</w:t>
      </w:r>
      <w:r w:rsidR="00E42E9D">
        <w:t>’</w:t>
      </w:r>
      <w:r w:rsidRPr="0090559C">
        <w:t>il convenait de suivre les procédures internes de l</w:t>
      </w:r>
      <w:r w:rsidR="00E42E9D">
        <w:t>’</w:t>
      </w:r>
      <w:r w:rsidRPr="0090559C">
        <w:t>UE. Le GRB a décidé de reprendre l</w:t>
      </w:r>
      <w:r w:rsidR="00E42E9D">
        <w:t>’</w:t>
      </w:r>
      <w:r w:rsidRPr="0090559C">
        <w:t>examen de cette question à sa prochaine session.</w:t>
      </w:r>
    </w:p>
    <w:p w:rsidR="00742462" w:rsidRPr="0087389B" w:rsidRDefault="00742462" w:rsidP="0087389B">
      <w:pPr>
        <w:pStyle w:val="HChG"/>
      </w:pPr>
      <w:r w:rsidRPr="00E01A0A">
        <w:rPr>
          <w:spacing w:val="-2"/>
        </w:rPr>
        <w:tab/>
        <w:t>XI.</w:t>
      </w:r>
      <w:r w:rsidRPr="00E01A0A">
        <w:rPr>
          <w:spacing w:val="-2"/>
        </w:rPr>
        <w:tab/>
        <w:t>Incidences du revêtement de la route sur le bruit de roulement</w:t>
      </w:r>
      <w:r w:rsidRPr="0087389B">
        <w:t xml:space="preserve"> des pneumatiques (</w:t>
      </w:r>
      <w:r w:rsidR="0086678F">
        <w:t>point </w:t>
      </w:r>
      <w:r w:rsidRPr="0087389B">
        <w:t>10 de l</w:t>
      </w:r>
      <w:r w:rsidR="00E42E9D">
        <w:t>’</w:t>
      </w:r>
      <w:r w:rsidRPr="0087389B">
        <w:t>ordre du jour)</w:t>
      </w:r>
    </w:p>
    <w:p w:rsidR="00E01A0A" w:rsidRDefault="00742462" w:rsidP="00E01A0A">
      <w:pPr>
        <w:pStyle w:val="SingleTxtG"/>
        <w:ind w:left="2552" w:hanging="1418"/>
        <w:jc w:val="left"/>
      </w:pPr>
      <w:r w:rsidRPr="0087389B">
        <w:rPr>
          <w:i/>
        </w:rPr>
        <w:t>Document</w:t>
      </w:r>
      <w:r w:rsidRPr="00462185">
        <w:t>:</w:t>
      </w:r>
      <w:r w:rsidRPr="00462185">
        <w:tab/>
        <w:t xml:space="preserve">Document </w:t>
      </w:r>
      <w:r w:rsidR="00686B6C">
        <w:t xml:space="preserve">informel </w:t>
      </w:r>
      <w:r w:rsidRPr="00462185">
        <w:t>GRB-61-16.</w:t>
      </w:r>
    </w:p>
    <w:p w:rsidR="00742462" w:rsidRPr="00462185" w:rsidRDefault="00742462" w:rsidP="0087389B">
      <w:pPr>
        <w:pStyle w:val="ParNoG"/>
        <w:tabs>
          <w:tab w:val="clear" w:pos="1701"/>
        </w:tabs>
      </w:pPr>
      <w:r w:rsidRPr="00462185">
        <w:t>L</w:t>
      </w:r>
      <w:r w:rsidR="00E42E9D">
        <w:t>’</w:t>
      </w:r>
      <w:r w:rsidRPr="00462185">
        <w:t>expert de la CEDR a fait part de l</w:t>
      </w:r>
      <w:r w:rsidR="00E42E9D">
        <w:t>’</w:t>
      </w:r>
      <w:r w:rsidRPr="00462185">
        <w:t>expérience de son organisation et de ses membres en ce qui concerne l</w:t>
      </w:r>
      <w:r w:rsidR="00E42E9D">
        <w:t>’</w:t>
      </w:r>
      <w:r w:rsidRPr="00462185">
        <w:t>utilisation de revêtements antibruit</w:t>
      </w:r>
      <w:r w:rsidR="00686B6C">
        <w:t xml:space="preserve"> (</w:t>
      </w:r>
      <w:r w:rsidR="00686B6C" w:rsidRPr="00686B6C">
        <w:t>GRB-61-16</w:t>
      </w:r>
      <w:r w:rsidR="00686B6C">
        <w:t>)</w:t>
      </w:r>
      <w:r w:rsidRPr="00462185">
        <w:t xml:space="preserve">, qui </w:t>
      </w:r>
      <w:r w:rsidR="00686B6C">
        <w:t>s</w:t>
      </w:r>
      <w:r w:rsidRPr="00462185">
        <w:t xml:space="preserve">ont </w:t>
      </w:r>
      <w:r w:rsidR="00686B6C">
        <w:t xml:space="preserve">plus efficaces </w:t>
      </w:r>
      <w:r w:rsidRPr="00462185">
        <w:t xml:space="preserve">que les écrans antibruit et réduisent les émissions sonores de 2 à 3 dB (6 dB au maximum). </w:t>
      </w:r>
      <w:r w:rsidR="00686B6C">
        <w:t>Par contre</w:t>
      </w:r>
      <w:r w:rsidRPr="00462185">
        <w:t xml:space="preserve">, la durée de vie de ces revêtements est moindre que celle des revêtements classiques, </w:t>
      </w:r>
      <w:r w:rsidR="00686B6C">
        <w:t>et</w:t>
      </w:r>
      <w:r w:rsidRPr="00462185">
        <w:t xml:space="preserve"> leur coût</w:t>
      </w:r>
      <w:r w:rsidR="0086678F">
        <w:t>,</w:t>
      </w:r>
      <w:r w:rsidRPr="00462185">
        <w:t xml:space="preserve"> lui, est plus élevé.</w:t>
      </w:r>
    </w:p>
    <w:p w:rsidR="00742462" w:rsidRPr="00E16D27" w:rsidRDefault="00742462" w:rsidP="0087389B">
      <w:pPr>
        <w:pStyle w:val="ParNoG"/>
        <w:tabs>
          <w:tab w:val="clear" w:pos="1701"/>
        </w:tabs>
      </w:pPr>
      <w:r w:rsidRPr="00462185">
        <w:t xml:space="preserve">Le GRB a noté que les émissions sonores </w:t>
      </w:r>
      <w:r w:rsidR="00686B6C">
        <w:t xml:space="preserve">dépendaient de </w:t>
      </w:r>
      <w:r w:rsidRPr="00462185">
        <w:t>trois éléments: les véhicules, les pneumatiques et le revêtement de la route. Une approche globale s</w:t>
      </w:r>
      <w:r w:rsidR="00E42E9D">
        <w:t>’</w:t>
      </w:r>
      <w:r w:rsidRPr="00462185">
        <w:t>imposait donc si l</w:t>
      </w:r>
      <w:r w:rsidR="00E42E9D">
        <w:t>’</w:t>
      </w:r>
      <w:r w:rsidRPr="00462185">
        <w:t>on voulait les réduire. Le Président a rappelé que</w:t>
      </w:r>
      <w:r w:rsidR="00686B6C">
        <w:t xml:space="preserve">, actuellement, </w:t>
      </w:r>
      <w:r w:rsidRPr="00462185">
        <w:t xml:space="preserve">les dispositions des Règlements ONU ne portent pas sur le revêtement des routes et que le GRB </w:t>
      </w:r>
      <w:r w:rsidR="00686B6C">
        <w:t>n</w:t>
      </w:r>
      <w:r w:rsidR="00E42E9D">
        <w:t>’</w:t>
      </w:r>
      <w:r w:rsidR="00686B6C">
        <w:t xml:space="preserve">est pas chargé de formuler </w:t>
      </w:r>
      <w:r w:rsidRPr="00462185">
        <w:t>des prescriptions à cet égard. Le GRB a décidé de poursuivre l</w:t>
      </w:r>
      <w:r w:rsidR="00E42E9D">
        <w:t>’</w:t>
      </w:r>
      <w:r w:rsidRPr="00462185">
        <w:t xml:space="preserve">examen de ce point à sa prochaine session </w:t>
      </w:r>
      <w:r w:rsidR="00686B6C">
        <w:t xml:space="preserve">en espérant que de </w:t>
      </w:r>
      <w:r w:rsidRPr="006F26EF">
        <w:t xml:space="preserve">nouvelles études et </w:t>
      </w:r>
      <w:r w:rsidR="00686B6C">
        <w:t>de</w:t>
      </w:r>
      <w:r w:rsidRPr="006F26EF">
        <w:t xml:space="preserve"> nouveaux exposés </w:t>
      </w:r>
      <w:r w:rsidR="00686B6C">
        <w:t>sur la question seront disponibles</w:t>
      </w:r>
      <w:r w:rsidRPr="006F26EF">
        <w:t>.</w:t>
      </w:r>
    </w:p>
    <w:p w:rsidR="00742462" w:rsidRPr="0087389B" w:rsidRDefault="00742462" w:rsidP="0087389B">
      <w:pPr>
        <w:pStyle w:val="HChG"/>
      </w:pPr>
      <w:r>
        <w:lastRenderedPageBreak/>
        <w:tab/>
      </w:r>
      <w:r w:rsidRPr="0087389B">
        <w:t>XII.</w:t>
      </w:r>
      <w:r>
        <w:tab/>
      </w:r>
      <w:r w:rsidRPr="0087389B">
        <w:t>Véhicules à moteur silencieux (</w:t>
      </w:r>
      <w:r w:rsidR="0086678F">
        <w:t>point </w:t>
      </w:r>
      <w:r w:rsidRPr="0087389B">
        <w:t>11 de l</w:t>
      </w:r>
      <w:r w:rsidR="00E42E9D">
        <w:t>’</w:t>
      </w:r>
      <w:r w:rsidRPr="0087389B">
        <w:t>ordre du jour)</w:t>
      </w:r>
    </w:p>
    <w:p w:rsidR="00E01A0A" w:rsidRDefault="00742462" w:rsidP="0087389B">
      <w:pPr>
        <w:pStyle w:val="SingleTxtG"/>
        <w:ind w:left="2552" w:hanging="1418"/>
      </w:pPr>
      <w:r w:rsidRPr="0087389B">
        <w:rPr>
          <w:i/>
        </w:rPr>
        <w:t>Documents</w:t>
      </w:r>
      <w:r w:rsidRPr="00462185">
        <w:t>:</w:t>
      </w:r>
      <w:r w:rsidRPr="00462185">
        <w:tab/>
        <w:t xml:space="preserve">Documents </w:t>
      </w:r>
      <w:r w:rsidR="00686B6C">
        <w:t xml:space="preserve">informels </w:t>
      </w:r>
      <w:r w:rsidRPr="00462185">
        <w:t>GRB-61-02, GRB-61-10 et GRB-61-15.</w:t>
      </w:r>
    </w:p>
    <w:p w:rsidR="00E01A0A" w:rsidRDefault="00742462" w:rsidP="0087389B">
      <w:pPr>
        <w:pStyle w:val="ParNoG"/>
        <w:tabs>
          <w:tab w:val="clear" w:pos="1701"/>
        </w:tabs>
      </w:pPr>
      <w:r w:rsidRPr="00462185">
        <w:t>L</w:t>
      </w:r>
      <w:r w:rsidR="00E42E9D">
        <w:t>’</w:t>
      </w:r>
      <w:r w:rsidRPr="00462185">
        <w:t>expert de l</w:t>
      </w:r>
      <w:r w:rsidR="00E42E9D">
        <w:t>’</w:t>
      </w:r>
      <w:r w:rsidRPr="00462185">
        <w:t>UMA a présenté un document de travail (GRB-61-15) faisant état de préoccupations au sujet d</w:t>
      </w:r>
      <w:r w:rsidR="00E42E9D">
        <w:t>’</w:t>
      </w:r>
      <w:r w:rsidRPr="00462185">
        <w:t>un avertisseur sonore de présence pour les véhicules à moteur silencieux. Il a souligné qu</w:t>
      </w:r>
      <w:r w:rsidR="00E42E9D">
        <w:t>’</w:t>
      </w:r>
      <w:r w:rsidRPr="00462185">
        <w:t xml:space="preserve">un tel dispositif devait </w:t>
      </w:r>
      <w:r w:rsidR="00686B6C">
        <w:t>indiquer quatre éléments</w:t>
      </w:r>
      <w:r w:rsidRPr="00462185">
        <w:t>, à savoir la présence, le sens de circulation, la position et le déplacement d</w:t>
      </w:r>
      <w:r w:rsidR="00E42E9D">
        <w:t>’</w:t>
      </w:r>
      <w:r w:rsidRPr="00462185">
        <w:t xml:space="preserve">un véhicule hybride ou électrique. Il a </w:t>
      </w:r>
      <w:r w:rsidR="00686B6C">
        <w:t>ajouté</w:t>
      </w:r>
      <w:r w:rsidRPr="00462185">
        <w:t xml:space="preserve"> qu</w:t>
      </w:r>
      <w:r w:rsidR="00E42E9D">
        <w:t>’</w:t>
      </w:r>
      <w:r w:rsidRPr="00462185">
        <w:t xml:space="preserve">il devait être possible de détecter et de localiser le bruit émis par un tel système, </w:t>
      </w:r>
      <w:r w:rsidR="00686B6C">
        <w:t xml:space="preserve">que le système </w:t>
      </w:r>
      <w:r w:rsidRPr="00462185">
        <w:t xml:space="preserve">devait rester actif même </w:t>
      </w:r>
      <w:r w:rsidR="00686B6C">
        <w:t>sur</w:t>
      </w:r>
      <w:r w:rsidRPr="00462185">
        <w:t xml:space="preserve"> le véhicule à l</w:t>
      </w:r>
      <w:r w:rsidR="00E42E9D">
        <w:t>’</w:t>
      </w:r>
      <w:r w:rsidRPr="00462185">
        <w:t>arrêt</w:t>
      </w:r>
      <w:r w:rsidR="00686B6C">
        <w:t>,</w:t>
      </w:r>
      <w:r w:rsidRPr="00462185">
        <w:t xml:space="preserve"> et </w:t>
      </w:r>
      <w:r w:rsidR="00686B6C">
        <w:t xml:space="preserve">que </w:t>
      </w:r>
      <w:r w:rsidRPr="00462185">
        <w:t>le conducteur ne dev</w:t>
      </w:r>
      <w:r w:rsidR="00686B6C">
        <w:t>r</w:t>
      </w:r>
      <w:r w:rsidRPr="00462185">
        <w:t>ait pas pouvoir le désactiver, même temporairement.</w:t>
      </w:r>
    </w:p>
    <w:p w:rsidR="00742462" w:rsidRPr="00462185" w:rsidRDefault="00742462" w:rsidP="0087389B">
      <w:pPr>
        <w:pStyle w:val="ParNoG"/>
        <w:tabs>
          <w:tab w:val="clear" w:pos="1701"/>
        </w:tabs>
      </w:pPr>
      <w:r w:rsidRPr="00462185">
        <w:t>Les experts de l</w:t>
      </w:r>
      <w:r w:rsidR="00E42E9D">
        <w:t>’</w:t>
      </w:r>
      <w:r w:rsidRPr="00462185">
        <w:t>Allemagne et de la France, se partageant la présidence du groupe de travail informel des véhicules à moteur silencieux chargé d</w:t>
      </w:r>
      <w:r w:rsidR="00E42E9D">
        <w:t>’</w:t>
      </w:r>
      <w:r w:rsidRPr="00462185">
        <w:t>élaborer un Règlement ONU dans le cadre de l</w:t>
      </w:r>
      <w:r w:rsidR="00E42E9D">
        <w:t>’</w:t>
      </w:r>
      <w:r w:rsidRPr="00462185">
        <w:t xml:space="preserve">Accord de 1958, ont informé le GRB </w:t>
      </w:r>
      <w:r w:rsidR="00686B6C">
        <w:t>de l</w:t>
      </w:r>
      <w:r w:rsidR="00E42E9D">
        <w:t>’</w:t>
      </w:r>
      <w:r w:rsidR="00686B6C">
        <w:t xml:space="preserve">avancement de leurs travaux sur les points les plus importants </w:t>
      </w:r>
      <w:r w:rsidRPr="00462185">
        <w:t>(GRB-61-02 et GRB-61-10). Le GRB a noté qu</w:t>
      </w:r>
      <w:r w:rsidR="00E42E9D">
        <w:t>’</w:t>
      </w:r>
      <w:r w:rsidRPr="00462185">
        <w:t>un projet de Règlement serait officiellement soumis à sa prochaine session de septembre</w:t>
      </w:r>
      <w:r w:rsidR="00671BF7">
        <w:t xml:space="preserve"> </w:t>
      </w:r>
      <w:r w:rsidRPr="00462185">
        <w:t xml:space="preserve">2015, comme le prévoyait le mandat du groupe informel. Le Président a invité les experts du GRB à communiquer </w:t>
      </w:r>
      <w:r w:rsidR="00686B6C" w:rsidRPr="00686B6C">
        <w:t xml:space="preserve">dès que possible </w:t>
      </w:r>
      <w:r w:rsidRPr="00462185">
        <w:t>au groupe informel leurs observations concernant le projet de Règlement relatif aux véhicules à moteur silencieux et/ou à prendre part aux travaux dudit groupe.</w:t>
      </w:r>
    </w:p>
    <w:p w:rsidR="00742462" w:rsidRPr="00462185" w:rsidRDefault="00742462" w:rsidP="0087389B">
      <w:pPr>
        <w:pStyle w:val="ParNoG"/>
        <w:tabs>
          <w:tab w:val="clear" w:pos="1701"/>
        </w:tabs>
      </w:pPr>
      <w:r w:rsidRPr="00462185">
        <w:t xml:space="preserve">Le GRB a confirmé que le nouveau Règlement sur les véhicules à moteur silencieux ne porterait initialement que sur les véhicules électriques et électriques hybrides des catégories M et N. </w:t>
      </w:r>
      <w:r w:rsidR="00686B6C">
        <w:t>Il</w:t>
      </w:r>
      <w:r w:rsidRPr="00462185">
        <w:t xml:space="preserve"> est convenu que</w:t>
      </w:r>
      <w:r w:rsidR="00686B6C">
        <w:t>, dans un premier temps, le système d</w:t>
      </w:r>
      <w:r w:rsidR="00E42E9D">
        <w:t>’</w:t>
      </w:r>
      <w:r w:rsidRPr="00462185">
        <w:t>émission sonore du véhicule à l</w:t>
      </w:r>
      <w:r w:rsidR="00E42E9D">
        <w:t>’</w:t>
      </w:r>
      <w:r w:rsidRPr="00462185">
        <w:t>arrêt et de mise en pause serait facultatif. Le GRB est également convenu qu</w:t>
      </w:r>
      <w:r w:rsidR="00E42E9D">
        <w:t>’</w:t>
      </w:r>
      <w:r w:rsidRPr="00462185">
        <w:t>un niveau sonore maximal devrait être spécifié dans le Règlement relatif aux véhicules à moteur silencieux afin de protéger l</w:t>
      </w:r>
      <w:r w:rsidR="00E42E9D">
        <w:t>’</w:t>
      </w:r>
      <w:r w:rsidRPr="00462185">
        <w:t>environnement. L</w:t>
      </w:r>
      <w:r w:rsidR="00E42E9D">
        <w:t>’</w:t>
      </w:r>
      <w:r w:rsidRPr="00462185">
        <w:t>expert de l</w:t>
      </w:r>
      <w:r w:rsidR="00E42E9D">
        <w:t>’</w:t>
      </w:r>
      <w:r w:rsidRPr="00462185">
        <w:t>UMA a souscrit à cette proposition.</w:t>
      </w:r>
    </w:p>
    <w:p w:rsidR="00742462" w:rsidRPr="00E16D27" w:rsidRDefault="00742462" w:rsidP="0087389B">
      <w:pPr>
        <w:pStyle w:val="ParNoG"/>
        <w:tabs>
          <w:tab w:val="clear" w:pos="1701"/>
        </w:tabs>
      </w:pPr>
      <w:r w:rsidRPr="00462185">
        <w:t>Le Président a rappelé que le groupe informel chargé d</w:t>
      </w:r>
      <w:r w:rsidR="00E42E9D">
        <w:t>’</w:t>
      </w:r>
      <w:r w:rsidRPr="00462185">
        <w:t>élaborer un Règlement ONU sur les véhicules à moteur silencieux devait collaborer étroitement avec le groupe informel chargé d</w:t>
      </w:r>
      <w:r w:rsidR="00E42E9D">
        <w:t>’</w:t>
      </w:r>
      <w:r w:rsidRPr="00462185">
        <w:t>établir un Règlement technique mondial (RTM) sur les véhicules à moteur silencieux. Il a indiqué que ce dernier demanderait au WP.29 de proroger son mandat pour une durée d</w:t>
      </w:r>
      <w:r w:rsidR="00E42E9D">
        <w:t>’</w:t>
      </w:r>
      <w:r w:rsidRPr="00462185">
        <w:t>un an.</w:t>
      </w:r>
    </w:p>
    <w:p w:rsidR="00742462" w:rsidRPr="0087389B" w:rsidRDefault="00742462" w:rsidP="0087389B">
      <w:pPr>
        <w:pStyle w:val="HChG"/>
      </w:pPr>
      <w:r>
        <w:tab/>
      </w:r>
      <w:r w:rsidRPr="0087389B">
        <w:t>XIII.</w:t>
      </w:r>
      <w:r>
        <w:tab/>
      </w:r>
      <w:r w:rsidRPr="0087389B">
        <w:t>Définitions et sigles figurant dans les Règlements relevant</w:t>
      </w:r>
      <w:r w:rsidR="00686B6C">
        <w:br/>
      </w:r>
      <w:r w:rsidRPr="0087389B">
        <w:t>de la responsabilité du GRB (</w:t>
      </w:r>
      <w:r w:rsidR="0086678F">
        <w:t>point </w:t>
      </w:r>
      <w:r w:rsidRPr="0087389B">
        <w:t>12 de l</w:t>
      </w:r>
      <w:r w:rsidR="00E42E9D">
        <w:t>’</w:t>
      </w:r>
      <w:r w:rsidRPr="0087389B">
        <w:t>ordre du jour)</w:t>
      </w:r>
    </w:p>
    <w:p w:rsidR="00742462" w:rsidRPr="00462185" w:rsidRDefault="00742462" w:rsidP="00E01A0A">
      <w:pPr>
        <w:pStyle w:val="SingleTxtG"/>
        <w:ind w:left="2552" w:hanging="1418"/>
        <w:jc w:val="left"/>
      </w:pPr>
      <w:r w:rsidRPr="0087389B">
        <w:rPr>
          <w:i/>
        </w:rPr>
        <w:t>Documents</w:t>
      </w:r>
      <w:r w:rsidRPr="00462185">
        <w:t>:</w:t>
      </w:r>
      <w:r w:rsidRPr="00462185">
        <w:tab/>
        <w:t xml:space="preserve">Documents </w:t>
      </w:r>
      <w:r w:rsidR="00686B6C">
        <w:t xml:space="preserve">informels </w:t>
      </w:r>
      <w:r w:rsidRPr="00462185">
        <w:t>GRB-57-12 et GRB-57-18.</w:t>
      </w:r>
    </w:p>
    <w:p w:rsidR="00742462" w:rsidRPr="00E16D27" w:rsidRDefault="00742462" w:rsidP="0087389B">
      <w:pPr>
        <w:pStyle w:val="ParNoG"/>
        <w:tabs>
          <w:tab w:val="clear" w:pos="1701"/>
        </w:tabs>
      </w:pPr>
      <w:r w:rsidRPr="00462185">
        <w:t>Le GRB a noté que, conformément à la décision prise par le WP.29, le secrétariat travaillait actuellement à l</w:t>
      </w:r>
      <w:r w:rsidR="00E42E9D">
        <w:t>’</w:t>
      </w:r>
      <w:r w:rsidRPr="00462185">
        <w:t>élaboration d</w:t>
      </w:r>
      <w:r w:rsidR="00E42E9D">
        <w:t>’</w:t>
      </w:r>
      <w:r w:rsidRPr="00462185">
        <w:t>un modèle de registre centralisant les sigles utilisés par le Forum mondial ainsi que les définitions employées dans les Règlements ONU et les RTM. Dans ce cadre, le GRB a de nouveau demandé à l</w:t>
      </w:r>
      <w:r w:rsidR="00E42E9D">
        <w:t>’</w:t>
      </w:r>
      <w:r w:rsidRPr="00462185">
        <w:t>OICA et à l</w:t>
      </w:r>
      <w:r w:rsidR="00E42E9D">
        <w:t>’</w:t>
      </w:r>
      <w:r w:rsidRPr="00462185">
        <w:t>IMMA d</w:t>
      </w:r>
      <w:r w:rsidR="00E42E9D">
        <w:t>’</w:t>
      </w:r>
      <w:r w:rsidRPr="00462185">
        <w:t xml:space="preserve">actualiser les documents GRB-57-12 et GRB-57-18 </w:t>
      </w:r>
      <w:r w:rsidR="00686B6C">
        <w:t xml:space="preserve">contenant </w:t>
      </w:r>
      <w:r w:rsidRPr="00462185">
        <w:t>les définitions et les acronymes employés dans les Règlements qui relèvent de la responsabilité du GRB.</w:t>
      </w:r>
    </w:p>
    <w:p w:rsidR="00742462" w:rsidRPr="00686B6C" w:rsidRDefault="00742462" w:rsidP="0087389B">
      <w:pPr>
        <w:pStyle w:val="HChG"/>
        <w:rPr>
          <w:spacing w:val="-2"/>
        </w:rPr>
      </w:pPr>
      <w:r w:rsidRPr="00686B6C">
        <w:rPr>
          <w:spacing w:val="2"/>
        </w:rPr>
        <w:lastRenderedPageBreak/>
        <w:tab/>
        <w:t>XIV.</w:t>
      </w:r>
      <w:r w:rsidRPr="00686B6C">
        <w:rPr>
          <w:spacing w:val="2"/>
        </w:rPr>
        <w:tab/>
        <w:t>Propositions d</w:t>
      </w:r>
      <w:r w:rsidR="00E42E9D">
        <w:rPr>
          <w:spacing w:val="2"/>
        </w:rPr>
        <w:t>’</w:t>
      </w:r>
      <w:r w:rsidRPr="00686B6C">
        <w:rPr>
          <w:spacing w:val="2"/>
        </w:rPr>
        <w:t>amendements à la Résolution d</w:t>
      </w:r>
      <w:r w:rsidR="00E42E9D">
        <w:rPr>
          <w:spacing w:val="2"/>
        </w:rPr>
        <w:t>’</w:t>
      </w:r>
      <w:r w:rsidRPr="00686B6C">
        <w:rPr>
          <w:spacing w:val="2"/>
        </w:rPr>
        <w:t>ensemble</w:t>
      </w:r>
      <w:r w:rsidR="00686B6C" w:rsidRPr="00686B6C">
        <w:rPr>
          <w:spacing w:val="2"/>
        </w:rPr>
        <w:br/>
      </w:r>
      <w:r w:rsidRPr="00686B6C">
        <w:rPr>
          <w:spacing w:val="-2"/>
        </w:rPr>
        <w:t>sur la construction des véhicules (</w:t>
      </w:r>
      <w:r w:rsidR="0086678F">
        <w:rPr>
          <w:spacing w:val="-2"/>
        </w:rPr>
        <w:t>point </w:t>
      </w:r>
      <w:r w:rsidRPr="00686B6C">
        <w:rPr>
          <w:spacing w:val="-2"/>
        </w:rPr>
        <w:t>13 de l</w:t>
      </w:r>
      <w:r w:rsidR="00E42E9D">
        <w:rPr>
          <w:spacing w:val="-2"/>
        </w:rPr>
        <w:t>’</w:t>
      </w:r>
      <w:r w:rsidRPr="00686B6C">
        <w:rPr>
          <w:spacing w:val="-2"/>
        </w:rPr>
        <w:t>ordre du jour)</w:t>
      </w:r>
    </w:p>
    <w:p w:rsidR="00742462" w:rsidRPr="00E16D27" w:rsidRDefault="00742462" w:rsidP="00E01A0A">
      <w:pPr>
        <w:pStyle w:val="SingleTxtG"/>
        <w:keepNext/>
        <w:ind w:left="2552" w:hanging="1418"/>
        <w:jc w:val="left"/>
      </w:pPr>
      <w:r w:rsidRPr="0087389B">
        <w:rPr>
          <w:i/>
        </w:rPr>
        <w:t>Document</w:t>
      </w:r>
      <w:r w:rsidRPr="009C7A82">
        <w:t>:</w:t>
      </w:r>
      <w:r w:rsidRPr="009C7A82">
        <w:tab/>
      </w:r>
      <w:r>
        <w:t>ECE/TRANS/WP.29/2015/35.</w:t>
      </w:r>
    </w:p>
    <w:p w:rsidR="00742462" w:rsidRPr="00E16D27" w:rsidRDefault="00742462" w:rsidP="0087389B">
      <w:pPr>
        <w:pStyle w:val="ParNoG"/>
        <w:tabs>
          <w:tab w:val="clear" w:pos="1701"/>
        </w:tabs>
      </w:pPr>
      <w:r w:rsidRPr="00462185">
        <w:t>Le GRB a été informé que le Groupe de travail de l</w:t>
      </w:r>
      <w:r w:rsidR="00E42E9D">
        <w:t>’</w:t>
      </w:r>
      <w:r w:rsidRPr="00462185">
        <w:t xml:space="preserve">éclairage et de la signalisation lumineuse (GRE) avait approuvé des projets de définitions des remorques agricoles et des machines tractées, </w:t>
      </w:r>
      <w:r w:rsidR="00686B6C">
        <w:t xml:space="preserve">à introduire </w:t>
      </w:r>
      <w:r w:rsidRPr="00462185">
        <w:t>dans la Résolution d</w:t>
      </w:r>
      <w:r w:rsidR="00E42E9D">
        <w:t>’</w:t>
      </w:r>
      <w:r w:rsidRPr="00462185">
        <w:t>ensemble sur la construction des véhicules (R.E.3) (ECE/TRANS/WP.29/2015/35). Il a invité les experts à faire part de leurs éventuelles observations et suggestions au secrétariat.</w:t>
      </w:r>
    </w:p>
    <w:p w:rsidR="00742462" w:rsidRPr="0087389B" w:rsidRDefault="00742462" w:rsidP="0087389B">
      <w:pPr>
        <w:pStyle w:val="HChG"/>
      </w:pPr>
      <w:r>
        <w:tab/>
      </w:r>
      <w:r w:rsidRPr="0087389B">
        <w:t>XV.</w:t>
      </w:r>
      <w:r>
        <w:tab/>
      </w:r>
      <w:r w:rsidRPr="0087389B">
        <w:t>Mise au point d</w:t>
      </w:r>
      <w:r w:rsidR="00E42E9D">
        <w:t>’</w:t>
      </w:r>
      <w:r w:rsidRPr="0087389B">
        <w:t>une homologation de type internationale</w:t>
      </w:r>
      <w:r w:rsidR="00686B6C">
        <w:br/>
      </w:r>
      <w:r w:rsidRPr="0087389B">
        <w:t>de l</w:t>
      </w:r>
      <w:r w:rsidR="00E42E9D">
        <w:t>’</w:t>
      </w:r>
      <w:r w:rsidRPr="0087389B">
        <w:t>ensemble du véhicule (IWVTA) et participation</w:t>
      </w:r>
      <w:r w:rsidR="00686B6C">
        <w:br/>
      </w:r>
      <w:r w:rsidRPr="0087389B">
        <w:t>des Groupes de travail à cette entreprise</w:t>
      </w:r>
      <w:r w:rsidR="00686B6C">
        <w:br/>
      </w:r>
      <w:r w:rsidRPr="0087389B">
        <w:t>(</w:t>
      </w:r>
      <w:r w:rsidR="0086678F">
        <w:t>point </w:t>
      </w:r>
      <w:r w:rsidRPr="0087389B">
        <w:t>14 de l</w:t>
      </w:r>
      <w:r w:rsidR="00E42E9D">
        <w:t>’</w:t>
      </w:r>
      <w:r w:rsidRPr="0087389B">
        <w:t>ordre du jour)</w:t>
      </w:r>
    </w:p>
    <w:p w:rsidR="00E01A0A" w:rsidRDefault="00742462" w:rsidP="00E01A0A">
      <w:pPr>
        <w:pStyle w:val="SingleTxtG"/>
        <w:ind w:left="2552" w:hanging="1418"/>
        <w:jc w:val="left"/>
      </w:pPr>
      <w:r w:rsidRPr="0087389B">
        <w:rPr>
          <w:i/>
        </w:rPr>
        <w:t>Documents</w:t>
      </w:r>
      <w:r w:rsidRPr="00462185">
        <w:t>:</w:t>
      </w:r>
      <w:r w:rsidRPr="00462185">
        <w:tab/>
        <w:t>ECE/TRANS/WP.29/2014/53 et ECE/TRANS/WP.29/2014/82.</w:t>
      </w:r>
    </w:p>
    <w:p w:rsidR="00742462" w:rsidRPr="00462185" w:rsidRDefault="00742462" w:rsidP="0087389B">
      <w:pPr>
        <w:pStyle w:val="ParNoG"/>
        <w:tabs>
          <w:tab w:val="clear" w:pos="1701"/>
        </w:tabs>
      </w:pPr>
      <w:r w:rsidRPr="00462185">
        <w:t>Le secrétariat a informé le GRB de l</w:t>
      </w:r>
      <w:r w:rsidR="00E42E9D">
        <w:t>’</w:t>
      </w:r>
      <w:r w:rsidRPr="00462185">
        <w:t>état actuel de la Révision 3 de l</w:t>
      </w:r>
      <w:r w:rsidR="00E42E9D">
        <w:t>’</w:t>
      </w:r>
      <w:r w:rsidRPr="00462185">
        <w:t>Accord de 1958, des travaux de mise au point de l</w:t>
      </w:r>
      <w:r w:rsidR="00E42E9D">
        <w:t>’</w:t>
      </w:r>
      <w:r w:rsidRPr="00462185">
        <w:t xml:space="preserve">IWVTA et de la </w:t>
      </w:r>
      <w:r w:rsidRPr="006F26EF">
        <w:t>base de données électronique pour l</w:t>
      </w:r>
      <w:r w:rsidR="00E42E9D">
        <w:t>’</w:t>
      </w:r>
      <w:r w:rsidRPr="006F26EF">
        <w:t>échange de renseignements sur les homologations de type (DETA).</w:t>
      </w:r>
      <w:r w:rsidRPr="00462185">
        <w:t xml:space="preserve"> Il a </w:t>
      </w:r>
      <w:r w:rsidR="00686B6C">
        <w:t>souligné</w:t>
      </w:r>
      <w:r w:rsidRPr="00462185">
        <w:t xml:space="preserve"> les dernières modifications apportées au texte du projet de Révision 3 lors de la session du WP.29 de novembre</w:t>
      </w:r>
      <w:r w:rsidR="00671BF7">
        <w:t xml:space="preserve"> </w:t>
      </w:r>
      <w:r w:rsidRPr="00462185">
        <w:t>2014 ainsi que les questions restées en suspens (ECE/TRANS/WP.29/2014/53 et ECE/TRANS/WP.29/2014/82). Le GRB a demandé au secrétariat de lui faire, à sa prochaine session, un exposé détaillé sur la Révision 3 de l</w:t>
      </w:r>
      <w:r w:rsidR="00E42E9D">
        <w:t>’</w:t>
      </w:r>
      <w:r w:rsidRPr="00462185">
        <w:t xml:space="preserve">Accord de 1958. Le Président a indiqué que les Règlements </w:t>
      </w:r>
      <w:r w:rsidR="0086678F" w:rsidRPr="0086678F">
        <w:t>n</w:t>
      </w:r>
      <w:r w:rsidR="0086678F" w:rsidRPr="0086678F">
        <w:rPr>
          <w:vertAlign w:val="superscript"/>
        </w:rPr>
        <w:t>os</w:t>
      </w:r>
      <w:r w:rsidR="0086678F" w:rsidRPr="0086678F">
        <w:t> </w:t>
      </w:r>
      <w:r w:rsidRPr="00462185">
        <w:t>28, 51 et 117, qui relèvent de la responsabilité du GRB, avaient été récemment modifiés et étaient donc prêts à être incorporés dans la liste de l</w:t>
      </w:r>
      <w:r w:rsidR="00E42E9D">
        <w:t>’</w:t>
      </w:r>
      <w:r w:rsidRPr="00462185">
        <w:t>IVWTA.</w:t>
      </w:r>
    </w:p>
    <w:p w:rsidR="00742462" w:rsidRPr="0087389B" w:rsidRDefault="00742462" w:rsidP="0087389B">
      <w:pPr>
        <w:pStyle w:val="HChG"/>
      </w:pPr>
      <w:r>
        <w:tab/>
      </w:r>
      <w:r w:rsidRPr="0087389B">
        <w:t>XVI.</w:t>
      </w:r>
      <w:r>
        <w:tab/>
      </w:r>
      <w:r w:rsidRPr="0087389B">
        <w:t>Points saillants de la session du WP.29 de novembre</w:t>
      </w:r>
      <w:r w:rsidR="00671BF7">
        <w:t xml:space="preserve"> </w:t>
      </w:r>
      <w:r w:rsidRPr="0087389B">
        <w:t>2014 (</w:t>
      </w:r>
      <w:r w:rsidR="0086678F">
        <w:t>point </w:t>
      </w:r>
      <w:r w:rsidRPr="0087389B">
        <w:t>15 de l</w:t>
      </w:r>
      <w:r w:rsidR="00E42E9D">
        <w:t>’</w:t>
      </w:r>
      <w:r w:rsidRPr="0087389B">
        <w:t>ordre du jour)</w:t>
      </w:r>
    </w:p>
    <w:p w:rsidR="00742462" w:rsidRPr="00462185" w:rsidRDefault="00742462" w:rsidP="00E01A0A">
      <w:pPr>
        <w:pStyle w:val="SingleTxtG"/>
        <w:ind w:left="2552" w:hanging="1418"/>
        <w:jc w:val="left"/>
      </w:pPr>
      <w:r w:rsidRPr="0087389B">
        <w:rPr>
          <w:i/>
        </w:rPr>
        <w:t>Documents</w:t>
      </w:r>
      <w:r w:rsidRPr="00462185">
        <w:t>:</w:t>
      </w:r>
      <w:r w:rsidRPr="00462185">
        <w:tab/>
        <w:t xml:space="preserve">ECE/TRANS/WP.29/1112 et document </w:t>
      </w:r>
      <w:r w:rsidR="00686B6C">
        <w:t xml:space="preserve">informel </w:t>
      </w:r>
      <w:r w:rsidRPr="00462185">
        <w:t>GRB-61-04.</w:t>
      </w:r>
    </w:p>
    <w:p w:rsidR="00742462" w:rsidRPr="00462185" w:rsidRDefault="00742462" w:rsidP="0087389B">
      <w:pPr>
        <w:pStyle w:val="ParNoG"/>
        <w:tabs>
          <w:tab w:val="clear" w:pos="1701"/>
        </w:tabs>
      </w:pPr>
      <w:r w:rsidRPr="00462185">
        <w:t>Le secrétariat a fait état des points saillants de la 164</w:t>
      </w:r>
      <w:r w:rsidRPr="00462185">
        <w:rPr>
          <w:vertAlign w:val="superscript"/>
        </w:rPr>
        <w:t>e</w:t>
      </w:r>
      <w:r w:rsidRPr="00462185">
        <w:t xml:space="preserve"> session du WP.29 (ECE/TRANS/WP.29/1112 et GRB-61-04).</w:t>
      </w:r>
    </w:p>
    <w:p w:rsidR="00742462" w:rsidRPr="0087389B" w:rsidRDefault="00742462" w:rsidP="0087389B">
      <w:pPr>
        <w:pStyle w:val="HChG"/>
      </w:pPr>
      <w:r>
        <w:tab/>
      </w:r>
      <w:r w:rsidRPr="0087389B">
        <w:t>XVII.</w:t>
      </w:r>
      <w:r>
        <w:tab/>
      </w:r>
      <w:r w:rsidRPr="0087389B">
        <w:t>Échange de vues sur le futur programme de travail du GRB (</w:t>
      </w:r>
      <w:r w:rsidR="0086678F">
        <w:t>point </w:t>
      </w:r>
      <w:r w:rsidRPr="0087389B">
        <w:t>16 de l</w:t>
      </w:r>
      <w:r w:rsidR="00E42E9D">
        <w:t>’</w:t>
      </w:r>
      <w:r w:rsidRPr="0087389B">
        <w:t>ordre du jour)</w:t>
      </w:r>
    </w:p>
    <w:p w:rsidR="00742462" w:rsidRPr="00462185" w:rsidRDefault="00686B6C" w:rsidP="0087389B">
      <w:pPr>
        <w:pStyle w:val="ParNoG"/>
        <w:tabs>
          <w:tab w:val="clear" w:pos="1701"/>
        </w:tabs>
      </w:pPr>
      <w:r>
        <w:t>Après</w:t>
      </w:r>
      <w:r w:rsidR="00742462" w:rsidRPr="00462185">
        <w:t xml:space="preserve"> l</w:t>
      </w:r>
      <w:r w:rsidR="00E42E9D">
        <w:t>’</w:t>
      </w:r>
      <w:r w:rsidR="00742462" w:rsidRPr="00462185">
        <w:t>adoption d</w:t>
      </w:r>
      <w:r w:rsidR="00E42E9D">
        <w:t>’</w:t>
      </w:r>
      <w:r w:rsidR="00742462" w:rsidRPr="00462185">
        <w:t>importants amendements à plusieurs Règlements, le GRB a repris son échange de vues sur les questions qui devraient figurer dans son futur programme. Selon l</w:t>
      </w:r>
      <w:r w:rsidR="00E42E9D">
        <w:t>’</w:t>
      </w:r>
      <w:r w:rsidR="00742462" w:rsidRPr="00462185">
        <w:t xml:space="preserve">expert de la France, </w:t>
      </w:r>
      <w:r>
        <w:t xml:space="preserve">le GRB allait travailler à </w:t>
      </w:r>
      <w:r w:rsidR="00742462" w:rsidRPr="00462185">
        <w:t>l</w:t>
      </w:r>
      <w:r w:rsidR="00E42E9D">
        <w:t>’</w:t>
      </w:r>
      <w:r w:rsidR="00742462" w:rsidRPr="00462185">
        <w:t xml:space="preserve">actualisation du Règlement </w:t>
      </w:r>
      <w:r w:rsidR="0086678F" w:rsidRPr="0086678F">
        <w:t>n</w:t>
      </w:r>
      <w:r w:rsidR="0086678F" w:rsidRPr="0086678F">
        <w:rPr>
          <w:vertAlign w:val="superscript"/>
        </w:rPr>
        <w:t>o</w:t>
      </w:r>
      <w:r w:rsidR="0086678F" w:rsidRPr="0086678F">
        <w:t> </w:t>
      </w:r>
      <w:r w:rsidR="00742462" w:rsidRPr="00462185">
        <w:t>28 (voir le par</w:t>
      </w:r>
      <w:r>
        <w:t>agraphe </w:t>
      </w:r>
      <w:r w:rsidR="00742462" w:rsidRPr="00462185">
        <w:t>5 ci-dessus). L</w:t>
      </w:r>
      <w:r w:rsidR="00E42E9D">
        <w:t>’</w:t>
      </w:r>
      <w:r w:rsidR="00742462" w:rsidRPr="00462185">
        <w:t>expert de l</w:t>
      </w:r>
      <w:r w:rsidR="00E42E9D">
        <w:t>’</w:t>
      </w:r>
      <w:r w:rsidR="00742462" w:rsidRPr="00462185">
        <w:t>Allemagne, faisant valoir que les avertisseurs de recul installés sur les véhicules à moteur silencieux pouvaient poser des problèmes la nuit, s</w:t>
      </w:r>
      <w:r w:rsidR="00E42E9D">
        <w:t>’</w:t>
      </w:r>
      <w:r w:rsidR="00742462" w:rsidRPr="00462185">
        <w:t>est proposé d</w:t>
      </w:r>
      <w:r w:rsidR="00E42E9D">
        <w:t>’</w:t>
      </w:r>
      <w:r w:rsidR="00742462" w:rsidRPr="00462185">
        <w:t>établir, pour la prochaine session, un document informel à ce sujet.</w:t>
      </w:r>
    </w:p>
    <w:p w:rsidR="00742462" w:rsidRPr="0087389B" w:rsidRDefault="00742462" w:rsidP="0087389B">
      <w:pPr>
        <w:pStyle w:val="HChG"/>
      </w:pPr>
      <w:r>
        <w:lastRenderedPageBreak/>
        <w:tab/>
      </w:r>
      <w:r w:rsidRPr="0087389B">
        <w:t>XVIII.</w:t>
      </w:r>
      <w:r>
        <w:tab/>
      </w:r>
      <w:r w:rsidRPr="0087389B">
        <w:t>Questions diverses (</w:t>
      </w:r>
      <w:r w:rsidR="0086678F">
        <w:t>point </w:t>
      </w:r>
      <w:r w:rsidRPr="0087389B">
        <w:t>17 de l</w:t>
      </w:r>
      <w:r w:rsidR="00E42E9D">
        <w:t>’</w:t>
      </w:r>
      <w:r w:rsidRPr="0087389B">
        <w:t>ordre du jour)</w:t>
      </w:r>
    </w:p>
    <w:p w:rsidR="00742462" w:rsidRPr="00462185" w:rsidRDefault="00742462" w:rsidP="0087389B">
      <w:pPr>
        <w:pStyle w:val="ParNoG"/>
        <w:tabs>
          <w:tab w:val="clear" w:pos="1701"/>
        </w:tabs>
      </w:pPr>
      <w:r w:rsidRPr="00462185">
        <w:t>Le GRB a été informé que M. Pieter Steenackers (CLEPA) ne participerait plus à ses sessions. Il l</w:t>
      </w:r>
      <w:r w:rsidR="00E42E9D">
        <w:t>’</w:t>
      </w:r>
      <w:r w:rsidRPr="00462185">
        <w:t xml:space="preserve">a remercié pour sa contribution et lui a souhaité bonne chance dans ses nouvelles </w:t>
      </w:r>
      <w:r w:rsidR="00671BF7">
        <w:t>fonctions</w:t>
      </w:r>
      <w:r w:rsidRPr="00462185">
        <w:t>.</w:t>
      </w:r>
    </w:p>
    <w:p w:rsidR="00742462" w:rsidRPr="00462185" w:rsidRDefault="00742462" w:rsidP="0087389B">
      <w:pPr>
        <w:pStyle w:val="ParNoG"/>
        <w:tabs>
          <w:tab w:val="clear" w:pos="1701"/>
        </w:tabs>
      </w:pPr>
      <w:r w:rsidRPr="00462185">
        <w:t>Le secrétariat a fait rapport sur les bonnes pratiques en matière d</w:t>
      </w:r>
      <w:r w:rsidR="00E42E9D">
        <w:t>’</w:t>
      </w:r>
      <w:r w:rsidRPr="00462185">
        <w:t>utilisation de normes privées dans le cadre des Règlements relevant du WP.29 (WP.29-164-26).</w:t>
      </w:r>
    </w:p>
    <w:p w:rsidR="00742462" w:rsidRPr="00E16D27" w:rsidRDefault="00742462" w:rsidP="0087389B">
      <w:pPr>
        <w:pStyle w:val="ParNoG"/>
        <w:tabs>
          <w:tab w:val="clear" w:pos="1701"/>
        </w:tabs>
      </w:pPr>
      <w:r w:rsidRPr="00462185">
        <w:t>L</w:t>
      </w:r>
      <w:r w:rsidR="00E42E9D">
        <w:t>’</w:t>
      </w:r>
      <w:r w:rsidRPr="00462185">
        <w:t>expert de l</w:t>
      </w:r>
      <w:r w:rsidR="00E42E9D">
        <w:t>’</w:t>
      </w:r>
      <w:r w:rsidRPr="00462185">
        <w:t>IMMA a informé le GRB de son intention de soumettre, à sa prochaine session, des propositions d</w:t>
      </w:r>
      <w:r w:rsidR="00E42E9D">
        <w:t>’</w:t>
      </w:r>
      <w:r w:rsidRPr="00462185">
        <w:t xml:space="preserve">amendements au Règlement </w:t>
      </w:r>
      <w:r w:rsidR="0086678F" w:rsidRPr="0086678F">
        <w:t>n</w:t>
      </w:r>
      <w:r w:rsidR="0086678F" w:rsidRPr="0086678F">
        <w:rPr>
          <w:vertAlign w:val="superscript"/>
        </w:rPr>
        <w:t>o</w:t>
      </w:r>
      <w:r w:rsidR="0086678F" w:rsidRPr="0086678F">
        <w:t> </w:t>
      </w:r>
      <w:r w:rsidRPr="00462185">
        <w:t>41 concernant les véhicules hybrides. Il a invité les experts du GRB à lui faire part de leurs éventuelles observations avant la prochaine session.</w:t>
      </w:r>
    </w:p>
    <w:p w:rsidR="00742462" w:rsidRPr="0087389B" w:rsidRDefault="00742462" w:rsidP="0087389B">
      <w:pPr>
        <w:pStyle w:val="HChG"/>
      </w:pPr>
      <w:r>
        <w:tab/>
      </w:r>
      <w:r w:rsidRPr="0087389B">
        <w:t>XIX.</w:t>
      </w:r>
      <w:r>
        <w:tab/>
      </w:r>
      <w:r w:rsidRPr="0087389B">
        <w:t>Ordre du jour provisoire de la soixante</w:t>
      </w:r>
      <w:r w:rsidR="008050ED">
        <w:t>-</w:t>
      </w:r>
      <w:r w:rsidRPr="0087389B">
        <w:t>deuxième session (</w:t>
      </w:r>
      <w:r w:rsidR="0086678F">
        <w:t>point </w:t>
      </w:r>
      <w:r w:rsidRPr="0087389B">
        <w:t>18 de l</w:t>
      </w:r>
      <w:r w:rsidR="00E42E9D">
        <w:t>’</w:t>
      </w:r>
      <w:r w:rsidRPr="0087389B">
        <w:t>ordre du jour)</w:t>
      </w:r>
      <w:r>
        <w:tab/>
      </w:r>
    </w:p>
    <w:p w:rsidR="00742462" w:rsidRPr="00462185" w:rsidRDefault="00671BF7" w:rsidP="00E01A0A">
      <w:pPr>
        <w:pStyle w:val="ParNoG"/>
        <w:keepNext/>
        <w:tabs>
          <w:tab w:val="clear" w:pos="1701"/>
        </w:tabs>
      </w:pPr>
      <w:r>
        <w:t>Pour la</w:t>
      </w:r>
      <w:r w:rsidR="00742462" w:rsidRPr="00462185">
        <w:t xml:space="preserve"> soixante</w:t>
      </w:r>
      <w:r>
        <w:t>-</w:t>
      </w:r>
      <w:r w:rsidR="00742462" w:rsidRPr="00462185">
        <w:t>deuxième session, qui doit se tenir à Genève du 1</w:t>
      </w:r>
      <w:r w:rsidR="00742462" w:rsidRPr="00462185">
        <w:rPr>
          <w:vertAlign w:val="superscript"/>
        </w:rPr>
        <w:t>er</w:t>
      </w:r>
      <w:r w:rsidR="0086678F">
        <w:t> </w:t>
      </w:r>
      <w:r w:rsidR="00742462" w:rsidRPr="00462185">
        <w:t>septembre à 14 h 30 au 3 septembre</w:t>
      </w:r>
      <w:r>
        <w:t xml:space="preserve"> </w:t>
      </w:r>
      <w:r w:rsidR="00742462" w:rsidRPr="00462185">
        <w:t xml:space="preserve">2015 à 17 h 30, </w:t>
      </w:r>
      <w:r>
        <w:t xml:space="preserve">la date limite de présentation des documents officiels au secrétariat </w:t>
      </w:r>
      <w:r w:rsidR="00742462" w:rsidRPr="00462185">
        <w:t>a</w:t>
      </w:r>
      <w:r>
        <w:t xml:space="preserve"> </w:t>
      </w:r>
      <w:r w:rsidR="00742462" w:rsidRPr="00462185">
        <w:t>été fixée au 5 juin</w:t>
      </w:r>
      <w:r>
        <w:t xml:space="preserve"> </w:t>
      </w:r>
      <w:r w:rsidR="00742462" w:rsidRPr="00462185">
        <w:t xml:space="preserve">2015, soit </w:t>
      </w:r>
      <w:r w:rsidR="008050ED">
        <w:t xml:space="preserve">douze </w:t>
      </w:r>
      <w:r w:rsidR="00742462" w:rsidRPr="00462185">
        <w:t>semaines avant la session. L</w:t>
      </w:r>
      <w:r w:rsidR="00E42E9D">
        <w:t>’</w:t>
      </w:r>
      <w:r w:rsidR="00742462" w:rsidRPr="00462185">
        <w:t>ordre du jour provisoire suivant a été adopté:</w:t>
      </w:r>
    </w:p>
    <w:p w:rsidR="00742462" w:rsidRPr="00462185" w:rsidRDefault="00742462" w:rsidP="0087389B">
      <w:pPr>
        <w:pStyle w:val="SingleTxtG"/>
        <w:ind w:left="2268" w:hanging="567"/>
      </w:pPr>
      <w:r w:rsidRPr="00462185">
        <w:t>1.</w:t>
      </w:r>
      <w:r w:rsidRPr="004F2633">
        <w:tab/>
      </w:r>
      <w:r w:rsidRPr="00462185">
        <w:t xml:space="preserve">Adoption de </w:t>
      </w:r>
      <w:r w:rsidRPr="0087389B">
        <w:rPr>
          <w:lang w:val="fr-FR"/>
        </w:rPr>
        <w:t>l</w:t>
      </w:r>
      <w:r w:rsidR="00E42E9D">
        <w:rPr>
          <w:lang w:val="fr-FR"/>
        </w:rPr>
        <w:t>’</w:t>
      </w:r>
      <w:r w:rsidRPr="0087389B">
        <w:rPr>
          <w:lang w:val="fr-FR"/>
        </w:rPr>
        <w:t>ordre</w:t>
      </w:r>
      <w:r w:rsidRPr="00462185">
        <w:t xml:space="preserve"> du jour.</w:t>
      </w:r>
    </w:p>
    <w:p w:rsidR="00742462" w:rsidRPr="00462185" w:rsidRDefault="00742462" w:rsidP="0087389B">
      <w:pPr>
        <w:pStyle w:val="SingleTxtG"/>
        <w:ind w:left="2268" w:hanging="567"/>
      </w:pPr>
      <w:r w:rsidRPr="00462185">
        <w:t>2.</w:t>
      </w:r>
      <w:r w:rsidRPr="004F2633">
        <w:tab/>
      </w:r>
      <w:r w:rsidRPr="0087389B">
        <w:rPr>
          <w:lang w:val="fr-FR"/>
        </w:rPr>
        <w:t>Règlement</w:t>
      </w:r>
      <w:r w:rsidRPr="00462185">
        <w:t xml:space="preserve"> </w:t>
      </w:r>
      <w:r w:rsidR="0086678F" w:rsidRPr="0086678F">
        <w:t>n</w:t>
      </w:r>
      <w:r w:rsidR="0086678F" w:rsidRPr="0086678F">
        <w:rPr>
          <w:vertAlign w:val="superscript"/>
        </w:rPr>
        <w:t>o</w:t>
      </w:r>
      <w:r w:rsidR="0086678F" w:rsidRPr="0086678F">
        <w:t> </w:t>
      </w:r>
      <w:r w:rsidRPr="00462185">
        <w:t>28 (Avertisseurs sonores).</w:t>
      </w:r>
    </w:p>
    <w:p w:rsidR="00742462" w:rsidRPr="00462185" w:rsidRDefault="00742462" w:rsidP="0087389B">
      <w:pPr>
        <w:pStyle w:val="SingleTxtG"/>
        <w:ind w:left="2268" w:hanging="567"/>
      </w:pPr>
      <w:r w:rsidRPr="00462185">
        <w:t>3.</w:t>
      </w:r>
      <w:r w:rsidRPr="004F2633">
        <w:tab/>
      </w:r>
      <w:r w:rsidRPr="0087389B">
        <w:rPr>
          <w:lang w:val="fr-FR"/>
        </w:rPr>
        <w:t>Règlement</w:t>
      </w:r>
      <w:r w:rsidRPr="00462185">
        <w:t xml:space="preserve"> </w:t>
      </w:r>
      <w:r w:rsidR="0086678F" w:rsidRPr="0086678F">
        <w:t>n</w:t>
      </w:r>
      <w:r w:rsidR="0086678F" w:rsidRPr="0086678F">
        <w:rPr>
          <w:vertAlign w:val="superscript"/>
        </w:rPr>
        <w:t>o</w:t>
      </w:r>
      <w:r w:rsidR="0086678F" w:rsidRPr="0086678F">
        <w:t> </w:t>
      </w:r>
      <w:r w:rsidRPr="00462185">
        <w:t xml:space="preserve">41 (Bruit émis par les motocycles): </w:t>
      </w:r>
      <w:r w:rsidR="008050ED" w:rsidRPr="00462185">
        <w:t>Extension</w:t>
      </w:r>
      <w:r w:rsidRPr="00462185">
        <w:t>.</w:t>
      </w:r>
    </w:p>
    <w:p w:rsidR="00742462" w:rsidRPr="00462185" w:rsidRDefault="00742462" w:rsidP="008050ED">
      <w:pPr>
        <w:pStyle w:val="SingleTxtG"/>
        <w:keepNext/>
        <w:ind w:left="2268" w:hanging="567"/>
      </w:pPr>
      <w:r w:rsidRPr="00462185">
        <w:t>4.</w:t>
      </w:r>
      <w:r w:rsidRPr="004F2633">
        <w:tab/>
      </w:r>
      <w:r w:rsidRPr="0087389B">
        <w:rPr>
          <w:lang w:val="fr-FR"/>
        </w:rPr>
        <w:t>Règlement</w:t>
      </w:r>
      <w:r w:rsidRPr="00462185">
        <w:t xml:space="preserve"> </w:t>
      </w:r>
      <w:r w:rsidR="0086678F" w:rsidRPr="0086678F">
        <w:t>n</w:t>
      </w:r>
      <w:r w:rsidR="0086678F" w:rsidRPr="0086678F">
        <w:rPr>
          <w:vertAlign w:val="superscript"/>
        </w:rPr>
        <w:t>o</w:t>
      </w:r>
      <w:r w:rsidR="0086678F" w:rsidRPr="0086678F">
        <w:t> </w:t>
      </w:r>
      <w:r w:rsidRPr="00462185">
        <w:t>51 (Bruit des véhicules des catégories M et N)</w:t>
      </w:r>
      <w:r w:rsidR="008050ED">
        <w:t>:</w:t>
      </w:r>
    </w:p>
    <w:p w:rsidR="00742462" w:rsidRPr="00462185" w:rsidRDefault="00742462" w:rsidP="0087389B">
      <w:pPr>
        <w:pStyle w:val="SingleTxtG"/>
        <w:ind w:left="2835" w:hanging="567"/>
      </w:pPr>
      <w:r w:rsidRPr="00462185">
        <w:t>a)</w:t>
      </w:r>
      <w:r w:rsidRPr="00462185">
        <w:tab/>
      </w:r>
      <w:r w:rsidRPr="00462185">
        <w:tab/>
      </w:r>
      <w:r w:rsidRPr="0087389B">
        <w:rPr>
          <w:lang w:val="fr-FR"/>
        </w:rPr>
        <w:t>Extension</w:t>
      </w:r>
      <w:r w:rsidRPr="00462185">
        <w:t>;</w:t>
      </w:r>
    </w:p>
    <w:p w:rsidR="00742462" w:rsidRPr="00462185" w:rsidRDefault="00742462" w:rsidP="0087389B">
      <w:pPr>
        <w:pStyle w:val="SingleTxtG"/>
        <w:ind w:left="2835" w:hanging="567"/>
      </w:pPr>
      <w:r w:rsidRPr="00462185">
        <w:t>b)</w:t>
      </w:r>
      <w:r w:rsidRPr="00462185">
        <w:tab/>
      </w:r>
      <w:r w:rsidRPr="00462185">
        <w:tab/>
        <w:t xml:space="preserve">Prescriptions </w:t>
      </w:r>
      <w:r w:rsidRPr="0087389B">
        <w:rPr>
          <w:lang w:val="fr-FR"/>
        </w:rPr>
        <w:t>supplémentaires</w:t>
      </w:r>
      <w:r w:rsidRPr="00462185">
        <w:t xml:space="preserve"> applicables aux émissions sonores.</w:t>
      </w:r>
    </w:p>
    <w:p w:rsidR="00742462" w:rsidRPr="00462185" w:rsidRDefault="00742462" w:rsidP="0087389B">
      <w:pPr>
        <w:pStyle w:val="SingleTxtG"/>
        <w:ind w:left="2268" w:hanging="567"/>
      </w:pPr>
      <w:r w:rsidRPr="00462185">
        <w:t>5.</w:t>
      </w:r>
      <w:r w:rsidRPr="004F2633">
        <w:tab/>
      </w:r>
      <w:r w:rsidRPr="0087389B">
        <w:rPr>
          <w:lang w:val="fr-FR"/>
        </w:rPr>
        <w:t>Règlement</w:t>
      </w:r>
      <w:r w:rsidRPr="00462185">
        <w:t xml:space="preserve"> </w:t>
      </w:r>
      <w:r w:rsidR="0086678F" w:rsidRPr="0086678F">
        <w:t>n</w:t>
      </w:r>
      <w:r w:rsidR="0086678F" w:rsidRPr="0086678F">
        <w:rPr>
          <w:vertAlign w:val="superscript"/>
        </w:rPr>
        <w:t>o</w:t>
      </w:r>
      <w:r w:rsidR="0086678F" w:rsidRPr="0086678F">
        <w:t> </w:t>
      </w:r>
      <w:r w:rsidRPr="00462185">
        <w:t>59 (Dispositifs silencieux d</w:t>
      </w:r>
      <w:r w:rsidR="00E42E9D">
        <w:t>’</w:t>
      </w:r>
      <w:r w:rsidRPr="00462185">
        <w:t>échappement de remplacement).</w:t>
      </w:r>
    </w:p>
    <w:p w:rsidR="00742462" w:rsidRPr="00462185" w:rsidRDefault="00742462" w:rsidP="0087389B">
      <w:pPr>
        <w:pStyle w:val="SingleTxtG"/>
        <w:ind w:left="2268" w:hanging="567"/>
      </w:pPr>
      <w:r w:rsidRPr="00462185">
        <w:t>6.</w:t>
      </w:r>
      <w:r w:rsidRPr="004F2633">
        <w:tab/>
      </w:r>
      <w:r w:rsidRPr="0087389B">
        <w:rPr>
          <w:lang w:val="fr-FR"/>
        </w:rPr>
        <w:t>Règlement</w:t>
      </w:r>
      <w:r w:rsidRPr="00462185">
        <w:t xml:space="preserve"> </w:t>
      </w:r>
      <w:r w:rsidR="0086678F" w:rsidRPr="0086678F">
        <w:t>n</w:t>
      </w:r>
      <w:r w:rsidR="0086678F" w:rsidRPr="0086678F">
        <w:rPr>
          <w:vertAlign w:val="superscript"/>
        </w:rPr>
        <w:t>o</w:t>
      </w:r>
      <w:r w:rsidR="0086678F" w:rsidRPr="0086678F">
        <w:t> </w:t>
      </w:r>
      <w:r w:rsidRPr="00462185">
        <w:t>92 (Dispositifs silencieux d</w:t>
      </w:r>
      <w:r w:rsidR="00E42E9D">
        <w:t>’</w:t>
      </w:r>
      <w:r w:rsidRPr="00462185">
        <w:t>échappement de remplacement pour motocycles).</w:t>
      </w:r>
    </w:p>
    <w:p w:rsidR="00742462" w:rsidRPr="00462185" w:rsidRDefault="00742462" w:rsidP="0087389B">
      <w:pPr>
        <w:pStyle w:val="SingleTxtG"/>
        <w:ind w:left="2268" w:hanging="567"/>
      </w:pPr>
      <w:r w:rsidRPr="00462185">
        <w:t>7.</w:t>
      </w:r>
      <w:r w:rsidRPr="004F2633">
        <w:tab/>
      </w:r>
      <w:r w:rsidRPr="0087389B">
        <w:rPr>
          <w:lang w:val="fr-FR"/>
        </w:rPr>
        <w:t>Règlement</w:t>
      </w:r>
      <w:r w:rsidRPr="00462185">
        <w:t xml:space="preserve"> </w:t>
      </w:r>
      <w:r w:rsidR="0086678F" w:rsidRPr="0086678F">
        <w:t>n</w:t>
      </w:r>
      <w:r w:rsidR="0086678F" w:rsidRPr="0086678F">
        <w:rPr>
          <w:vertAlign w:val="superscript"/>
        </w:rPr>
        <w:t>o</w:t>
      </w:r>
      <w:r w:rsidR="0086678F" w:rsidRPr="0086678F">
        <w:t> </w:t>
      </w:r>
      <w:r w:rsidRPr="00462185">
        <w:t xml:space="preserve">117 (Pneumatiques </w:t>
      </w:r>
      <w:r w:rsidR="008050ED">
        <w:t>−</w:t>
      </w:r>
      <w:r w:rsidRPr="00462185">
        <w:t xml:space="preserve"> Résistance au roulement, bruit de roulement et adhérence sur sol mouillé)</w:t>
      </w:r>
      <w:r w:rsidR="008050ED">
        <w:t>.</w:t>
      </w:r>
    </w:p>
    <w:p w:rsidR="00742462" w:rsidRPr="00462185" w:rsidRDefault="00742462" w:rsidP="0087389B">
      <w:pPr>
        <w:pStyle w:val="SingleTxtG"/>
        <w:ind w:left="2268" w:hanging="567"/>
      </w:pPr>
      <w:r w:rsidRPr="00462185">
        <w:t>8.</w:t>
      </w:r>
      <w:r w:rsidRPr="004F2633">
        <w:tab/>
      </w:r>
      <w:r w:rsidRPr="0087389B">
        <w:rPr>
          <w:lang w:val="fr-FR"/>
        </w:rPr>
        <w:t>Amendements</w:t>
      </w:r>
      <w:r w:rsidRPr="00462185">
        <w:t xml:space="preserve"> collectifs.</w:t>
      </w:r>
    </w:p>
    <w:p w:rsidR="00742462" w:rsidRPr="00462185" w:rsidRDefault="00742462" w:rsidP="0087389B">
      <w:pPr>
        <w:pStyle w:val="SingleTxtG"/>
        <w:ind w:left="2268" w:hanging="567"/>
      </w:pPr>
      <w:r w:rsidRPr="00462185">
        <w:t>9.</w:t>
      </w:r>
      <w:r w:rsidRPr="004F2633">
        <w:tab/>
      </w:r>
      <w:r w:rsidRPr="0087389B">
        <w:rPr>
          <w:lang w:val="fr-FR"/>
        </w:rPr>
        <w:t>Échange</w:t>
      </w:r>
      <w:r w:rsidRPr="00462185">
        <w:t xml:space="preserve"> de renseignements sur les prescriptions nationales et internationales en matière de niveau sonore.</w:t>
      </w:r>
    </w:p>
    <w:p w:rsidR="00742462" w:rsidRPr="00462185" w:rsidRDefault="00742462" w:rsidP="0087389B">
      <w:pPr>
        <w:pStyle w:val="SingleTxtG"/>
        <w:ind w:left="2268" w:hanging="567"/>
      </w:pPr>
      <w:r w:rsidRPr="00462185">
        <w:t>10.</w:t>
      </w:r>
      <w:r w:rsidRPr="004F2633">
        <w:tab/>
      </w:r>
      <w:r w:rsidRPr="0087389B">
        <w:rPr>
          <w:lang w:val="fr-FR"/>
        </w:rPr>
        <w:t>Incidences</w:t>
      </w:r>
      <w:r w:rsidRPr="00462185">
        <w:t xml:space="preserve"> du revêtement de la route sur le bruit de roulement des pneumatiques.</w:t>
      </w:r>
    </w:p>
    <w:p w:rsidR="00742462" w:rsidRPr="00462185" w:rsidRDefault="00742462" w:rsidP="0087389B">
      <w:pPr>
        <w:pStyle w:val="SingleTxtG"/>
        <w:ind w:left="2268" w:hanging="567"/>
      </w:pPr>
      <w:r w:rsidRPr="00462185">
        <w:t>11.</w:t>
      </w:r>
      <w:r w:rsidRPr="004F2633">
        <w:tab/>
      </w:r>
      <w:r w:rsidRPr="00462185">
        <w:t>Véhicules à moteur silencieux.</w:t>
      </w:r>
    </w:p>
    <w:p w:rsidR="00742462" w:rsidRPr="00462185" w:rsidRDefault="00742462" w:rsidP="0087389B">
      <w:pPr>
        <w:pStyle w:val="SingleTxtG"/>
        <w:ind w:left="2268" w:hanging="567"/>
      </w:pPr>
      <w:r w:rsidRPr="00462185">
        <w:t>12.</w:t>
      </w:r>
      <w:r w:rsidRPr="004F2633">
        <w:tab/>
      </w:r>
      <w:r w:rsidRPr="0087389B">
        <w:rPr>
          <w:lang w:val="fr-FR"/>
        </w:rPr>
        <w:t>Définitions</w:t>
      </w:r>
      <w:r w:rsidRPr="00462185">
        <w:t xml:space="preserve"> et sigles figurant dans les Règlements relevant de la responsabilité du GRB.</w:t>
      </w:r>
    </w:p>
    <w:p w:rsidR="00742462" w:rsidRPr="00462185" w:rsidRDefault="00742462" w:rsidP="0087389B">
      <w:pPr>
        <w:pStyle w:val="SingleTxtG"/>
        <w:ind w:left="2268" w:hanging="567"/>
      </w:pPr>
      <w:r w:rsidRPr="00462185">
        <w:t>13.</w:t>
      </w:r>
      <w:r w:rsidRPr="004F2633">
        <w:tab/>
      </w:r>
      <w:r w:rsidRPr="0087389B">
        <w:rPr>
          <w:lang w:val="fr-FR"/>
        </w:rPr>
        <w:t>Propositions</w:t>
      </w:r>
      <w:r w:rsidRPr="00462185">
        <w:t xml:space="preserve"> d</w:t>
      </w:r>
      <w:r w:rsidR="00E42E9D">
        <w:t>’</w:t>
      </w:r>
      <w:r w:rsidRPr="00462185">
        <w:t>amendements à la Résolution d</w:t>
      </w:r>
      <w:r w:rsidR="00E42E9D">
        <w:t>’</w:t>
      </w:r>
      <w:r w:rsidRPr="00462185">
        <w:t>ensemble sur la construction des véhicules.</w:t>
      </w:r>
    </w:p>
    <w:p w:rsidR="00742462" w:rsidRPr="00462185" w:rsidRDefault="00742462" w:rsidP="0087389B">
      <w:pPr>
        <w:pStyle w:val="SingleTxtG"/>
        <w:ind w:left="2268" w:hanging="567"/>
      </w:pPr>
      <w:r w:rsidRPr="00462185">
        <w:t>14.</w:t>
      </w:r>
      <w:r w:rsidRPr="004F2633">
        <w:tab/>
      </w:r>
      <w:r w:rsidRPr="00462185">
        <w:t>Mise au point d</w:t>
      </w:r>
      <w:r w:rsidR="00E42E9D">
        <w:t>’</w:t>
      </w:r>
      <w:r w:rsidRPr="00462185">
        <w:t>une homologation de type internationale de l</w:t>
      </w:r>
      <w:r w:rsidR="00E42E9D">
        <w:t>’</w:t>
      </w:r>
      <w:r w:rsidRPr="00462185">
        <w:t xml:space="preserve">ensemble du véhicule (IWVTA) et participation des Groupes de travail à cette </w:t>
      </w:r>
      <w:r w:rsidRPr="006F26EF">
        <w:t>entreprise</w:t>
      </w:r>
      <w:r w:rsidRPr="00462185">
        <w:t>.</w:t>
      </w:r>
    </w:p>
    <w:p w:rsidR="00742462" w:rsidRPr="00462185" w:rsidRDefault="00742462" w:rsidP="0087389B">
      <w:pPr>
        <w:pStyle w:val="SingleTxtG"/>
        <w:ind w:left="2268" w:hanging="567"/>
      </w:pPr>
      <w:r w:rsidRPr="00462185">
        <w:lastRenderedPageBreak/>
        <w:t>15.</w:t>
      </w:r>
      <w:r w:rsidRPr="004F2633">
        <w:tab/>
      </w:r>
      <w:r w:rsidRPr="00462185">
        <w:t xml:space="preserve">Points </w:t>
      </w:r>
      <w:r w:rsidRPr="0087389B">
        <w:rPr>
          <w:lang w:val="fr-FR"/>
        </w:rPr>
        <w:t>saillants</w:t>
      </w:r>
      <w:r w:rsidRPr="00462185">
        <w:t xml:space="preserve"> des sessions du WP.29 de mars et juin</w:t>
      </w:r>
      <w:r w:rsidR="00671BF7">
        <w:t xml:space="preserve"> </w:t>
      </w:r>
      <w:r w:rsidRPr="00462185">
        <w:t>2015.</w:t>
      </w:r>
    </w:p>
    <w:p w:rsidR="00742462" w:rsidRPr="00462185" w:rsidRDefault="00742462" w:rsidP="0087389B">
      <w:pPr>
        <w:pStyle w:val="SingleTxtG"/>
        <w:ind w:left="2268" w:hanging="567"/>
      </w:pPr>
      <w:r w:rsidRPr="00462185">
        <w:t>16.</w:t>
      </w:r>
      <w:r w:rsidRPr="004F2633">
        <w:tab/>
      </w:r>
      <w:r w:rsidRPr="00462185">
        <w:t xml:space="preserve">Échange </w:t>
      </w:r>
      <w:r w:rsidRPr="0087389B">
        <w:rPr>
          <w:lang w:val="fr-FR"/>
        </w:rPr>
        <w:t>de</w:t>
      </w:r>
      <w:r w:rsidRPr="00462185">
        <w:t xml:space="preserve"> vues sur le futur programme de travail du GRB.</w:t>
      </w:r>
    </w:p>
    <w:p w:rsidR="00742462" w:rsidRPr="00462185" w:rsidRDefault="00742462" w:rsidP="0087389B">
      <w:pPr>
        <w:pStyle w:val="SingleTxtG"/>
        <w:ind w:left="2268" w:hanging="567"/>
      </w:pPr>
      <w:r w:rsidRPr="00462185">
        <w:t>17.</w:t>
      </w:r>
      <w:r w:rsidRPr="004F2633">
        <w:tab/>
      </w:r>
      <w:r w:rsidRPr="00462185">
        <w:t xml:space="preserve">Questions </w:t>
      </w:r>
      <w:r w:rsidRPr="0087389B">
        <w:rPr>
          <w:lang w:val="fr-FR"/>
        </w:rPr>
        <w:t>diverses</w:t>
      </w:r>
      <w:r w:rsidRPr="00462185">
        <w:t>.</w:t>
      </w:r>
    </w:p>
    <w:p w:rsidR="00742462" w:rsidRPr="00462185" w:rsidRDefault="00742462" w:rsidP="0087389B">
      <w:pPr>
        <w:pStyle w:val="SingleTxtG"/>
        <w:ind w:left="2268" w:hanging="567"/>
      </w:pPr>
      <w:r w:rsidRPr="00462185">
        <w:t>18.</w:t>
      </w:r>
      <w:r w:rsidRPr="004F2633">
        <w:tab/>
      </w:r>
      <w:r w:rsidRPr="00462185">
        <w:t xml:space="preserve">Ordre du </w:t>
      </w:r>
      <w:r w:rsidRPr="0087389B">
        <w:rPr>
          <w:lang w:val="fr-FR"/>
        </w:rPr>
        <w:t>jour</w:t>
      </w:r>
      <w:r w:rsidRPr="00462185">
        <w:t xml:space="preserve"> provisoire de la soixante</w:t>
      </w:r>
      <w:r w:rsidR="008050ED">
        <w:t>-</w:t>
      </w:r>
      <w:r w:rsidRPr="00462185">
        <w:t>troisième session.</w:t>
      </w:r>
    </w:p>
    <w:p w:rsidR="00742462" w:rsidRPr="00462185" w:rsidRDefault="00742462" w:rsidP="0087389B">
      <w:pPr>
        <w:pStyle w:val="SingleTxtG"/>
        <w:ind w:left="2268" w:hanging="567"/>
      </w:pPr>
      <w:r w:rsidRPr="00462185">
        <w:t>19.</w:t>
      </w:r>
      <w:r w:rsidRPr="004F2633">
        <w:tab/>
      </w:r>
      <w:r w:rsidRPr="00462185">
        <w:t>Élection du Bureau.</w:t>
      </w:r>
    </w:p>
    <w:p w:rsidR="00742462" w:rsidRPr="0087389B" w:rsidRDefault="00742462" w:rsidP="0087389B">
      <w:pPr>
        <w:pStyle w:val="HChG"/>
      </w:pPr>
      <w:r>
        <w:br w:type="page"/>
      </w:r>
      <w:r w:rsidRPr="0087389B">
        <w:lastRenderedPageBreak/>
        <w:t>Annexe I</w:t>
      </w:r>
    </w:p>
    <w:p w:rsidR="00742462" w:rsidRPr="0087389B" w:rsidRDefault="00742462" w:rsidP="0087389B">
      <w:pPr>
        <w:pStyle w:val="HChG"/>
      </w:pPr>
      <w:r>
        <w:tab/>
      </w:r>
      <w:r>
        <w:tab/>
      </w:r>
      <w:r w:rsidRPr="0087389B">
        <w:t>Liste des documents informels distribués pendant la session (GRB-61...)</w:t>
      </w:r>
    </w:p>
    <w:tbl>
      <w:tblPr>
        <w:tblW w:w="0" w:type="auto"/>
        <w:tblInd w:w="1134" w:type="dxa"/>
        <w:tblLayout w:type="fixed"/>
        <w:tblCellMar>
          <w:left w:w="0" w:type="dxa"/>
          <w:right w:w="0" w:type="dxa"/>
        </w:tblCellMar>
        <w:tblLook w:val="01E0" w:firstRow="1" w:lastRow="1" w:firstColumn="1" w:lastColumn="1" w:noHBand="0" w:noVBand="0"/>
      </w:tblPr>
      <w:tblGrid>
        <w:gridCol w:w="952"/>
        <w:gridCol w:w="2222"/>
        <w:gridCol w:w="761"/>
        <w:gridCol w:w="635"/>
        <w:gridCol w:w="3300"/>
        <w:gridCol w:w="635"/>
      </w:tblGrid>
      <w:tr w:rsidR="00742462" w:rsidRPr="00E16D27" w:rsidTr="009712BA">
        <w:trPr>
          <w:tblHeader/>
        </w:trPr>
        <w:tc>
          <w:tcPr>
            <w:tcW w:w="952" w:type="dxa"/>
            <w:tcBorders>
              <w:top w:val="single" w:sz="4" w:space="0" w:color="auto"/>
              <w:bottom w:val="single" w:sz="12" w:space="0" w:color="auto"/>
            </w:tcBorders>
            <w:shd w:val="clear" w:color="auto" w:fill="auto"/>
            <w:vAlign w:val="bottom"/>
          </w:tcPr>
          <w:p w:rsidR="00742462" w:rsidRPr="00E16D27" w:rsidRDefault="00742462" w:rsidP="009712BA">
            <w:pPr>
              <w:spacing w:before="80" w:after="80" w:line="200" w:lineRule="exact"/>
              <w:ind w:right="57"/>
              <w:rPr>
                <w:i/>
                <w:sz w:val="16"/>
                <w:szCs w:val="16"/>
              </w:rPr>
            </w:pPr>
            <w:r>
              <w:rPr>
                <w:i/>
                <w:sz w:val="16"/>
              </w:rPr>
              <w:t xml:space="preserve">Numéro </w:t>
            </w:r>
            <w:r w:rsidRPr="009712BA">
              <w:rPr>
                <w:i/>
                <w:sz w:val="16"/>
                <w:lang w:val="fr-FR"/>
              </w:rPr>
              <w:t>d</w:t>
            </w:r>
            <w:r w:rsidR="00E42E9D">
              <w:rPr>
                <w:i/>
                <w:sz w:val="16"/>
                <w:lang w:val="fr-FR"/>
              </w:rPr>
              <w:t>’</w:t>
            </w:r>
            <w:r w:rsidRPr="009712BA">
              <w:rPr>
                <w:i/>
                <w:sz w:val="16"/>
                <w:lang w:val="fr-FR"/>
              </w:rPr>
              <w:t>ordre</w:t>
            </w:r>
          </w:p>
        </w:tc>
        <w:tc>
          <w:tcPr>
            <w:tcW w:w="2222" w:type="dxa"/>
            <w:tcBorders>
              <w:top w:val="single" w:sz="4" w:space="0" w:color="auto"/>
              <w:bottom w:val="single" w:sz="12" w:space="0" w:color="auto"/>
            </w:tcBorders>
            <w:shd w:val="clear" w:color="auto" w:fill="auto"/>
            <w:vAlign w:val="bottom"/>
          </w:tcPr>
          <w:p w:rsidR="00742462" w:rsidRPr="00E16D27" w:rsidRDefault="00742462" w:rsidP="009712BA">
            <w:pPr>
              <w:spacing w:before="80" w:after="80" w:line="200" w:lineRule="exact"/>
              <w:ind w:right="57"/>
              <w:rPr>
                <w:i/>
                <w:sz w:val="16"/>
                <w:szCs w:val="16"/>
              </w:rPr>
            </w:pPr>
            <w:r w:rsidRPr="009712BA">
              <w:rPr>
                <w:i/>
                <w:sz w:val="16"/>
                <w:lang w:val="fr-FR"/>
              </w:rPr>
              <w:t>Auteur</w:t>
            </w:r>
          </w:p>
        </w:tc>
        <w:tc>
          <w:tcPr>
            <w:tcW w:w="761" w:type="dxa"/>
            <w:tcBorders>
              <w:top w:val="single" w:sz="4" w:space="0" w:color="auto"/>
              <w:bottom w:val="single" w:sz="12" w:space="0" w:color="auto"/>
            </w:tcBorders>
            <w:shd w:val="clear" w:color="auto" w:fill="auto"/>
            <w:vAlign w:val="bottom"/>
          </w:tcPr>
          <w:p w:rsidR="00742462" w:rsidRPr="00E16D27" w:rsidRDefault="00742462" w:rsidP="008050ED">
            <w:pPr>
              <w:spacing w:before="80" w:after="80" w:line="200" w:lineRule="exact"/>
              <w:ind w:right="57"/>
              <w:rPr>
                <w:i/>
                <w:sz w:val="16"/>
                <w:szCs w:val="16"/>
              </w:rPr>
            </w:pPr>
            <w:r>
              <w:rPr>
                <w:i/>
                <w:sz w:val="16"/>
              </w:rPr>
              <w:t>Point</w:t>
            </w:r>
            <w:r w:rsidR="008050ED">
              <w:rPr>
                <w:i/>
                <w:sz w:val="16"/>
              </w:rPr>
              <w:br/>
            </w:r>
            <w:r>
              <w:rPr>
                <w:i/>
                <w:sz w:val="16"/>
              </w:rPr>
              <w:t xml:space="preserve">de </w:t>
            </w:r>
            <w:r w:rsidRPr="009712BA">
              <w:rPr>
                <w:i/>
                <w:sz w:val="16"/>
                <w:lang w:val="fr-FR"/>
              </w:rPr>
              <w:t>l</w:t>
            </w:r>
            <w:r w:rsidR="00E42E9D">
              <w:rPr>
                <w:i/>
                <w:sz w:val="16"/>
                <w:lang w:val="fr-FR"/>
              </w:rPr>
              <w:t>’</w:t>
            </w:r>
            <w:r w:rsidRPr="009712BA">
              <w:rPr>
                <w:i/>
                <w:sz w:val="16"/>
                <w:lang w:val="fr-FR"/>
              </w:rPr>
              <w:t>ordre</w:t>
            </w:r>
            <w:r w:rsidR="008050ED">
              <w:rPr>
                <w:i/>
                <w:sz w:val="16"/>
              </w:rPr>
              <w:br/>
            </w:r>
            <w:r>
              <w:rPr>
                <w:i/>
                <w:sz w:val="16"/>
              </w:rPr>
              <w:t>du jour</w:t>
            </w:r>
          </w:p>
        </w:tc>
        <w:tc>
          <w:tcPr>
            <w:tcW w:w="635" w:type="dxa"/>
            <w:tcBorders>
              <w:top w:val="single" w:sz="4" w:space="0" w:color="auto"/>
              <w:bottom w:val="single" w:sz="12" w:space="0" w:color="auto"/>
            </w:tcBorders>
            <w:shd w:val="clear" w:color="auto" w:fill="auto"/>
            <w:vAlign w:val="bottom"/>
          </w:tcPr>
          <w:p w:rsidR="00742462" w:rsidRPr="00E16D27" w:rsidRDefault="00742462" w:rsidP="009712BA">
            <w:pPr>
              <w:spacing w:before="80" w:after="80" w:line="200" w:lineRule="exact"/>
              <w:ind w:right="57"/>
              <w:rPr>
                <w:i/>
                <w:sz w:val="16"/>
                <w:szCs w:val="16"/>
              </w:rPr>
            </w:pPr>
            <w:r w:rsidRPr="009712BA">
              <w:rPr>
                <w:i/>
                <w:sz w:val="16"/>
                <w:lang w:val="fr-FR"/>
              </w:rPr>
              <w:t>Langue</w:t>
            </w:r>
          </w:p>
        </w:tc>
        <w:tc>
          <w:tcPr>
            <w:tcW w:w="3300" w:type="dxa"/>
            <w:tcBorders>
              <w:top w:val="single" w:sz="4" w:space="0" w:color="auto"/>
              <w:bottom w:val="single" w:sz="12" w:space="0" w:color="auto"/>
            </w:tcBorders>
            <w:shd w:val="clear" w:color="auto" w:fill="auto"/>
            <w:vAlign w:val="bottom"/>
          </w:tcPr>
          <w:p w:rsidR="00742462" w:rsidRPr="00E16D27" w:rsidRDefault="00742462" w:rsidP="009712BA">
            <w:pPr>
              <w:spacing w:before="80" w:after="80" w:line="200" w:lineRule="exact"/>
              <w:ind w:right="57"/>
              <w:rPr>
                <w:i/>
                <w:sz w:val="16"/>
                <w:szCs w:val="16"/>
              </w:rPr>
            </w:pPr>
            <w:r w:rsidRPr="009712BA">
              <w:rPr>
                <w:i/>
                <w:sz w:val="16"/>
                <w:lang w:val="fr-FR"/>
              </w:rPr>
              <w:t>Titre</w:t>
            </w:r>
          </w:p>
        </w:tc>
        <w:tc>
          <w:tcPr>
            <w:tcW w:w="635" w:type="dxa"/>
            <w:tcBorders>
              <w:top w:val="single" w:sz="4" w:space="0" w:color="auto"/>
              <w:bottom w:val="single" w:sz="12" w:space="0" w:color="auto"/>
            </w:tcBorders>
            <w:shd w:val="clear" w:color="auto" w:fill="auto"/>
            <w:vAlign w:val="bottom"/>
          </w:tcPr>
          <w:p w:rsidR="00742462" w:rsidRPr="00E16D27" w:rsidRDefault="00742462" w:rsidP="009712BA">
            <w:pPr>
              <w:spacing w:before="80" w:after="80" w:line="200" w:lineRule="exact"/>
              <w:ind w:right="57"/>
              <w:rPr>
                <w:i/>
                <w:sz w:val="16"/>
                <w:szCs w:val="16"/>
              </w:rPr>
            </w:pPr>
            <w:r>
              <w:rPr>
                <w:i/>
                <w:sz w:val="16"/>
              </w:rPr>
              <w:t xml:space="preserve">Suite </w:t>
            </w:r>
            <w:r w:rsidRPr="009712BA">
              <w:rPr>
                <w:i/>
                <w:sz w:val="16"/>
                <w:lang w:val="fr-FR"/>
              </w:rPr>
              <w:t>donnée</w:t>
            </w:r>
          </w:p>
        </w:tc>
      </w:tr>
      <w:tr w:rsidR="00742462" w:rsidRPr="008050ED" w:rsidTr="009712BA">
        <w:tc>
          <w:tcPr>
            <w:tcW w:w="952" w:type="dxa"/>
            <w:tcBorders>
              <w:top w:val="single" w:sz="12" w:space="0" w:color="auto"/>
            </w:tcBorders>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w:t>
            </w:r>
          </w:p>
        </w:tc>
        <w:tc>
          <w:tcPr>
            <w:tcW w:w="2222" w:type="dxa"/>
            <w:tcBorders>
              <w:top w:val="single" w:sz="12" w:space="0" w:color="auto"/>
            </w:tcBorders>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Pays-Bas</w:t>
            </w:r>
          </w:p>
        </w:tc>
        <w:tc>
          <w:tcPr>
            <w:tcW w:w="761" w:type="dxa"/>
            <w:tcBorders>
              <w:top w:val="single" w:sz="12" w:space="0" w:color="auto"/>
            </w:tcBorders>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9</w:t>
            </w:r>
          </w:p>
        </w:tc>
        <w:tc>
          <w:tcPr>
            <w:tcW w:w="635" w:type="dxa"/>
            <w:tcBorders>
              <w:top w:val="single" w:sz="12" w:space="0" w:color="auto"/>
            </w:tcBorders>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tcBorders>
              <w:top w:val="single" w:sz="12" w:space="0" w:color="auto"/>
            </w:tcBorders>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 xml:space="preserve">A noise label for motor vehicles: towards quieter traffic </w:t>
            </w:r>
          </w:p>
        </w:tc>
        <w:tc>
          <w:tcPr>
            <w:tcW w:w="635" w:type="dxa"/>
            <w:tcBorders>
              <w:top w:val="single" w:sz="12" w:space="0" w:color="auto"/>
            </w:tcBorders>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c)</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1-Add.1</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Pays-Bas</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9</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 xml:space="preserve">A noise label for motor vehicles: towards quieter traffic (presentation) </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c)</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2</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Groupe de travail informel des véhicules à moteur silencieux</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11</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Draft QRTV Regulation</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d)</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3</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Pays-Bas</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9</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Possible future tyre noise limits</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c)</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3-Add.1</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Pays-Bas</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9</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 xml:space="preserve">Possible future tyre noise limits (presentation) </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c)</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4</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Secrétariat</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15</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General information and WP.29 highlights</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5</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Japon</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4 a)</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Comments on ECE/TRANS/WP.29/GRB/2015/3</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d)</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6</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Japon</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7</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Proposal for amendments to Regulation No.</w:t>
            </w:r>
            <w:r w:rsidR="008050ED">
              <w:rPr>
                <w:sz w:val="18"/>
                <w:szCs w:val="18"/>
                <w:lang w:val="fr-FR"/>
              </w:rPr>
              <w:t> </w:t>
            </w:r>
            <w:r w:rsidRPr="008050ED">
              <w:rPr>
                <w:sz w:val="18"/>
                <w:szCs w:val="18"/>
                <w:lang w:val="fr-FR"/>
              </w:rPr>
              <w:t>117</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d)</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7</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IMMA</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2</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Proposal for amendments to ECE/TRANS/WP.29/GRB/2014/4</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d)</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8</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Pays-Bas</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4 a)</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Proposal for amendments to the 03 series of</w:t>
            </w:r>
            <w:r w:rsidR="008050ED">
              <w:rPr>
                <w:sz w:val="18"/>
                <w:szCs w:val="18"/>
                <w:lang w:val="fr-FR"/>
              </w:rPr>
              <w:t> </w:t>
            </w:r>
            <w:r w:rsidRPr="008050ED">
              <w:rPr>
                <w:sz w:val="18"/>
                <w:szCs w:val="18"/>
                <w:lang w:val="fr-FR"/>
              </w:rPr>
              <w:t>amendments to Regulation No.</w:t>
            </w:r>
            <w:r w:rsidR="004F2633" w:rsidRPr="008050ED">
              <w:rPr>
                <w:sz w:val="18"/>
                <w:szCs w:val="18"/>
                <w:lang w:val="fr-FR"/>
              </w:rPr>
              <w:t> </w:t>
            </w:r>
            <w:r w:rsidRPr="008050ED">
              <w:rPr>
                <w:sz w:val="18"/>
                <w:szCs w:val="18"/>
                <w:lang w:val="fr-FR"/>
              </w:rPr>
              <w:t>51</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d)</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9</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France</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7</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Method of deceleration measuring and</w:t>
            </w:r>
            <w:r w:rsidR="008050ED">
              <w:rPr>
                <w:sz w:val="18"/>
                <w:szCs w:val="18"/>
                <w:lang w:val="fr-FR"/>
              </w:rPr>
              <w:br/>
            </w:r>
            <w:r w:rsidRPr="008050ED">
              <w:rPr>
                <w:sz w:val="18"/>
                <w:szCs w:val="18"/>
                <w:lang w:val="fr-FR"/>
              </w:rPr>
              <w:t>data processing for tyre rolling resistance determination</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10</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Groupe de travail informel des véhicules à moteur silencieux</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11</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Groupe de travail informel chargé</w:t>
            </w:r>
            <w:r w:rsidR="008050ED">
              <w:rPr>
                <w:sz w:val="18"/>
                <w:szCs w:val="18"/>
                <w:lang w:val="fr-FR"/>
              </w:rPr>
              <w:br/>
            </w:r>
            <w:r w:rsidRPr="008050ED">
              <w:rPr>
                <w:sz w:val="18"/>
                <w:szCs w:val="18"/>
                <w:lang w:val="fr-FR"/>
              </w:rPr>
              <w:t>d</w:t>
            </w:r>
            <w:r w:rsidR="00E42E9D">
              <w:rPr>
                <w:sz w:val="18"/>
                <w:szCs w:val="18"/>
                <w:lang w:val="fr-FR"/>
              </w:rPr>
              <w:t>’</w:t>
            </w:r>
            <w:r w:rsidRPr="008050ED">
              <w:rPr>
                <w:sz w:val="18"/>
                <w:szCs w:val="18"/>
                <w:lang w:val="fr-FR"/>
              </w:rPr>
              <w:t>élaborer un Règlement ONU sur</w:t>
            </w:r>
            <w:r w:rsidR="008050ED">
              <w:rPr>
                <w:sz w:val="18"/>
                <w:szCs w:val="18"/>
                <w:lang w:val="fr-FR"/>
              </w:rPr>
              <w:br/>
            </w:r>
            <w:r w:rsidRPr="008050ED">
              <w:rPr>
                <w:sz w:val="18"/>
                <w:szCs w:val="18"/>
                <w:lang w:val="fr-FR"/>
              </w:rPr>
              <w:t>les véhicules à moteur silencieux</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b)</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11</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IMMA</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3</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Proposal to amend the 04 series of amendments to Regulation No. 41 to formalize the GRB interpretation of the conformity of production</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d)</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12</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Fédération de Russie</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2</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Proposal for draft amendments to UN Regulation No. 28</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b)</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13</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IMMA</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8</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Revised proposals for amendment to Regulations Nos. 9, 41 and 63 replacing</w:t>
            </w:r>
            <w:r w:rsidR="008050ED">
              <w:rPr>
                <w:sz w:val="18"/>
                <w:szCs w:val="18"/>
                <w:lang w:val="fr-FR"/>
              </w:rPr>
              <w:br/>
            </w:r>
            <w:r w:rsidRPr="008050ED">
              <w:rPr>
                <w:sz w:val="18"/>
                <w:szCs w:val="18"/>
                <w:lang w:val="fr-FR"/>
              </w:rPr>
              <w:t>the proposals in document ECE/TRANS/WP.29/GRB/2015/5</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d)</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lastRenderedPageBreak/>
              <w:t>14</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ETRTO</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7</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Proposal for amendments to Regulation No.</w:t>
            </w:r>
            <w:r w:rsidR="008050ED">
              <w:rPr>
                <w:sz w:val="18"/>
                <w:szCs w:val="18"/>
                <w:lang w:val="fr-FR"/>
              </w:rPr>
              <w:t> </w:t>
            </w:r>
            <w:r w:rsidRPr="008050ED">
              <w:rPr>
                <w:sz w:val="18"/>
                <w:szCs w:val="18"/>
                <w:lang w:val="fr-FR"/>
              </w:rPr>
              <w:t>117</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d)</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15</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UMA</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11</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Statement on QRTV</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16</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CEDR</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10</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 xml:space="preserve">Traffic noise and motorway pavements </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r>
      <w:tr w:rsidR="00742462" w:rsidRPr="008050ED" w:rsidTr="009712BA">
        <w:tc>
          <w:tcPr>
            <w:tcW w:w="95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17</w:t>
            </w:r>
          </w:p>
        </w:tc>
        <w:tc>
          <w:tcPr>
            <w:tcW w:w="2222"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Fédération de Russie</w:t>
            </w:r>
          </w:p>
        </w:tc>
        <w:tc>
          <w:tcPr>
            <w:tcW w:w="761"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9</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Draft interstate standard on internal noise</w:t>
            </w:r>
          </w:p>
        </w:tc>
        <w:tc>
          <w:tcPr>
            <w:tcW w:w="635" w:type="dxa"/>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r>
      <w:tr w:rsidR="00742462" w:rsidRPr="008050ED" w:rsidTr="009712BA">
        <w:tc>
          <w:tcPr>
            <w:tcW w:w="952" w:type="dxa"/>
            <w:tcBorders>
              <w:bottom w:val="single" w:sz="12" w:space="0" w:color="auto"/>
            </w:tcBorders>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18</w:t>
            </w:r>
          </w:p>
        </w:tc>
        <w:tc>
          <w:tcPr>
            <w:tcW w:w="2222" w:type="dxa"/>
            <w:tcBorders>
              <w:bottom w:val="single" w:sz="12" w:space="0" w:color="auto"/>
            </w:tcBorders>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ETRTO</w:t>
            </w:r>
          </w:p>
        </w:tc>
        <w:tc>
          <w:tcPr>
            <w:tcW w:w="761" w:type="dxa"/>
            <w:tcBorders>
              <w:bottom w:val="single" w:sz="12" w:space="0" w:color="auto"/>
            </w:tcBorders>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9</w:t>
            </w:r>
          </w:p>
        </w:tc>
        <w:tc>
          <w:tcPr>
            <w:tcW w:w="635" w:type="dxa"/>
            <w:tcBorders>
              <w:bottom w:val="single" w:sz="12" w:space="0" w:color="auto"/>
            </w:tcBorders>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c>
          <w:tcPr>
            <w:tcW w:w="3300" w:type="dxa"/>
            <w:tcBorders>
              <w:bottom w:val="single" w:sz="12" w:space="0" w:color="auto"/>
            </w:tcBorders>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Exchange of information on national and international requirements on noise levels: comments on GRB-60-08, GRB</w:t>
            </w:r>
            <w:r w:rsidR="004F2633" w:rsidRPr="008050ED">
              <w:rPr>
                <w:sz w:val="18"/>
                <w:szCs w:val="18"/>
                <w:lang w:val="fr-FR"/>
              </w:rPr>
              <w:noBreakHyphen/>
            </w:r>
            <w:r w:rsidRPr="008050ED">
              <w:rPr>
                <w:sz w:val="18"/>
                <w:szCs w:val="18"/>
                <w:lang w:val="fr-FR"/>
              </w:rPr>
              <w:t>60-12, GRB-60-14-Rev.1 and GRB</w:t>
            </w:r>
            <w:r w:rsidR="004F2633" w:rsidRPr="008050ED">
              <w:rPr>
                <w:sz w:val="18"/>
                <w:szCs w:val="18"/>
                <w:lang w:val="fr-FR"/>
              </w:rPr>
              <w:noBreakHyphen/>
            </w:r>
            <w:r w:rsidRPr="008050ED">
              <w:rPr>
                <w:sz w:val="18"/>
                <w:szCs w:val="18"/>
                <w:lang w:val="fr-FR"/>
              </w:rPr>
              <w:t>61</w:t>
            </w:r>
            <w:r w:rsidR="004F2633" w:rsidRPr="008050ED">
              <w:rPr>
                <w:sz w:val="18"/>
                <w:szCs w:val="18"/>
                <w:lang w:val="fr-FR"/>
              </w:rPr>
              <w:noBreakHyphen/>
            </w:r>
            <w:r w:rsidRPr="008050ED">
              <w:rPr>
                <w:sz w:val="18"/>
                <w:szCs w:val="18"/>
                <w:lang w:val="fr-FR"/>
              </w:rPr>
              <w:t>03</w:t>
            </w:r>
          </w:p>
        </w:tc>
        <w:tc>
          <w:tcPr>
            <w:tcW w:w="635" w:type="dxa"/>
            <w:tcBorders>
              <w:bottom w:val="single" w:sz="12" w:space="0" w:color="auto"/>
            </w:tcBorders>
            <w:shd w:val="clear" w:color="auto" w:fill="auto"/>
          </w:tcPr>
          <w:p w:rsidR="00742462" w:rsidRPr="008050ED" w:rsidRDefault="00742462" w:rsidP="008050ED">
            <w:pPr>
              <w:spacing w:before="40" w:after="120" w:line="220" w:lineRule="atLeast"/>
              <w:ind w:right="57"/>
              <w:rPr>
                <w:sz w:val="18"/>
                <w:szCs w:val="18"/>
                <w:lang w:val="fr-FR"/>
              </w:rPr>
            </w:pPr>
            <w:r w:rsidRPr="008050ED">
              <w:rPr>
                <w:sz w:val="18"/>
                <w:szCs w:val="18"/>
                <w:lang w:val="fr-FR"/>
              </w:rPr>
              <w:t>a)</w:t>
            </w:r>
          </w:p>
        </w:tc>
      </w:tr>
    </w:tbl>
    <w:p w:rsidR="00742462" w:rsidRPr="009712BA" w:rsidRDefault="00742462" w:rsidP="00E01A0A">
      <w:pPr>
        <w:keepNext/>
        <w:spacing w:before="120"/>
        <w:ind w:left="1134" w:firstLine="170"/>
        <w:rPr>
          <w:i/>
          <w:sz w:val="18"/>
          <w:szCs w:val="18"/>
          <w:lang w:val="fr-FR"/>
        </w:rPr>
      </w:pPr>
      <w:r w:rsidRPr="009712BA">
        <w:rPr>
          <w:i/>
          <w:sz w:val="18"/>
          <w:szCs w:val="18"/>
          <w:lang w:val="fr-FR"/>
        </w:rPr>
        <w:t>Notes</w:t>
      </w:r>
      <w:r w:rsidRPr="00251799">
        <w:rPr>
          <w:sz w:val="18"/>
          <w:szCs w:val="18"/>
          <w:lang w:val="fr-FR"/>
        </w:rPr>
        <w:t>:</w:t>
      </w:r>
    </w:p>
    <w:p w:rsidR="00742462" w:rsidRPr="00E16D27" w:rsidRDefault="00742462" w:rsidP="009712BA">
      <w:pPr>
        <w:ind w:left="1134" w:firstLine="170"/>
        <w:rPr>
          <w:sz w:val="18"/>
          <w:szCs w:val="18"/>
        </w:rPr>
      </w:pPr>
      <w:r>
        <w:rPr>
          <w:sz w:val="18"/>
        </w:rPr>
        <w:t>a)</w:t>
      </w:r>
      <w:r>
        <w:tab/>
      </w:r>
      <w:r w:rsidRPr="009712BA">
        <w:rPr>
          <w:sz w:val="18"/>
          <w:szCs w:val="18"/>
          <w:lang w:val="fr-FR"/>
        </w:rPr>
        <w:t>Document</w:t>
      </w:r>
      <w:r>
        <w:rPr>
          <w:sz w:val="18"/>
        </w:rPr>
        <w:t xml:space="preserve"> dont l</w:t>
      </w:r>
      <w:r w:rsidR="00E42E9D">
        <w:rPr>
          <w:sz w:val="18"/>
        </w:rPr>
        <w:t>’</w:t>
      </w:r>
      <w:r>
        <w:rPr>
          <w:sz w:val="18"/>
        </w:rPr>
        <w:t>examen est achevé ou qui doit être remplacé.</w:t>
      </w:r>
    </w:p>
    <w:p w:rsidR="00742462" w:rsidRPr="00E16D27" w:rsidRDefault="00742462" w:rsidP="009712BA">
      <w:pPr>
        <w:ind w:left="1134" w:firstLine="170"/>
        <w:rPr>
          <w:sz w:val="18"/>
          <w:szCs w:val="18"/>
        </w:rPr>
      </w:pPr>
      <w:r>
        <w:rPr>
          <w:sz w:val="18"/>
        </w:rPr>
        <w:t>b)</w:t>
      </w:r>
      <w:r>
        <w:tab/>
      </w:r>
      <w:r w:rsidRPr="009712BA">
        <w:rPr>
          <w:sz w:val="18"/>
          <w:szCs w:val="18"/>
          <w:lang w:val="fr-FR"/>
        </w:rPr>
        <w:t>Document</w:t>
      </w:r>
      <w:r>
        <w:rPr>
          <w:sz w:val="18"/>
        </w:rPr>
        <w:t xml:space="preserve"> dont l</w:t>
      </w:r>
      <w:r w:rsidR="00E42E9D">
        <w:rPr>
          <w:sz w:val="18"/>
        </w:rPr>
        <w:t>’</w:t>
      </w:r>
      <w:r>
        <w:rPr>
          <w:sz w:val="18"/>
        </w:rPr>
        <w:t>examen doit être poursuivi à la session suivante, mais sous une cote officielle.</w:t>
      </w:r>
    </w:p>
    <w:p w:rsidR="00742462" w:rsidRPr="00E16D27" w:rsidRDefault="00742462" w:rsidP="009712BA">
      <w:pPr>
        <w:ind w:left="1134" w:firstLine="170"/>
        <w:rPr>
          <w:sz w:val="18"/>
          <w:szCs w:val="18"/>
        </w:rPr>
      </w:pPr>
      <w:r>
        <w:rPr>
          <w:sz w:val="18"/>
        </w:rPr>
        <w:t>c)</w:t>
      </w:r>
      <w:r>
        <w:tab/>
      </w:r>
      <w:r w:rsidRPr="009712BA">
        <w:rPr>
          <w:sz w:val="18"/>
          <w:szCs w:val="18"/>
          <w:lang w:val="fr-FR"/>
        </w:rPr>
        <w:t>Document</w:t>
      </w:r>
      <w:r>
        <w:rPr>
          <w:sz w:val="18"/>
        </w:rPr>
        <w:t xml:space="preserve"> dont l</w:t>
      </w:r>
      <w:r w:rsidR="00E42E9D">
        <w:rPr>
          <w:sz w:val="18"/>
        </w:rPr>
        <w:t>’</w:t>
      </w:r>
      <w:r>
        <w:rPr>
          <w:sz w:val="18"/>
        </w:rPr>
        <w:t>examen doit être poursuivi à la session suivante, sans cote officielle.</w:t>
      </w:r>
    </w:p>
    <w:p w:rsidR="00742462" w:rsidRPr="00E16D27" w:rsidRDefault="00742462" w:rsidP="009712BA">
      <w:pPr>
        <w:ind w:left="1134" w:firstLine="170"/>
        <w:rPr>
          <w:sz w:val="18"/>
          <w:szCs w:val="18"/>
        </w:rPr>
      </w:pPr>
      <w:r>
        <w:rPr>
          <w:sz w:val="18"/>
        </w:rPr>
        <w:t>d)</w:t>
      </w:r>
      <w:r>
        <w:tab/>
      </w:r>
      <w:r w:rsidRPr="009712BA">
        <w:rPr>
          <w:sz w:val="18"/>
          <w:szCs w:val="18"/>
          <w:lang w:val="fr-FR"/>
        </w:rPr>
        <w:t>Document</w:t>
      </w:r>
      <w:r>
        <w:rPr>
          <w:sz w:val="18"/>
        </w:rPr>
        <w:t xml:space="preserve"> adopté et à soumettre au WP.29.</w:t>
      </w:r>
    </w:p>
    <w:p w:rsidR="00742462" w:rsidRPr="0087389B" w:rsidRDefault="00742462" w:rsidP="0087389B">
      <w:pPr>
        <w:pStyle w:val="HChG"/>
      </w:pPr>
      <w:r>
        <w:br w:type="page"/>
      </w:r>
      <w:r w:rsidRPr="0087389B">
        <w:lastRenderedPageBreak/>
        <w:t>Annexe II</w:t>
      </w:r>
    </w:p>
    <w:p w:rsidR="00742462" w:rsidRPr="004F2633" w:rsidRDefault="00742462" w:rsidP="0087389B">
      <w:pPr>
        <w:pStyle w:val="HChG"/>
        <w:rPr>
          <w:spacing w:val="-2"/>
        </w:rPr>
      </w:pPr>
      <w:r w:rsidRPr="004F2633">
        <w:rPr>
          <w:spacing w:val="-2"/>
        </w:rPr>
        <w:tab/>
      </w:r>
      <w:r w:rsidRPr="004F2633">
        <w:rPr>
          <w:spacing w:val="-2"/>
        </w:rPr>
        <w:tab/>
        <w:t>Modifications du document ECE/TRANS/WP.29/GRB/2014/4 adoptées</w:t>
      </w:r>
    </w:p>
    <w:p w:rsidR="00742462" w:rsidRPr="00462185" w:rsidRDefault="00742462" w:rsidP="009712BA">
      <w:pPr>
        <w:pStyle w:val="SingleTxtG"/>
        <w:keepNext/>
      </w:pPr>
      <w:r w:rsidRPr="00462185">
        <w:rPr>
          <w:i/>
        </w:rPr>
        <w:t>Paragraphe 14.4</w:t>
      </w:r>
      <w:r w:rsidRPr="00462185">
        <w:t>,</w:t>
      </w:r>
      <w:r w:rsidRPr="00462185">
        <w:rPr>
          <w:i/>
        </w:rPr>
        <w:t xml:space="preserve"> </w:t>
      </w:r>
      <w:r w:rsidRPr="00462185">
        <w:t>modifier comme suit:</w:t>
      </w:r>
    </w:p>
    <w:p w:rsidR="00742462" w:rsidRPr="00462185" w:rsidRDefault="00742462" w:rsidP="00E01A0A">
      <w:pPr>
        <w:pStyle w:val="SingleTxtG"/>
        <w:keepNext/>
        <w:ind w:left="2268" w:hanging="1134"/>
        <w:rPr>
          <w:b/>
        </w:rPr>
      </w:pPr>
      <w:r w:rsidRPr="00462185">
        <w:t>«14.4</w:t>
      </w:r>
      <w:r w:rsidRPr="00462185">
        <w:tab/>
      </w:r>
      <w:r w:rsidRPr="00462185">
        <w:tab/>
      </w:r>
      <w:r w:rsidR="00671BF7">
        <w:t>Le</w:t>
      </w:r>
      <w:r w:rsidRPr="006F26EF">
        <w:t xml:space="preserve"> niveau de pression acoustique </w:t>
      </w:r>
      <w:r w:rsidR="00671BF7">
        <w:t xml:space="preserve">pondéré en fonction de la </w:t>
      </w:r>
      <w:r w:rsidRPr="006F26EF">
        <w:t>courbe A émis par l</w:t>
      </w:r>
      <w:r w:rsidR="00E42E9D">
        <w:t>’</w:t>
      </w:r>
      <w:r w:rsidRPr="006F26EF">
        <w:t xml:space="preserve"> </w:t>
      </w:r>
      <w:r w:rsidR="00671BF7">
        <w:t>(</w:t>
      </w:r>
      <w:r w:rsidRPr="006F26EF">
        <w:t>les</w:t>
      </w:r>
      <w:r w:rsidR="00671BF7">
        <w:t>)</w:t>
      </w:r>
      <w:r w:rsidRPr="006F26EF">
        <w:t xml:space="preserve"> appareil</w:t>
      </w:r>
      <w:r w:rsidR="00671BF7">
        <w:t>(</w:t>
      </w:r>
      <w:r w:rsidRPr="006F26EF">
        <w:t>s</w:t>
      </w:r>
      <w:r w:rsidR="00671BF7">
        <w:t>)</w:t>
      </w:r>
      <w:r w:rsidRPr="006F26EF">
        <w:t xml:space="preserve"> monté</w:t>
      </w:r>
      <w:r w:rsidR="00671BF7">
        <w:t>(</w:t>
      </w:r>
      <w:r w:rsidRPr="006F26EF">
        <w:t>s</w:t>
      </w:r>
      <w:r w:rsidR="00671BF7">
        <w:t>)</w:t>
      </w:r>
      <w:r w:rsidRPr="006F26EF">
        <w:t xml:space="preserve"> sur le véhicule est mesuré à une distance de 7</w:t>
      </w:r>
      <w:r w:rsidR="008050ED">
        <w:t> </w:t>
      </w:r>
      <w:r w:rsidRPr="006F26EF">
        <w:t>m en avant du véhicule, ce dernier étant placé en terrain dégagé, sur un sol aussi lisse que possible et, s</w:t>
      </w:r>
      <w:r w:rsidR="00E42E9D">
        <w:t>’</w:t>
      </w:r>
      <w:r w:rsidRPr="006F26EF">
        <w:t>il s</w:t>
      </w:r>
      <w:r w:rsidR="00E42E9D">
        <w:t>’</w:t>
      </w:r>
      <w:r w:rsidRPr="006F26EF">
        <w:t>agit d</w:t>
      </w:r>
      <w:r w:rsidR="00E42E9D">
        <w:t>’</w:t>
      </w:r>
      <w:r w:rsidRPr="006F26EF">
        <w:t>avertisseurs alimentés en courant continu, son moteur étant arrêté.</w:t>
      </w:r>
      <w:r w:rsidRPr="00462185">
        <w:t xml:space="preserve"> </w:t>
      </w:r>
      <w:r w:rsidRPr="00462185">
        <w:rPr>
          <w:b/>
        </w:rPr>
        <w:t>La tension d</w:t>
      </w:r>
      <w:r w:rsidR="00E42E9D">
        <w:rPr>
          <w:b/>
        </w:rPr>
        <w:t>’</w:t>
      </w:r>
      <w:r w:rsidRPr="00462185">
        <w:rPr>
          <w:b/>
        </w:rPr>
        <w:t>essai spécifiée au paragraphe 6.2.3 doit provenir:</w:t>
      </w:r>
    </w:p>
    <w:p w:rsidR="00742462" w:rsidRPr="00462185" w:rsidRDefault="00742462" w:rsidP="009712BA">
      <w:pPr>
        <w:pStyle w:val="SingleTxtG"/>
        <w:ind w:left="2835" w:hanging="567"/>
      </w:pPr>
      <w:r w:rsidRPr="00462185">
        <w:rPr>
          <w:b/>
        </w:rPr>
        <w:t>a)</w:t>
      </w:r>
      <w:r w:rsidRPr="00462185">
        <w:tab/>
      </w:r>
      <w:r w:rsidR="00671BF7" w:rsidRPr="00462185">
        <w:rPr>
          <w:b/>
        </w:rPr>
        <w:t xml:space="preserve">De </w:t>
      </w:r>
      <w:r w:rsidRPr="00462185">
        <w:rPr>
          <w:b/>
        </w:rPr>
        <w:t>la batterie du véhicule uniquement; ou</w:t>
      </w:r>
    </w:p>
    <w:p w:rsidR="00E01A0A" w:rsidRDefault="00742462" w:rsidP="009712BA">
      <w:pPr>
        <w:pStyle w:val="SingleTxtG"/>
        <w:ind w:left="2835" w:hanging="567"/>
        <w:rPr>
          <w:b/>
        </w:rPr>
      </w:pPr>
      <w:r w:rsidRPr="00462185">
        <w:rPr>
          <w:b/>
        </w:rPr>
        <w:t>b)</w:t>
      </w:r>
      <w:r w:rsidRPr="00462185">
        <w:tab/>
      </w:r>
      <w:r w:rsidR="00671BF7" w:rsidRPr="00462185">
        <w:rPr>
          <w:b/>
        </w:rPr>
        <w:t xml:space="preserve">De </w:t>
      </w:r>
      <w:r w:rsidRPr="00462185">
        <w:rPr>
          <w:b/>
        </w:rPr>
        <w:t xml:space="preserve">la batterie du véhicule une fois le moteur </w:t>
      </w:r>
      <w:r w:rsidRPr="006F26EF">
        <w:rPr>
          <w:b/>
        </w:rPr>
        <w:t>à chaud et tournant au ralenti;</w:t>
      </w:r>
      <w:r w:rsidRPr="00462185">
        <w:rPr>
          <w:b/>
        </w:rPr>
        <w:t xml:space="preserve"> ou</w:t>
      </w:r>
    </w:p>
    <w:p w:rsidR="00742462" w:rsidRPr="00462185" w:rsidRDefault="00742462" w:rsidP="009712BA">
      <w:pPr>
        <w:pStyle w:val="SingleTxtG"/>
        <w:ind w:left="2835" w:hanging="567"/>
        <w:rPr>
          <w:b/>
        </w:rPr>
      </w:pPr>
      <w:r w:rsidRPr="00462185">
        <w:rPr>
          <w:b/>
        </w:rPr>
        <w:t>c)</w:t>
      </w:r>
      <w:r w:rsidRPr="00462185">
        <w:tab/>
      </w:r>
      <w:r w:rsidR="00671BF7" w:rsidRPr="00462185">
        <w:rPr>
          <w:b/>
        </w:rPr>
        <w:t>D</w:t>
      </w:r>
      <w:r w:rsidR="00E42E9D">
        <w:rPr>
          <w:b/>
        </w:rPr>
        <w:t>’</w:t>
      </w:r>
      <w:r w:rsidR="00671BF7" w:rsidRPr="00462185">
        <w:rPr>
          <w:b/>
        </w:rPr>
        <w:t xml:space="preserve">une </w:t>
      </w:r>
      <w:r w:rsidRPr="00462185">
        <w:rPr>
          <w:b/>
        </w:rPr>
        <w:t xml:space="preserve">source </w:t>
      </w:r>
      <w:r w:rsidR="00671BF7">
        <w:rPr>
          <w:b/>
        </w:rPr>
        <w:t>extérieure</w:t>
      </w:r>
      <w:r w:rsidRPr="00462185">
        <w:rPr>
          <w:b/>
        </w:rPr>
        <w:t xml:space="preserve"> d</w:t>
      </w:r>
      <w:r w:rsidR="00E42E9D">
        <w:rPr>
          <w:b/>
        </w:rPr>
        <w:t>’</w:t>
      </w:r>
      <w:r w:rsidRPr="00462185">
        <w:rPr>
          <w:b/>
        </w:rPr>
        <w:t>alimentation électrique branchée à l</w:t>
      </w:r>
      <w:r w:rsidR="00E42E9D">
        <w:rPr>
          <w:b/>
        </w:rPr>
        <w:t>’</w:t>
      </w:r>
      <w:r w:rsidRPr="00462185">
        <w:rPr>
          <w:b/>
        </w:rPr>
        <w:t>avertisseur sonore;</w:t>
      </w:r>
      <w:r w:rsidRPr="008050ED">
        <w:t>»</w:t>
      </w:r>
      <w:r w:rsidRPr="00462185">
        <w:t>.</w:t>
      </w:r>
    </w:p>
    <w:p w:rsidR="00742462" w:rsidRPr="00462185" w:rsidRDefault="00742462" w:rsidP="009712BA">
      <w:pPr>
        <w:pStyle w:val="SingleTxtG"/>
        <w:keepNext/>
      </w:pPr>
      <w:r w:rsidRPr="00462185">
        <w:rPr>
          <w:i/>
        </w:rPr>
        <w:t>Annexe 2, après le point 5</w:t>
      </w:r>
      <w:r w:rsidRPr="00462185">
        <w:t>, ajouter un nouveau point 6, ainsi conçu:</w:t>
      </w:r>
    </w:p>
    <w:p w:rsidR="00742462" w:rsidRPr="00462185" w:rsidRDefault="00742462" w:rsidP="009712BA">
      <w:pPr>
        <w:pStyle w:val="SingleTxtG"/>
        <w:ind w:left="2268" w:hanging="1134"/>
        <w:rPr>
          <w:b/>
        </w:rPr>
      </w:pPr>
      <w:r w:rsidRPr="008050ED">
        <w:t>«</w:t>
      </w:r>
      <w:r w:rsidRPr="00462185">
        <w:rPr>
          <w:b/>
        </w:rPr>
        <w:t>6.</w:t>
      </w:r>
      <w:r w:rsidR="00E01A0A">
        <w:rPr>
          <w:b/>
        </w:rPr>
        <w:tab/>
      </w:r>
      <w:r w:rsidRPr="00462185">
        <w:rPr>
          <w:b/>
        </w:rPr>
        <w:t xml:space="preserve">Alimentation électrique utilisée: Batterie du véhicule uniquement/Batterie du véhicule avec moteur à chaud tournant au ralenti/Alimentation </w:t>
      </w:r>
      <w:r w:rsidR="00671BF7" w:rsidRPr="00671BF7">
        <w:rPr>
          <w:b/>
        </w:rPr>
        <w:t>extérieure</w:t>
      </w:r>
      <w:r w:rsidRPr="00671BF7">
        <w:t>**</w:t>
      </w:r>
      <w:r w:rsidRPr="00462185">
        <w:rPr>
          <w:b/>
        </w:rPr>
        <w:t>/ . . . . . . . . . . . . . . . . .</w:t>
      </w:r>
      <w:r w:rsidR="00671BF7">
        <w:rPr>
          <w:b/>
        </w:rPr>
        <w:t xml:space="preserve"> </w:t>
      </w:r>
      <w:r w:rsidR="008050ED">
        <w:rPr>
          <w:b/>
        </w:rPr>
        <w:t>. . . . . . . . . . . . .</w:t>
      </w:r>
      <w:r w:rsidRPr="00462185">
        <w:rPr>
          <w:b/>
        </w:rPr>
        <w:t xml:space="preserve"> .</w:t>
      </w:r>
      <w:r w:rsidRPr="008050ED">
        <w:t>».</w:t>
      </w:r>
    </w:p>
    <w:p w:rsidR="00742462" w:rsidRPr="00E16D27" w:rsidRDefault="00742462" w:rsidP="009712BA">
      <w:pPr>
        <w:pStyle w:val="SingleTxtG"/>
        <w:keepNext/>
      </w:pPr>
      <w:r w:rsidRPr="00462185">
        <w:rPr>
          <w:i/>
        </w:rPr>
        <w:t xml:space="preserve">Annexe 2, les </w:t>
      </w:r>
      <w:r w:rsidR="0086678F">
        <w:rPr>
          <w:i/>
        </w:rPr>
        <w:t>points </w:t>
      </w:r>
      <w:r w:rsidRPr="00462185">
        <w:rPr>
          <w:i/>
        </w:rPr>
        <w:t>6 à 15</w:t>
      </w:r>
      <w:r w:rsidRPr="00462185">
        <w:t xml:space="preserve"> deviennent les </w:t>
      </w:r>
      <w:r w:rsidR="0086678F">
        <w:t>points </w:t>
      </w:r>
      <w:r w:rsidRPr="00462185">
        <w:t>7 à 16.</w:t>
      </w:r>
    </w:p>
    <w:p w:rsidR="00742462" w:rsidRPr="0087389B" w:rsidRDefault="00742462" w:rsidP="0087389B">
      <w:pPr>
        <w:pStyle w:val="HChG"/>
      </w:pPr>
      <w:r>
        <w:br w:type="page"/>
      </w:r>
      <w:r w:rsidRPr="0087389B">
        <w:lastRenderedPageBreak/>
        <w:t>Annexe III</w:t>
      </w:r>
    </w:p>
    <w:p w:rsidR="00742462" w:rsidRPr="004F2633" w:rsidRDefault="00742462" w:rsidP="0087389B">
      <w:pPr>
        <w:pStyle w:val="HChG"/>
        <w:rPr>
          <w:spacing w:val="-4"/>
        </w:rPr>
      </w:pPr>
      <w:r w:rsidRPr="004F2633">
        <w:rPr>
          <w:spacing w:val="-4"/>
        </w:rPr>
        <w:tab/>
      </w:r>
      <w:r w:rsidRPr="004F2633">
        <w:rPr>
          <w:spacing w:val="-4"/>
        </w:rPr>
        <w:tab/>
        <w:t>Modifications des documents ECE/TRANS/WP.29/GRB/2015/3 et Corr.1 adoptées</w:t>
      </w:r>
    </w:p>
    <w:p w:rsidR="00742462" w:rsidRPr="00462185" w:rsidRDefault="00742462" w:rsidP="009712BA">
      <w:pPr>
        <w:pStyle w:val="SingleTxtG"/>
        <w:keepNext/>
      </w:pPr>
      <w:r w:rsidRPr="00462185">
        <w:rPr>
          <w:i/>
        </w:rPr>
        <w:t>Paragraphe 2.19</w:t>
      </w:r>
      <w:r w:rsidRPr="00462185">
        <w:t>, sans objet en français.</w:t>
      </w:r>
    </w:p>
    <w:p w:rsidR="00742462" w:rsidRPr="00462185" w:rsidRDefault="00742462" w:rsidP="009712BA">
      <w:pPr>
        <w:pStyle w:val="SingleTxtG"/>
        <w:keepNext/>
      </w:pPr>
      <w:r w:rsidRPr="00462185">
        <w:rPr>
          <w:i/>
        </w:rPr>
        <w:t xml:space="preserve">Nouveau </w:t>
      </w:r>
      <w:r w:rsidR="0086678F">
        <w:rPr>
          <w:i/>
        </w:rPr>
        <w:t>paragraphe </w:t>
      </w:r>
      <w:r w:rsidRPr="00462185">
        <w:rPr>
          <w:i/>
        </w:rPr>
        <w:t>2.23</w:t>
      </w:r>
      <w:r w:rsidRPr="00462185">
        <w:t>,</w:t>
      </w:r>
      <w:r w:rsidRPr="00462185">
        <w:rPr>
          <w:i/>
        </w:rPr>
        <w:t xml:space="preserve"> </w:t>
      </w:r>
      <w:r w:rsidRPr="00462185">
        <w:t>modifier comme suit:</w:t>
      </w:r>
      <w:r w:rsidRPr="00462185">
        <w:tab/>
      </w:r>
    </w:p>
    <w:p w:rsidR="00742462" w:rsidRPr="00462185" w:rsidRDefault="00742462" w:rsidP="00C61DED">
      <w:pPr>
        <w:pStyle w:val="SingleTxtG"/>
        <w:keepNext/>
        <w:ind w:left="2268" w:hanging="1134"/>
        <w:rPr>
          <w:b/>
        </w:rPr>
      </w:pPr>
      <w:r w:rsidRPr="00462185">
        <w:t>«</w:t>
      </w:r>
      <w:r w:rsidRPr="00462185">
        <w:rPr>
          <w:b/>
        </w:rPr>
        <w:t>2.23</w:t>
      </w:r>
      <w:r w:rsidRPr="00462185">
        <w:tab/>
      </w:r>
      <w:r w:rsidRPr="00462185">
        <w:rPr>
          <w:b/>
        </w:rPr>
        <w:t xml:space="preserve">Par </w:t>
      </w:r>
      <w:r w:rsidR="00D61357">
        <w:rPr>
          <w:b/>
        </w:rPr>
        <w:t>“</w:t>
      </w:r>
      <w:r w:rsidRPr="00462185">
        <w:rPr>
          <w:b/>
        </w:rPr>
        <w:t>point-R</w:t>
      </w:r>
      <w:r w:rsidR="00D61357">
        <w:rPr>
          <w:b/>
        </w:rPr>
        <w:t>”</w:t>
      </w:r>
      <w:r w:rsidRPr="00462185">
        <w:rPr>
          <w:b/>
        </w:rPr>
        <w:t>, le point-R tel qu</w:t>
      </w:r>
      <w:r w:rsidR="00E42E9D">
        <w:rPr>
          <w:b/>
        </w:rPr>
        <w:t>’</w:t>
      </w:r>
      <w:r w:rsidRPr="00462185">
        <w:rPr>
          <w:b/>
        </w:rPr>
        <w:t xml:space="preserve">il est défini au </w:t>
      </w:r>
      <w:r w:rsidR="0086678F">
        <w:rPr>
          <w:b/>
        </w:rPr>
        <w:t>paragraphe </w:t>
      </w:r>
      <w:r w:rsidRPr="00462185">
        <w:rPr>
          <w:b/>
        </w:rPr>
        <w:t>2.4 de l</w:t>
      </w:r>
      <w:r w:rsidR="00E42E9D">
        <w:rPr>
          <w:b/>
        </w:rPr>
        <w:t>’</w:t>
      </w:r>
      <w:r w:rsidR="0086678F">
        <w:rPr>
          <w:b/>
        </w:rPr>
        <w:t>annexe </w:t>
      </w:r>
      <w:r w:rsidRPr="00462185">
        <w:rPr>
          <w:b/>
        </w:rPr>
        <w:t>1 de la Résolution d</w:t>
      </w:r>
      <w:r w:rsidR="00E42E9D">
        <w:rPr>
          <w:b/>
        </w:rPr>
        <w:t>’</w:t>
      </w:r>
      <w:r w:rsidRPr="00462185">
        <w:rPr>
          <w:b/>
        </w:rPr>
        <w:t>ensemble sur la construction des véhicules (R.E.3).</w:t>
      </w:r>
      <w:r w:rsidRPr="00462185">
        <w:t>».</w:t>
      </w:r>
    </w:p>
    <w:p w:rsidR="00742462" w:rsidRPr="00462185" w:rsidRDefault="00742462" w:rsidP="009712BA">
      <w:pPr>
        <w:pStyle w:val="SingleTxtG"/>
        <w:keepNext/>
      </w:pPr>
      <w:r w:rsidRPr="00462185">
        <w:rPr>
          <w:i/>
        </w:rPr>
        <w:t xml:space="preserve">Titre du nouveau </w:t>
      </w:r>
      <w:r w:rsidR="0086678F">
        <w:rPr>
          <w:i/>
        </w:rPr>
        <w:t>paragraphe </w:t>
      </w:r>
      <w:r w:rsidRPr="00462185">
        <w:rPr>
          <w:i/>
        </w:rPr>
        <w:t>2.24</w:t>
      </w:r>
      <w:r w:rsidR="00E01A0A" w:rsidRPr="00462185">
        <w:t>, modifier</w:t>
      </w:r>
      <w:r w:rsidRPr="00462185">
        <w:t xml:space="preserve"> comme suit:</w:t>
      </w:r>
    </w:p>
    <w:p w:rsidR="00742462" w:rsidRPr="00462185" w:rsidRDefault="00742462" w:rsidP="00C61DED">
      <w:pPr>
        <w:pStyle w:val="SingleTxtG"/>
        <w:keepNext/>
        <w:ind w:left="2268" w:hanging="1134"/>
        <w:rPr>
          <w:b/>
          <w:bCs/>
          <w:iCs/>
        </w:rPr>
      </w:pPr>
      <w:r w:rsidRPr="00462185">
        <w:t>«</w:t>
      </w:r>
      <w:r w:rsidRPr="00462185">
        <w:rPr>
          <w:b/>
        </w:rPr>
        <w:t>2.24</w:t>
      </w:r>
      <w:r w:rsidRPr="00462185">
        <w:tab/>
      </w:r>
      <w:r w:rsidRPr="00462185">
        <w:rPr>
          <w:b/>
        </w:rPr>
        <w:t xml:space="preserve">Tableau des </w:t>
      </w:r>
      <w:r w:rsidRPr="00C61DED">
        <w:rPr>
          <w:b/>
          <w:lang w:val="fr-FR"/>
        </w:rPr>
        <w:t>symboles</w:t>
      </w:r>
    </w:p>
    <w:p w:rsidR="00742462" w:rsidRPr="00462185" w:rsidRDefault="00742462" w:rsidP="00C61DED">
      <w:pPr>
        <w:pStyle w:val="SingleTxtG"/>
        <w:ind w:left="2268"/>
        <w:rPr>
          <w:b/>
          <w:bCs/>
          <w:i/>
          <w:iCs/>
        </w:rPr>
      </w:pPr>
      <w:r w:rsidRPr="00462185">
        <w:tab/>
      </w:r>
      <w:r w:rsidRPr="00462185">
        <w:rPr>
          <w:b/>
        </w:rPr>
        <w:t>…</w:t>
      </w:r>
      <w:r w:rsidRPr="00462185">
        <w:t>».</w:t>
      </w:r>
    </w:p>
    <w:p w:rsidR="00742462" w:rsidRPr="00462185" w:rsidRDefault="00742462" w:rsidP="009712BA">
      <w:pPr>
        <w:pStyle w:val="SingleTxtG"/>
        <w:keepNext/>
      </w:pPr>
      <w:r w:rsidRPr="00462185">
        <w:rPr>
          <w:i/>
        </w:rPr>
        <w:t xml:space="preserve">Nouveau </w:t>
      </w:r>
      <w:r w:rsidR="0086678F">
        <w:rPr>
          <w:i/>
        </w:rPr>
        <w:t>paragraphe </w:t>
      </w:r>
      <w:r w:rsidRPr="00462185">
        <w:rPr>
          <w:i/>
        </w:rPr>
        <w:t>11.8</w:t>
      </w:r>
      <w:r w:rsidRPr="00462185">
        <w:t>, modifier comme suit:</w:t>
      </w:r>
    </w:p>
    <w:p w:rsidR="00742462" w:rsidRPr="00462185" w:rsidRDefault="00742462" w:rsidP="00C61DED">
      <w:pPr>
        <w:pStyle w:val="SingleTxtG"/>
        <w:keepNext/>
        <w:ind w:left="2268" w:hanging="1134"/>
        <w:rPr>
          <w:b/>
        </w:rPr>
      </w:pPr>
      <w:r w:rsidRPr="00462185">
        <w:t>«</w:t>
      </w:r>
      <w:r w:rsidRPr="00462185">
        <w:rPr>
          <w:b/>
        </w:rPr>
        <w:t>11.8</w:t>
      </w:r>
      <w:r w:rsidR="00E01A0A">
        <w:rPr>
          <w:b/>
        </w:rPr>
        <w:tab/>
      </w:r>
      <w:r w:rsidRPr="00462185">
        <w:rPr>
          <w:b/>
        </w:rPr>
        <w:t>Jusqu</w:t>
      </w:r>
      <w:r w:rsidR="00E42E9D">
        <w:rPr>
          <w:b/>
        </w:rPr>
        <w:t>’</w:t>
      </w:r>
      <w:r w:rsidRPr="00462185">
        <w:rPr>
          <w:b/>
        </w:rPr>
        <w:t>au 30</w:t>
      </w:r>
      <w:r w:rsidR="0086678F">
        <w:rPr>
          <w:b/>
        </w:rPr>
        <w:t> juin</w:t>
      </w:r>
      <w:r w:rsidRPr="00462185">
        <w:rPr>
          <w:b/>
        </w:rPr>
        <w:t xml:space="preserve"> 2022 pour les types de véhicules de la catégorie N</w:t>
      </w:r>
      <w:r w:rsidRPr="00462185">
        <w:rPr>
          <w:b/>
          <w:vertAlign w:val="subscript"/>
        </w:rPr>
        <w:t>1</w:t>
      </w:r>
      <w:r w:rsidRPr="00462185">
        <w:rPr>
          <w:b/>
        </w:rPr>
        <w:t xml:space="preserve"> ou ceux de la catégorie M</w:t>
      </w:r>
      <w:r w:rsidRPr="00462185">
        <w:rPr>
          <w:b/>
          <w:vertAlign w:val="subscript"/>
        </w:rPr>
        <w:t>1</w:t>
      </w:r>
      <w:r w:rsidRPr="00462185">
        <w:rPr>
          <w:b/>
        </w:rPr>
        <w:t xml:space="preserve"> dérivés de types de véhicules de la catégorie N</w:t>
      </w:r>
      <w:r w:rsidRPr="00462185">
        <w:rPr>
          <w:b/>
          <w:vertAlign w:val="subscript"/>
        </w:rPr>
        <w:t>1,</w:t>
      </w:r>
      <w:r w:rsidRPr="00462185">
        <w:rPr>
          <w:b/>
        </w:rPr>
        <w:t xml:space="preserve"> les limites définies au </w:t>
      </w:r>
      <w:r w:rsidR="0086678F">
        <w:rPr>
          <w:b/>
        </w:rPr>
        <w:t>paragraphe </w:t>
      </w:r>
      <w:r w:rsidRPr="00462185">
        <w:rPr>
          <w:b/>
        </w:rPr>
        <w:t>6.2.2 pour les types de véhicules de la catégorie N</w:t>
      </w:r>
      <w:r w:rsidRPr="00462185">
        <w:rPr>
          <w:b/>
          <w:vertAlign w:val="subscript"/>
        </w:rPr>
        <w:t>1</w:t>
      </w:r>
      <w:r w:rsidRPr="00462185">
        <w:rPr>
          <w:b/>
        </w:rPr>
        <w:t xml:space="preserve"> ayant une masse maximale en charge techniquement admissible supérieure à 2,5 t s</w:t>
      </w:r>
      <w:r w:rsidR="00E42E9D">
        <w:rPr>
          <w:b/>
        </w:rPr>
        <w:t>’</w:t>
      </w:r>
      <w:r w:rsidRPr="00462185">
        <w:rPr>
          <w:b/>
        </w:rPr>
        <w:t>appliquent, pourvu que les critères suivants soient tous remplis:</w:t>
      </w:r>
    </w:p>
    <w:p w:rsidR="00E01A0A" w:rsidRDefault="004F2633" w:rsidP="00C61DED">
      <w:pPr>
        <w:pStyle w:val="Bullet1G"/>
        <w:ind w:left="2438"/>
        <w:rPr>
          <w:b/>
        </w:rPr>
      </w:pPr>
      <w:r w:rsidRPr="00C61DED">
        <w:rPr>
          <w:b/>
        </w:rPr>
        <w:t xml:space="preserve">Une </w:t>
      </w:r>
      <w:r w:rsidR="00742462" w:rsidRPr="00C61DED">
        <w:rPr>
          <w:b/>
        </w:rPr>
        <w:t>masse maximale en charge techniquement admissible inférieure ou égale à 2,5 t;</w:t>
      </w:r>
    </w:p>
    <w:p w:rsidR="00E01A0A" w:rsidRDefault="004F2633" w:rsidP="00C61DED">
      <w:pPr>
        <w:pStyle w:val="Bullet1G"/>
        <w:ind w:left="2438"/>
        <w:rPr>
          <w:b/>
        </w:rPr>
      </w:pPr>
      <w:r w:rsidRPr="00462185">
        <w:rPr>
          <w:b/>
        </w:rPr>
        <w:t xml:space="preserve">Un </w:t>
      </w:r>
      <w:r w:rsidR="0086678F">
        <w:rPr>
          <w:b/>
        </w:rPr>
        <w:t>point</w:t>
      </w:r>
      <w:r w:rsidR="00E455E1">
        <w:rPr>
          <w:b/>
        </w:rPr>
        <w:t>-</w:t>
      </w:r>
      <w:r w:rsidR="00742462" w:rsidRPr="00462185">
        <w:rPr>
          <w:b/>
        </w:rPr>
        <w:t>R situé à au moins 800</w:t>
      </w:r>
      <w:r w:rsidR="00D61357">
        <w:rPr>
          <w:b/>
        </w:rPr>
        <w:t> mm</w:t>
      </w:r>
      <w:r w:rsidR="00742462" w:rsidRPr="00462185">
        <w:rPr>
          <w:b/>
        </w:rPr>
        <w:t xml:space="preserve"> au-dessus du sol;</w:t>
      </w:r>
    </w:p>
    <w:p w:rsidR="00742462" w:rsidRPr="00462185" w:rsidRDefault="004F2633" w:rsidP="00C61DED">
      <w:pPr>
        <w:pStyle w:val="Bullet1G"/>
        <w:ind w:left="2438"/>
        <w:rPr>
          <w:b/>
        </w:rPr>
      </w:pPr>
      <w:r w:rsidRPr="00462185">
        <w:rPr>
          <w:b/>
        </w:rPr>
        <w:t xml:space="preserve">Une </w:t>
      </w:r>
      <w:r w:rsidR="00742462" w:rsidRPr="00462185">
        <w:rPr>
          <w:b/>
        </w:rPr>
        <w:t>cylindrée supérieure à 660 cm</w:t>
      </w:r>
      <w:r w:rsidR="00742462" w:rsidRPr="00462185">
        <w:rPr>
          <w:b/>
          <w:vertAlign w:val="superscript"/>
        </w:rPr>
        <w:t>3</w:t>
      </w:r>
      <w:r w:rsidR="00742462" w:rsidRPr="00462185">
        <w:rPr>
          <w:b/>
        </w:rPr>
        <w:t xml:space="preserve"> mais inférieure à 1 495 cm</w:t>
      </w:r>
      <w:r w:rsidR="00742462" w:rsidRPr="00462185">
        <w:rPr>
          <w:b/>
          <w:vertAlign w:val="superscript"/>
        </w:rPr>
        <w:t>3</w:t>
      </w:r>
      <w:r w:rsidR="00742462" w:rsidRPr="00462185">
        <w:rPr>
          <w:b/>
        </w:rPr>
        <w:t>;</w:t>
      </w:r>
    </w:p>
    <w:p w:rsidR="00742462" w:rsidRPr="00462185" w:rsidRDefault="004F2633" w:rsidP="00C61DED">
      <w:pPr>
        <w:pStyle w:val="Bullet1G"/>
        <w:ind w:left="2438"/>
        <w:rPr>
          <w:b/>
        </w:rPr>
      </w:pPr>
      <w:r w:rsidRPr="00462185">
        <w:rPr>
          <w:b/>
        </w:rPr>
        <w:t xml:space="preserve">Un </w:t>
      </w:r>
      <w:r w:rsidR="00742462" w:rsidRPr="00462185">
        <w:rPr>
          <w:b/>
        </w:rPr>
        <w:t>moteur dont le centre de gravité se trouve entre 300</w:t>
      </w:r>
      <w:r w:rsidR="00D61357">
        <w:rPr>
          <w:b/>
        </w:rPr>
        <w:t> mm</w:t>
      </w:r>
      <w:r w:rsidR="00742462" w:rsidRPr="00462185">
        <w:rPr>
          <w:b/>
        </w:rPr>
        <w:t xml:space="preserve"> et 1</w:t>
      </w:r>
      <w:r w:rsidR="00E455E1">
        <w:rPr>
          <w:b/>
        </w:rPr>
        <w:t> </w:t>
      </w:r>
      <w:r w:rsidR="00742462" w:rsidRPr="00462185">
        <w:rPr>
          <w:b/>
        </w:rPr>
        <w:t>500</w:t>
      </w:r>
      <w:r w:rsidR="00D61357">
        <w:rPr>
          <w:b/>
        </w:rPr>
        <w:t> mm</w:t>
      </w:r>
      <w:r w:rsidR="00742462" w:rsidRPr="00462185">
        <w:rPr>
          <w:b/>
        </w:rPr>
        <w:t xml:space="preserve"> derrière l</w:t>
      </w:r>
      <w:r w:rsidR="00E42E9D">
        <w:rPr>
          <w:b/>
        </w:rPr>
        <w:t>’</w:t>
      </w:r>
      <w:r w:rsidR="00742462" w:rsidRPr="00462185">
        <w:rPr>
          <w:b/>
        </w:rPr>
        <w:t>essieu avant;</w:t>
      </w:r>
    </w:p>
    <w:p w:rsidR="00742462" w:rsidRPr="00462185" w:rsidRDefault="004F2633" w:rsidP="00C61DED">
      <w:pPr>
        <w:pStyle w:val="Bullet1G"/>
        <w:ind w:left="2438"/>
        <w:rPr>
          <w:b/>
        </w:rPr>
      </w:pPr>
      <w:r w:rsidRPr="00462185">
        <w:rPr>
          <w:b/>
        </w:rPr>
        <w:t xml:space="preserve">Un </w:t>
      </w:r>
      <w:r w:rsidR="00742462" w:rsidRPr="00462185">
        <w:rPr>
          <w:b/>
        </w:rPr>
        <w:t>système de traction arrière.</w:t>
      </w:r>
      <w:r w:rsidR="00742462" w:rsidRPr="00462185">
        <w:t>».</w:t>
      </w:r>
    </w:p>
    <w:p w:rsidR="00742462" w:rsidRPr="00462185" w:rsidRDefault="00742462" w:rsidP="009712BA">
      <w:pPr>
        <w:pStyle w:val="SingleTxtG"/>
        <w:keepNext/>
      </w:pPr>
      <w:r w:rsidRPr="00462185">
        <w:rPr>
          <w:i/>
        </w:rPr>
        <w:t xml:space="preserve">Annexe 3, ajouter un nouveau </w:t>
      </w:r>
      <w:r w:rsidR="0086678F">
        <w:rPr>
          <w:i/>
        </w:rPr>
        <w:t>paragraphe </w:t>
      </w:r>
      <w:r w:rsidRPr="00462185">
        <w:rPr>
          <w:i/>
        </w:rPr>
        <w:t>2.2.7</w:t>
      </w:r>
      <w:r w:rsidRPr="00462185">
        <w:t>, ainsi conçu:</w:t>
      </w:r>
    </w:p>
    <w:p w:rsidR="00742462" w:rsidRPr="00462185" w:rsidRDefault="00742462" w:rsidP="007C483A">
      <w:pPr>
        <w:pStyle w:val="SingleTxtG"/>
        <w:ind w:left="2268" w:hanging="1134"/>
        <w:rPr>
          <w:b/>
        </w:rPr>
      </w:pPr>
      <w:r w:rsidRPr="00462185">
        <w:t>«</w:t>
      </w:r>
      <w:r w:rsidRPr="00462185">
        <w:rPr>
          <w:b/>
        </w:rPr>
        <w:t>2.2.7</w:t>
      </w:r>
      <w:r w:rsidRPr="00462185">
        <w:tab/>
      </w:r>
      <w:r w:rsidRPr="00462185">
        <w:tab/>
      </w:r>
      <w:r w:rsidRPr="00462185">
        <w:rPr>
          <w:b/>
        </w:rPr>
        <w:t xml:space="preserve">Méthode </w:t>
      </w:r>
      <w:r w:rsidRPr="00C61DED">
        <w:rPr>
          <w:b/>
          <w:lang w:val="fr-FR"/>
        </w:rPr>
        <w:t>de</w:t>
      </w:r>
      <w:r w:rsidRPr="00462185">
        <w:rPr>
          <w:b/>
        </w:rPr>
        <w:t xml:space="preserve"> calcul </w:t>
      </w:r>
      <w:r w:rsidRPr="006F26EF">
        <w:rPr>
          <w:b/>
        </w:rPr>
        <w:t xml:space="preserve">permettant de </w:t>
      </w:r>
      <w:r w:rsidRPr="00462185">
        <w:rPr>
          <w:b/>
        </w:rPr>
        <w:t>déterminer la charge supplémentaire des véhicules des catégories N</w:t>
      </w:r>
      <w:r w:rsidRPr="00462185">
        <w:rPr>
          <w:b/>
          <w:vertAlign w:val="subscript"/>
        </w:rPr>
        <w:t>2</w:t>
      </w:r>
      <w:r w:rsidRPr="00462185">
        <w:rPr>
          <w:b/>
        </w:rPr>
        <w:t xml:space="preserve"> et N</w:t>
      </w:r>
      <w:r w:rsidRPr="00462185">
        <w:rPr>
          <w:b/>
          <w:vertAlign w:val="subscript"/>
        </w:rPr>
        <w:t>3</w:t>
      </w:r>
      <w:r w:rsidRPr="00462185">
        <w:rPr>
          <w:b/>
        </w:rPr>
        <w:t xml:space="preserve"> </w:t>
      </w:r>
      <w:r w:rsidRPr="006F26EF">
        <w:rPr>
          <w:b/>
        </w:rPr>
        <w:t>uniquement</w:t>
      </w:r>
    </w:p>
    <w:p w:rsidR="00742462" w:rsidRPr="00462185" w:rsidRDefault="00742462" w:rsidP="007C483A">
      <w:pPr>
        <w:pStyle w:val="SingleTxtG"/>
        <w:ind w:left="3402" w:hanging="1134"/>
      </w:pPr>
      <w:r w:rsidRPr="00462185">
        <w:rPr>
          <w:b/>
        </w:rPr>
        <w:t>…</w:t>
      </w:r>
      <w:r w:rsidRPr="00462185">
        <w:t>».</w:t>
      </w:r>
    </w:p>
    <w:p w:rsidR="00742462" w:rsidRPr="00462185" w:rsidRDefault="00742462" w:rsidP="009712BA">
      <w:pPr>
        <w:pStyle w:val="SingleTxtG"/>
        <w:keepNext/>
      </w:pPr>
      <w:r w:rsidRPr="00462185">
        <w:rPr>
          <w:i/>
        </w:rPr>
        <w:t xml:space="preserve">Annexe 3, </w:t>
      </w:r>
      <w:r w:rsidR="0086678F">
        <w:rPr>
          <w:i/>
        </w:rPr>
        <w:t>paragraphe </w:t>
      </w:r>
      <w:r w:rsidRPr="00462185">
        <w:rPr>
          <w:i/>
        </w:rPr>
        <w:t>3.1.2.1, dernière phrase</w:t>
      </w:r>
      <w:r w:rsidRPr="00462185">
        <w:t>, modifier comme suit:</w:t>
      </w:r>
    </w:p>
    <w:p w:rsidR="00742462" w:rsidRPr="00462185" w:rsidRDefault="00742462" w:rsidP="007C483A">
      <w:pPr>
        <w:pStyle w:val="SingleTxtG"/>
        <w:ind w:left="2268" w:hanging="1134"/>
      </w:pPr>
      <w:r w:rsidRPr="00462185">
        <w:t>«3.1.2.1</w:t>
      </w:r>
      <w:r w:rsidRPr="00462185">
        <w:tab/>
        <w:t>La vitesse d</w:t>
      </w:r>
      <w:r w:rsidR="00E42E9D">
        <w:t>’</w:t>
      </w:r>
      <w:r w:rsidRPr="00462185">
        <w:t>essai v</w:t>
      </w:r>
      <w:r w:rsidRPr="00462185">
        <w:rPr>
          <w:vertAlign w:val="subscript"/>
        </w:rPr>
        <w:t>test</w:t>
      </w:r>
      <w:r w:rsidRPr="00462185">
        <w:t xml:space="preserve"> est fixée à 50</w:t>
      </w:r>
      <w:r w:rsidR="00D61357">
        <w:t> km</w:t>
      </w:r>
      <w:r w:rsidRPr="00462185">
        <w:t xml:space="preserve">/h </w:t>
      </w:r>
      <w:r w:rsidR="00251799" w:rsidRPr="00251799">
        <w:rPr>
          <w:lang w:val="fr-FR"/>
        </w:rPr>
        <w:sym w:font="Symbol" w:char="F0B1"/>
      </w:r>
      <w:r w:rsidRPr="00462185">
        <w:t xml:space="preserve"> 1</w:t>
      </w:r>
      <w:r w:rsidR="00D61357">
        <w:t> km</w:t>
      </w:r>
      <w:r w:rsidRPr="00462185">
        <w:t>/h. Elle doit être atteinte lorsque le point de référence franchit la ligne PP</w:t>
      </w:r>
      <w:r w:rsidR="00E42E9D">
        <w:t>’</w:t>
      </w:r>
      <w:r w:rsidRPr="00462185">
        <w:t>.</w:t>
      </w:r>
    </w:p>
    <w:p w:rsidR="00742462" w:rsidRPr="00462185" w:rsidRDefault="00742462" w:rsidP="007C483A">
      <w:pPr>
        <w:pStyle w:val="SingleTxtG"/>
        <w:ind w:left="2268"/>
        <w:rPr>
          <w:b/>
        </w:rPr>
      </w:pPr>
      <w:r w:rsidRPr="004F2633">
        <w:rPr>
          <w:b/>
          <w:spacing w:val="-2"/>
        </w:rPr>
        <w:t>Si la vitesse d</w:t>
      </w:r>
      <w:r w:rsidR="00E42E9D">
        <w:rPr>
          <w:b/>
          <w:spacing w:val="-2"/>
        </w:rPr>
        <w:t>’</w:t>
      </w:r>
      <w:r w:rsidRPr="004F2633">
        <w:rPr>
          <w:b/>
          <w:spacing w:val="-2"/>
        </w:rPr>
        <w:t xml:space="preserve">essai est modifiée conformément au </w:t>
      </w:r>
      <w:r w:rsidR="0086678F" w:rsidRPr="004F2633">
        <w:rPr>
          <w:b/>
          <w:spacing w:val="-2"/>
        </w:rPr>
        <w:t>paragraphe </w:t>
      </w:r>
      <w:r w:rsidRPr="004F2633">
        <w:rPr>
          <w:b/>
          <w:spacing w:val="-2"/>
        </w:rPr>
        <w:t>3.1.2.1.4.1</w:t>
      </w:r>
      <w:r w:rsidR="004F2633">
        <w:rPr>
          <w:b/>
          <w:spacing w:val="-2"/>
        </w:rPr>
        <w:t> </w:t>
      </w:r>
      <w:r w:rsidRPr="004F2633">
        <w:rPr>
          <w:b/>
          <w:spacing w:val="-2"/>
        </w:rPr>
        <w:t>e)</w:t>
      </w:r>
      <w:r w:rsidRPr="00462185">
        <w:rPr>
          <w:b/>
        </w:rPr>
        <w:t xml:space="preserve"> </w:t>
      </w:r>
      <w:r w:rsidRPr="006F26EF">
        <w:rPr>
          <w:b/>
        </w:rPr>
        <w:t>de l</w:t>
      </w:r>
      <w:r w:rsidR="00E42E9D">
        <w:rPr>
          <w:b/>
        </w:rPr>
        <w:t>’</w:t>
      </w:r>
      <w:r w:rsidR="0086678F">
        <w:rPr>
          <w:b/>
        </w:rPr>
        <w:t>annexe </w:t>
      </w:r>
      <w:r w:rsidRPr="006F26EF">
        <w:rPr>
          <w:b/>
        </w:rPr>
        <w:t>3 au présent Règlement</w:t>
      </w:r>
      <w:r w:rsidRPr="00462185">
        <w:rPr>
          <w:b/>
        </w:rPr>
        <w:t>, cette vitesse modifiée doit être utilisée aussi bien pour l</w:t>
      </w:r>
      <w:r w:rsidR="00E42E9D">
        <w:rPr>
          <w:b/>
        </w:rPr>
        <w:t>’</w:t>
      </w:r>
      <w:r w:rsidRPr="00462185">
        <w:rPr>
          <w:b/>
        </w:rPr>
        <w:t>essai d</w:t>
      </w:r>
      <w:r w:rsidR="00E42E9D">
        <w:rPr>
          <w:b/>
        </w:rPr>
        <w:t>’</w:t>
      </w:r>
      <w:r w:rsidRPr="00462185">
        <w:rPr>
          <w:b/>
        </w:rPr>
        <w:t>accélération que pour l</w:t>
      </w:r>
      <w:r w:rsidR="00E42E9D">
        <w:rPr>
          <w:b/>
        </w:rPr>
        <w:t>’</w:t>
      </w:r>
      <w:r w:rsidRPr="00462185">
        <w:rPr>
          <w:b/>
        </w:rPr>
        <w:t>essai à vitesse constante.</w:t>
      </w:r>
      <w:r w:rsidRPr="00462185">
        <w:t>».</w:t>
      </w:r>
    </w:p>
    <w:p w:rsidR="00742462" w:rsidRPr="00462185" w:rsidRDefault="00742462" w:rsidP="009712BA">
      <w:pPr>
        <w:pStyle w:val="SingleTxtG"/>
        <w:keepNext/>
      </w:pPr>
      <w:r w:rsidRPr="00462185">
        <w:rPr>
          <w:i/>
        </w:rPr>
        <w:lastRenderedPageBreak/>
        <w:t xml:space="preserve">Annexe 3, </w:t>
      </w:r>
      <w:r w:rsidR="0086678F">
        <w:rPr>
          <w:i/>
        </w:rPr>
        <w:t>paragraphe </w:t>
      </w:r>
      <w:r w:rsidRPr="00462185">
        <w:rPr>
          <w:i/>
        </w:rPr>
        <w:t>3.1.2.1.1</w:t>
      </w:r>
      <w:r w:rsidRPr="00462185">
        <w:t>, modifier comme suit:</w:t>
      </w:r>
    </w:p>
    <w:p w:rsidR="00742462" w:rsidRPr="00462185" w:rsidRDefault="00742462" w:rsidP="007C483A">
      <w:pPr>
        <w:pStyle w:val="SingleTxtG"/>
        <w:keepNext/>
        <w:ind w:left="2268" w:hanging="1134"/>
      </w:pPr>
      <w:r w:rsidRPr="00462185">
        <w:t>«3.1.2.1.1</w:t>
      </w:r>
      <w:r w:rsidRPr="00462185">
        <w:tab/>
        <w:t>…</w:t>
      </w:r>
    </w:p>
    <w:p w:rsidR="00742462" w:rsidRPr="00462185" w:rsidRDefault="00742462" w:rsidP="007C483A">
      <w:pPr>
        <w:pStyle w:val="SingleTxtG"/>
        <w:ind w:left="2268"/>
      </w:pPr>
      <w:r w:rsidRPr="00462185">
        <w:t>RPM = (Pn / m</w:t>
      </w:r>
      <w:r w:rsidRPr="00462185">
        <w:rPr>
          <w:strike/>
        </w:rPr>
        <w:t>t</w:t>
      </w:r>
      <w:r w:rsidRPr="00462185">
        <w:rPr>
          <w:b/>
          <w:vertAlign w:val="subscript"/>
        </w:rPr>
        <w:t>ro</w:t>
      </w:r>
      <w:r w:rsidRPr="00462185">
        <w:t>)* 1</w:t>
      </w:r>
      <w:r w:rsidR="00D61357">
        <w:t> </w:t>
      </w:r>
      <w:r w:rsidRPr="00462185">
        <w:t>000</w:t>
      </w:r>
      <w:r w:rsidR="00D61357">
        <w:t> kg</w:t>
      </w:r>
      <w:r w:rsidRPr="00462185">
        <w:t>/kW, où P</w:t>
      </w:r>
      <w:r w:rsidRPr="00462185">
        <w:rPr>
          <w:vertAlign w:val="subscript"/>
        </w:rPr>
        <w:t>n</w:t>
      </w:r>
      <w:r w:rsidRPr="00462185">
        <w:t xml:space="preserve"> est mesuré en kW et m</w:t>
      </w:r>
      <w:r w:rsidRPr="00462185">
        <w:rPr>
          <w:strike/>
        </w:rPr>
        <w:t>t</w:t>
      </w:r>
      <w:r w:rsidRPr="00462185">
        <w:rPr>
          <w:b/>
          <w:vertAlign w:val="subscript"/>
        </w:rPr>
        <w:t>ro</w:t>
      </w:r>
      <w:r w:rsidRPr="00462185">
        <w:t xml:space="preserve"> en kg conformément au </w:t>
      </w:r>
      <w:r w:rsidR="0086678F">
        <w:t>paragraphe </w:t>
      </w:r>
      <w:r w:rsidRPr="00462185">
        <w:t>2.2.1 de la présente annexe.</w:t>
      </w:r>
    </w:p>
    <w:p w:rsidR="00742462" w:rsidRPr="00462185" w:rsidRDefault="00742462" w:rsidP="007C483A">
      <w:pPr>
        <w:pStyle w:val="SingleTxtG"/>
        <w:ind w:left="2268"/>
        <w:rPr>
          <w:b/>
        </w:rPr>
      </w:pPr>
      <w:r w:rsidRPr="00462185">
        <w:rPr>
          <w:b/>
        </w:rPr>
        <w:t>Si deux ou plusieurs sources de propulsion fonctionnent dans les conditions d</w:t>
      </w:r>
      <w:r w:rsidR="00E42E9D">
        <w:rPr>
          <w:b/>
        </w:rPr>
        <w:t>’</w:t>
      </w:r>
      <w:r w:rsidRPr="00462185">
        <w:rPr>
          <w:b/>
        </w:rPr>
        <w:t xml:space="preserve">essai spécifiées au </w:t>
      </w:r>
      <w:r w:rsidR="0086678F">
        <w:rPr>
          <w:b/>
        </w:rPr>
        <w:t>paragraphe </w:t>
      </w:r>
      <w:r w:rsidRPr="00462185">
        <w:rPr>
          <w:b/>
        </w:rPr>
        <w:t xml:space="preserve">3.1.2.1 </w:t>
      </w:r>
      <w:r w:rsidRPr="006F26EF">
        <w:rPr>
          <w:b/>
        </w:rPr>
        <w:t>de l</w:t>
      </w:r>
      <w:r w:rsidR="00E42E9D">
        <w:rPr>
          <w:b/>
        </w:rPr>
        <w:t>’</w:t>
      </w:r>
      <w:r w:rsidRPr="006F26EF">
        <w:rPr>
          <w:b/>
        </w:rPr>
        <w:t>annexe 3 au présent Règlement</w:t>
      </w:r>
      <w:r w:rsidRPr="00462185">
        <w:rPr>
          <w:b/>
        </w:rPr>
        <w:t>, la puissance nette totale du moteur, P</w:t>
      </w:r>
      <w:r w:rsidRPr="00462185">
        <w:rPr>
          <w:b/>
          <w:vertAlign w:val="subscript"/>
        </w:rPr>
        <w:t>n</w:t>
      </w:r>
      <w:r w:rsidRPr="00462185">
        <w:rPr>
          <w:b/>
        </w:rPr>
        <w:t>, doit être la somme arithmétique de tous les propulseurs parallèles du véhicule. Il s</w:t>
      </w:r>
      <w:r w:rsidR="00E42E9D">
        <w:rPr>
          <w:b/>
        </w:rPr>
        <w:t>’</w:t>
      </w:r>
      <w:r w:rsidRPr="00462185">
        <w:rPr>
          <w:b/>
        </w:rPr>
        <w:t>agit des sources de puissance motrice qui assurent conjointement le déplacement du véhicule dans les conditions d</w:t>
      </w:r>
      <w:r w:rsidR="00E42E9D">
        <w:rPr>
          <w:b/>
        </w:rPr>
        <w:t>’</w:t>
      </w:r>
      <w:r w:rsidRPr="00462185">
        <w:rPr>
          <w:b/>
        </w:rPr>
        <w:t xml:space="preserve">essai spécifiées au </w:t>
      </w:r>
      <w:r w:rsidR="0086678F">
        <w:rPr>
          <w:b/>
        </w:rPr>
        <w:t>paragraphe </w:t>
      </w:r>
      <w:r w:rsidRPr="00462185">
        <w:rPr>
          <w:b/>
        </w:rPr>
        <w:t xml:space="preserve">3.1.2.1 </w:t>
      </w:r>
      <w:r w:rsidRPr="006F26EF">
        <w:rPr>
          <w:b/>
        </w:rPr>
        <w:t>de l</w:t>
      </w:r>
      <w:r w:rsidR="00E42E9D">
        <w:rPr>
          <w:b/>
        </w:rPr>
        <w:t>’</w:t>
      </w:r>
      <w:r w:rsidRPr="006F26EF">
        <w:rPr>
          <w:b/>
        </w:rPr>
        <w:t>annexe 3 au présent Règlement</w:t>
      </w:r>
      <w:r w:rsidRPr="00462185">
        <w:rPr>
          <w:b/>
        </w:rPr>
        <w:t>. La puissance spécifiée pour les moteurs qui ne sont pas à combustion doit être celle qui est déclarée par le constructeur.</w:t>
      </w:r>
      <w:r w:rsidRPr="00462185">
        <w:t>».</w:t>
      </w:r>
    </w:p>
    <w:p w:rsidR="00742462" w:rsidRPr="00462185" w:rsidRDefault="00742462" w:rsidP="009712BA">
      <w:pPr>
        <w:pStyle w:val="SingleTxtG"/>
        <w:keepNext/>
      </w:pPr>
      <w:r w:rsidRPr="00462185">
        <w:rPr>
          <w:i/>
        </w:rPr>
        <w:t xml:space="preserve">Annexe 3, </w:t>
      </w:r>
      <w:r w:rsidR="0086678F">
        <w:rPr>
          <w:i/>
        </w:rPr>
        <w:t>paragraphe </w:t>
      </w:r>
      <w:r w:rsidRPr="00462185">
        <w:rPr>
          <w:i/>
        </w:rPr>
        <w:t>3.1.2.1.2.2</w:t>
      </w:r>
      <w:r w:rsidRPr="00462185">
        <w:t>, modifier comme suit:</w:t>
      </w:r>
    </w:p>
    <w:p w:rsidR="00742462" w:rsidRPr="00462185" w:rsidRDefault="00742462" w:rsidP="007C483A">
      <w:pPr>
        <w:pStyle w:val="SingleTxtG"/>
        <w:ind w:left="2268" w:hanging="1134"/>
      </w:pPr>
      <w:r w:rsidRPr="00462185">
        <w:t>«3.1.2.1.2.2</w:t>
      </w:r>
      <w:r w:rsidRPr="00462185">
        <w:tab/>
        <w:t>…</w:t>
      </w:r>
    </w:p>
    <w:p w:rsidR="00742462" w:rsidRPr="00462185" w:rsidRDefault="00742462" w:rsidP="007C483A">
      <w:pPr>
        <w:pStyle w:val="SingleTxtG"/>
        <w:ind w:left="2268"/>
      </w:pPr>
      <w:r w:rsidRPr="00462185">
        <w:t>En cas d</w:t>
      </w:r>
      <w:r w:rsidR="00E42E9D">
        <w:t>’</w:t>
      </w:r>
      <w:r w:rsidRPr="00462185">
        <w:t xml:space="preserve">utilisation des dispositifs ou mesures décrits au </w:t>
      </w:r>
      <w:r w:rsidR="0086678F">
        <w:t>paragraphe </w:t>
      </w:r>
      <w:r w:rsidRPr="00462185">
        <w:t xml:space="preserve">3.1.2.1.4.2 </w:t>
      </w:r>
      <w:r w:rsidRPr="006F26EF">
        <w:rPr>
          <w:b/>
        </w:rPr>
        <w:t>de l</w:t>
      </w:r>
      <w:r w:rsidR="00E42E9D">
        <w:rPr>
          <w:b/>
        </w:rPr>
        <w:t>’</w:t>
      </w:r>
      <w:r w:rsidRPr="006F26EF">
        <w:rPr>
          <w:b/>
        </w:rPr>
        <w:t>annexe 3 au présent Règlement</w:t>
      </w:r>
      <w:r w:rsidRPr="00462185">
        <w:t xml:space="preserve"> pour la commande de la transmission aux fins du respect des</w:t>
      </w:r>
      <w:r w:rsidR="00671BF7">
        <w:t xml:space="preserve"> </w:t>
      </w:r>
      <w:r w:rsidRPr="00462185">
        <w:t>prescriptions d</w:t>
      </w:r>
      <w:r w:rsidR="00E42E9D">
        <w:t>’</w:t>
      </w:r>
      <w:r w:rsidRPr="00462185">
        <w:t>essai, on calculera…».</w:t>
      </w:r>
    </w:p>
    <w:p w:rsidR="00742462" w:rsidRPr="00462185" w:rsidRDefault="00742462" w:rsidP="007C483A">
      <w:pPr>
        <w:pStyle w:val="SingleTxtG"/>
      </w:pPr>
      <w:r w:rsidRPr="00462185">
        <w:rPr>
          <w:i/>
        </w:rPr>
        <w:t xml:space="preserve">Annexe 3, </w:t>
      </w:r>
      <w:r w:rsidR="0086678F">
        <w:rPr>
          <w:i/>
        </w:rPr>
        <w:t>paragraphe </w:t>
      </w:r>
      <w:r w:rsidRPr="00462185">
        <w:rPr>
          <w:i/>
        </w:rPr>
        <w:t>3.1.2.2</w:t>
      </w:r>
      <w:r w:rsidRPr="00462185">
        <w:t xml:space="preserve">, </w:t>
      </w:r>
      <w:r w:rsidRPr="00462185">
        <w:rPr>
          <w:i/>
        </w:rPr>
        <w:t>deuxième alinéa</w:t>
      </w:r>
      <w:r w:rsidRPr="00462185">
        <w:t>, après «</w:t>
      </w:r>
      <w:r w:rsidR="0086678F">
        <w:t>paragraphe </w:t>
      </w:r>
      <w:r w:rsidRPr="00462185">
        <w:t>2.2.1», ajouter «de l</w:t>
      </w:r>
      <w:r w:rsidR="00E42E9D">
        <w:t>’</w:t>
      </w:r>
      <w:r w:rsidRPr="00462185">
        <w:t>annexe 3 au présent Règlement».</w:t>
      </w:r>
    </w:p>
    <w:p w:rsidR="00742462" w:rsidRPr="00462185" w:rsidRDefault="00742462" w:rsidP="009712BA">
      <w:pPr>
        <w:pStyle w:val="SingleTxtG"/>
        <w:keepNext/>
      </w:pPr>
      <w:r w:rsidRPr="00462185">
        <w:rPr>
          <w:i/>
        </w:rPr>
        <w:t xml:space="preserve">Annexe 3, </w:t>
      </w:r>
      <w:r w:rsidR="0086678F">
        <w:rPr>
          <w:i/>
        </w:rPr>
        <w:t>paragraphe </w:t>
      </w:r>
      <w:r w:rsidRPr="00462185">
        <w:rPr>
          <w:i/>
        </w:rPr>
        <w:t>3.1.2.2.1</w:t>
      </w:r>
      <w:r w:rsidRPr="00462185">
        <w:t>, modifier comme suit:</w:t>
      </w:r>
    </w:p>
    <w:p w:rsidR="00742462" w:rsidRPr="00462185" w:rsidRDefault="00742462" w:rsidP="007C483A">
      <w:pPr>
        <w:pStyle w:val="SingleTxtG"/>
        <w:keepNext/>
        <w:ind w:left="2268" w:hanging="1134"/>
      </w:pPr>
      <w:r w:rsidRPr="00462185">
        <w:t>«3.1.2.2.1</w:t>
      </w:r>
      <w:r w:rsidRPr="00462185">
        <w:tab/>
        <w:t>Choix du rapport</w:t>
      </w:r>
    </w:p>
    <w:p w:rsidR="00E01A0A" w:rsidRDefault="00742462" w:rsidP="007C483A">
      <w:pPr>
        <w:pStyle w:val="SingleTxtG"/>
        <w:ind w:left="2268"/>
        <w:rPr>
          <w:b/>
        </w:rPr>
      </w:pPr>
      <w:r w:rsidRPr="00462185">
        <w:tab/>
      </w:r>
      <w:r w:rsidRPr="00462185">
        <w:rPr>
          <w:b/>
        </w:rPr>
        <w:t>Il incombe au constructeur de définir la procédure d</w:t>
      </w:r>
      <w:r w:rsidR="00E42E9D">
        <w:rPr>
          <w:b/>
        </w:rPr>
        <w:t>’</w:t>
      </w:r>
      <w:r w:rsidRPr="00462185">
        <w:rPr>
          <w:b/>
        </w:rPr>
        <w:t>essai correcte permettant d</w:t>
      </w:r>
      <w:r w:rsidR="00E42E9D">
        <w:rPr>
          <w:b/>
        </w:rPr>
        <w:t>’</w:t>
      </w:r>
      <w:r w:rsidRPr="00462185">
        <w:rPr>
          <w:b/>
        </w:rPr>
        <w:t>établir les conditions requises.</w:t>
      </w:r>
    </w:p>
    <w:p w:rsidR="00E01A0A" w:rsidRDefault="00742462" w:rsidP="007C483A">
      <w:pPr>
        <w:pStyle w:val="SingleTxtG"/>
        <w:ind w:left="2268"/>
        <w:rPr>
          <w:b/>
        </w:rPr>
      </w:pPr>
      <w:r w:rsidRPr="00462185">
        <w:rPr>
          <w:b/>
        </w:rPr>
        <w:t>La transmission ou les rapports du véhicule doivent être choisis de manière à remplir les conditions recherchées conformément aux</w:t>
      </w:r>
      <w:r w:rsidR="00671BF7">
        <w:rPr>
          <w:b/>
        </w:rPr>
        <w:t xml:space="preserve"> </w:t>
      </w:r>
      <w:r w:rsidR="0086678F">
        <w:rPr>
          <w:b/>
        </w:rPr>
        <w:t>paragraphes </w:t>
      </w:r>
      <w:r w:rsidRPr="00462185">
        <w:rPr>
          <w:b/>
        </w:rPr>
        <w:t xml:space="preserve">3.1.2.2.1.1 ou 3.1.2.2.1.2 </w:t>
      </w:r>
      <w:r w:rsidRPr="006F26EF">
        <w:rPr>
          <w:b/>
        </w:rPr>
        <w:t>de l</w:t>
      </w:r>
      <w:r w:rsidR="00E42E9D">
        <w:rPr>
          <w:b/>
        </w:rPr>
        <w:t>’</w:t>
      </w:r>
      <w:r w:rsidRPr="006F26EF">
        <w:rPr>
          <w:b/>
        </w:rPr>
        <w:t>annexe 3 au présent Règlement</w:t>
      </w:r>
      <w:r w:rsidRPr="00462185">
        <w:rPr>
          <w:b/>
        </w:rPr>
        <w:t>. Ils peuvent être commandés électroniquement ou mécaniquement pour empêcher notamment tout rétrogradage forcé.</w:t>
      </w:r>
    </w:p>
    <w:p w:rsidR="00742462" w:rsidRPr="00462185" w:rsidRDefault="00742462" w:rsidP="007C483A">
      <w:pPr>
        <w:pStyle w:val="SingleTxtG"/>
        <w:ind w:left="2268"/>
        <w:rPr>
          <w:b/>
        </w:rPr>
      </w:pPr>
      <w:r w:rsidRPr="00462185">
        <w:rPr>
          <w:b/>
        </w:rPr>
        <w:t>Les figures 4a à 4d de l</w:t>
      </w:r>
      <w:r w:rsidR="00E42E9D">
        <w:rPr>
          <w:b/>
        </w:rPr>
        <w:t>’</w:t>
      </w:r>
      <w:r w:rsidRPr="00462185">
        <w:rPr>
          <w:b/>
        </w:rPr>
        <w:t>appendice 3 donnent des critères de sélection des rapports et des critères d</w:t>
      </w:r>
      <w:r w:rsidR="00E42E9D">
        <w:rPr>
          <w:b/>
        </w:rPr>
        <w:t>’</w:t>
      </w:r>
      <w:r w:rsidRPr="00462185">
        <w:rPr>
          <w:b/>
        </w:rPr>
        <w:t>essai pour les véhicules des catégories M</w:t>
      </w:r>
      <w:r w:rsidRPr="00462185">
        <w:rPr>
          <w:b/>
          <w:vertAlign w:val="subscript"/>
        </w:rPr>
        <w:t>2</w:t>
      </w:r>
      <w:r w:rsidRPr="00462185">
        <w:rPr>
          <w:b/>
        </w:rPr>
        <w:t xml:space="preserve"> dont la masse maximale en charge techniquement admissible dépasse 3 500 kg ainsi que pour ceux des catégories N</w:t>
      </w:r>
      <w:r w:rsidRPr="00462185">
        <w:rPr>
          <w:b/>
          <w:vertAlign w:val="subscript"/>
        </w:rPr>
        <w:t>2</w:t>
      </w:r>
      <w:r w:rsidRPr="00462185">
        <w:rPr>
          <w:b/>
        </w:rPr>
        <w:t>, M</w:t>
      </w:r>
      <w:r w:rsidRPr="00462185">
        <w:rPr>
          <w:b/>
          <w:vertAlign w:val="subscript"/>
        </w:rPr>
        <w:t>3</w:t>
      </w:r>
      <w:r w:rsidRPr="00462185">
        <w:rPr>
          <w:b/>
        </w:rPr>
        <w:t xml:space="preserve"> et N</w:t>
      </w:r>
      <w:r w:rsidRPr="00462185">
        <w:rPr>
          <w:b/>
          <w:vertAlign w:val="subscript"/>
        </w:rPr>
        <w:t>3</w:t>
      </w:r>
      <w:r w:rsidRPr="00462185">
        <w:rPr>
          <w:b/>
        </w:rPr>
        <w:t xml:space="preserve"> sous la forme de diagrammes de décision destinés à faciliter le déroulement des essais.</w:t>
      </w:r>
      <w:r w:rsidRPr="00462185">
        <w:t>».</w:t>
      </w:r>
    </w:p>
    <w:p w:rsidR="00E01A0A" w:rsidRDefault="00742462" w:rsidP="007C483A">
      <w:pPr>
        <w:pStyle w:val="SingleTxtG"/>
        <w:rPr>
          <w:b/>
        </w:rPr>
      </w:pPr>
      <w:r w:rsidRPr="006F26EF">
        <w:rPr>
          <w:i/>
        </w:rPr>
        <w:t xml:space="preserve">Annexe 3, </w:t>
      </w:r>
      <w:r w:rsidR="0086678F">
        <w:rPr>
          <w:i/>
        </w:rPr>
        <w:t>paragraphe </w:t>
      </w:r>
      <w:r w:rsidRPr="006F26EF">
        <w:rPr>
          <w:i/>
        </w:rPr>
        <w:t>3.1.2.2.1.1</w:t>
      </w:r>
      <w:r w:rsidRPr="006F26EF">
        <w:t xml:space="preserve">, </w:t>
      </w:r>
      <w:r w:rsidRPr="006F26EF">
        <w:rPr>
          <w:i/>
        </w:rPr>
        <w:t>quatrième alinéa</w:t>
      </w:r>
      <w:r w:rsidRPr="006F26EF">
        <w:t>, après «paragraphe 3.1.2.2», ajouter «de l</w:t>
      </w:r>
      <w:r w:rsidR="00E42E9D">
        <w:t>’</w:t>
      </w:r>
      <w:r w:rsidRPr="006F26EF">
        <w:t>annexe 3 au présent Règlement».</w:t>
      </w:r>
    </w:p>
    <w:p w:rsidR="00E01A0A" w:rsidRDefault="00742462" w:rsidP="007C483A">
      <w:pPr>
        <w:pStyle w:val="SingleTxtG"/>
        <w:rPr>
          <w:b/>
        </w:rPr>
      </w:pPr>
      <w:r w:rsidRPr="006F26EF">
        <w:rPr>
          <w:i/>
        </w:rPr>
        <w:t xml:space="preserve">Annexe 3, </w:t>
      </w:r>
      <w:r w:rsidR="0086678F">
        <w:rPr>
          <w:i/>
        </w:rPr>
        <w:t>paragraphe </w:t>
      </w:r>
      <w:r w:rsidRPr="006F26EF">
        <w:rPr>
          <w:i/>
        </w:rPr>
        <w:t>3.1.2.2.1.2</w:t>
      </w:r>
      <w:r w:rsidRPr="006F26EF">
        <w:t xml:space="preserve">, </w:t>
      </w:r>
      <w:r w:rsidRPr="006F26EF">
        <w:rPr>
          <w:i/>
        </w:rPr>
        <w:t>sixième alinéa</w:t>
      </w:r>
      <w:r w:rsidRPr="006F26EF">
        <w:t>, après «paragraphe 3.1.2.2», ajouter «de l</w:t>
      </w:r>
      <w:r w:rsidR="00E42E9D">
        <w:t>’</w:t>
      </w:r>
      <w:r w:rsidRPr="006F26EF">
        <w:t>annexe 3 au présent Règlement».</w:t>
      </w:r>
    </w:p>
    <w:p w:rsidR="00E01A0A" w:rsidRDefault="00742462" w:rsidP="007C483A">
      <w:pPr>
        <w:pStyle w:val="SingleTxtG"/>
        <w:rPr>
          <w:b/>
        </w:rPr>
      </w:pPr>
      <w:r w:rsidRPr="006F26EF">
        <w:rPr>
          <w:i/>
        </w:rPr>
        <w:t xml:space="preserve">Annexe 3, </w:t>
      </w:r>
      <w:r w:rsidR="0086678F">
        <w:rPr>
          <w:i/>
        </w:rPr>
        <w:t>paragraphe </w:t>
      </w:r>
      <w:r w:rsidRPr="006F26EF">
        <w:rPr>
          <w:i/>
        </w:rPr>
        <w:t>3.1.2.2.1.3</w:t>
      </w:r>
      <w:r w:rsidRPr="006F26EF">
        <w:t xml:space="preserve">, </w:t>
      </w:r>
      <w:r w:rsidRPr="006F26EF">
        <w:rPr>
          <w:i/>
        </w:rPr>
        <w:t>troisième alinéa</w:t>
      </w:r>
      <w:r w:rsidRPr="006F26EF">
        <w:t>, après «paragraphe 3.1.2.2», ajouter «de l</w:t>
      </w:r>
      <w:r w:rsidR="00E42E9D">
        <w:t>’</w:t>
      </w:r>
      <w:r w:rsidRPr="006F26EF">
        <w:t>annexe 3 au présent Règlement».</w:t>
      </w:r>
    </w:p>
    <w:p w:rsidR="00742462" w:rsidRPr="00462185" w:rsidRDefault="00742462" w:rsidP="009712BA">
      <w:pPr>
        <w:pStyle w:val="SingleTxtG"/>
        <w:keepNext/>
      </w:pPr>
      <w:r w:rsidRPr="006F26EF">
        <w:rPr>
          <w:i/>
        </w:rPr>
        <w:lastRenderedPageBreak/>
        <w:t>Annexe 3, appendice 3, figures 3a, 3b, 3c, 3d, 3e, 4a, 4b, 4c et 4d,</w:t>
      </w:r>
      <w:r w:rsidRPr="006F26EF">
        <w:t xml:space="preserve"> </w:t>
      </w:r>
      <w:r w:rsidRPr="006F26EF">
        <w:rPr>
          <w:i/>
        </w:rPr>
        <w:t>titres</w:t>
      </w:r>
      <w:r w:rsidR="00804A73" w:rsidRPr="00804A73">
        <w:t>,</w:t>
      </w:r>
      <w:r w:rsidRPr="006F26EF">
        <w:t xml:space="preserve"> modifier comme suit:</w:t>
      </w:r>
    </w:p>
    <w:p w:rsidR="00742462" w:rsidRPr="00462185" w:rsidRDefault="00742462" w:rsidP="007C483A">
      <w:pPr>
        <w:pStyle w:val="SingleTxtG"/>
        <w:spacing w:after="100" w:line="238" w:lineRule="atLeast"/>
        <w:ind w:left="2268" w:hanging="1134"/>
        <w:rPr>
          <w:b/>
        </w:rPr>
      </w:pPr>
      <w:r w:rsidRPr="007C483A">
        <w:rPr>
          <w:b/>
          <w:snapToGrid w:val="0"/>
          <w:lang w:val="fr-FR"/>
        </w:rPr>
        <w:t>Figure</w:t>
      </w:r>
      <w:r w:rsidRPr="00462185">
        <w:rPr>
          <w:b/>
        </w:rPr>
        <w:t xml:space="preserve"> 3a</w:t>
      </w:r>
      <w:r w:rsidR="00E01A0A">
        <w:rPr>
          <w:b/>
        </w:rPr>
        <w:tab/>
      </w:r>
      <w:r w:rsidRPr="00462185">
        <w:rPr>
          <w:b/>
        </w:rPr>
        <w:t>Diagramme de décision pour les véhicules soumis à l</w:t>
      </w:r>
      <w:r w:rsidR="00E42E9D">
        <w:rPr>
          <w:b/>
        </w:rPr>
        <w:t>’</w:t>
      </w:r>
      <w:r w:rsidRPr="00462185">
        <w:rPr>
          <w:b/>
        </w:rPr>
        <w:t xml:space="preserve">essai conformément au </w:t>
      </w:r>
      <w:r w:rsidR="0086678F">
        <w:rPr>
          <w:b/>
        </w:rPr>
        <w:t>paragraphe </w:t>
      </w:r>
      <w:r w:rsidRPr="00462185">
        <w:rPr>
          <w:b/>
        </w:rPr>
        <w:t xml:space="preserve">3.1.2.1 </w:t>
      </w:r>
      <w:r w:rsidRPr="006F26EF">
        <w:rPr>
          <w:b/>
        </w:rPr>
        <w:t>de l</w:t>
      </w:r>
      <w:r w:rsidR="00E42E9D">
        <w:rPr>
          <w:b/>
        </w:rPr>
        <w:t>’</w:t>
      </w:r>
      <w:r w:rsidRPr="006F26EF">
        <w:rPr>
          <w:b/>
        </w:rPr>
        <w:t xml:space="preserve">annexe 3 au présent Règlement </w:t>
      </w:r>
      <w:r w:rsidR="004F2633">
        <w:rPr>
          <w:b/>
        </w:rPr>
        <w:t>−</w:t>
      </w:r>
      <w:r w:rsidRPr="00462185">
        <w:rPr>
          <w:b/>
        </w:rPr>
        <w:t xml:space="preserve"> </w:t>
      </w:r>
      <w:r w:rsidR="00E455E1" w:rsidRPr="00462185">
        <w:rPr>
          <w:b/>
        </w:rPr>
        <w:t xml:space="preserve">calcul </w:t>
      </w:r>
      <w:r w:rsidRPr="00462185">
        <w:rPr>
          <w:b/>
        </w:rPr>
        <w:t>de L</w:t>
      </w:r>
      <w:r w:rsidRPr="00462185">
        <w:rPr>
          <w:b/>
          <w:vertAlign w:val="subscript"/>
        </w:rPr>
        <w:t>urban</w:t>
      </w:r>
    </w:p>
    <w:p w:rsidR="00742462" w:rsidRPr="00462185" w:rsidRDefault="00742462" w:rsidP="007C483A">
      <w:pPr>
        <w:pStyle w:val="SingleTxtG"/>
        <w:spacing w:after="100" w:line="238" w:lineRule="atLeast"/>
        <w:ind w:left="2268" w:hanging="1134"/>
        <w:rPr>
          <w:b/>
        </w:rPr>
      </w:pPr>
      <w:r w:rsidRPr="00462185">
        <w:rPr>
          <w:b/>
        </w:rPr>
        <w:t>Figure 3b</w:t>
      </w:r>
      <w:r w:rsidR="00E01A0A">
        <w:rPr>
          <w:b/>
        </w:rPr>
        <w:tab/>
      </w:r>
      <w:r w:rsidRPr="00462185">
        <w:rPr>
          <w:b/>
        </w:rPr>
        <w:t>Diagramme de décision pour les véhicules soumis à l</w:t>
      </w:r>
      <w:r w:rsidR="00E42E9D">
        <w:rPr>
          <w:b/>
        </w:rPr>
        <w:t>’</w:t>
      </w:r>
      <w:r w:rsidRPr="00462185">
        <w:rPr>
          <w:b/>
        </w:rPr>
        <w:t xml:space="preserve">essai conformément au </w:t>
      </w:r>
      <w:r w:rsidR="0086678F">
        <w:rPr>
          <w:b/>
        </w:rPr>
        <w:t>paragraphe </w:t>
      </w:r>
      <w:r w:rsidRPr="00462185">
        <w:rPr>
          <w:b/>
        </w:rPr>
        <w:t xml:space="preserve">3.1.2.1 </w:t>
      </w:r>
      <w:r w:rsidRPr="006F26EF">
        <w:rPr>
          <w:b/>
        </w:rPr>
        <w:t>de l</w:t>
      </w:r>
      <w:r w:rsidR="00E42E9D">
        <w:rPr>
          <w:b/>
        </w:rPr>
        <w:t>’</w:t>
      </w:r>
      <w:r w:rsidR="0086678F">
        <w:rPr>
          <w:b/>
        </w:rPr>
        <w:t>annexe </w:t>
      </w:r>
      <w:r w:rsidRPr="006F26EF">
        <w:rPr>
          <w:b/>
        </w:rPr>
        <w:t xml:space="preserve">3 au présent Règlement </w:t>
      </w:r>
      <w:r w:rsidRPr="00462185">
        <w:rPr>
          <w:b/>
        </w:rPr>
        <w:t>− Sélection des rapports utilisant un rapport bloqué 1</w:t>
      </w:r>
      <w:r w:rsidRPr="00462185">
        <w:rPr>
          <w:b/>
          <w:vertAlign w:val="superscript"/>
        </w:rPr>
        <w:t>re</w:t>
      </w:r>
      <w:r w:rsidRPr="00462185">
        <w:rPr>
          <w:b/>
        </w:rPr>
        <w:t xml:space="preserve"> PARTIE</w:t>
      </w:r>
    </w:p>
    <w:p w:rsidR="00742462" w:rsidRPr="00462185" w:rsidRDefault="00742462" w:rsidP="007C483A">
      <w:pPr>
        <w:pStyle w:val="SingleTxtG"/>
        <w:spacing w:after="100" w:line="238" w:lineRule="atLeast"/>
        <w:ind w:left="2268" w:hanging="1134"/>
        <w:rPr>
          <w:b/>
        </w:rPr>
      </w:pPr>
      <w:r w:rsidRPr="00462185">
        <w:rPr>
          <w:b/>
        </w:rPr>
        <w:t>Figure 3c</w:t>
      </w:r>
      <w:r w:rsidR="00E01A0A">
        <w:rPr>
          <w:b/>
        </w:rPr>
        <w:tab/>
      </w:r>
      <w:r w:rsidRPr="00462185">
        <w:rPr>
          <w:b/>
        </w:rPr>
        <w:t>Diagramme de décision pour les véhicules soumis à l</w:t>
      </w:r>
      <w:r w:rsidR="00E42E9D">
        <w:rPr>
          <w:b/>
        </w:rPr>
        <w:t>’</w:t>
      </w:r>
      <w:r w:rsidRPr="00462185">
        <w:rPr>
          <w:b/>
        </w:rPr>
        <w:t xml:space="preserve">essai conformément au </w:t>
      </w:r>
      <w:r w:rsidR="0086678F">
        <w:rPr>
          <w:b/>
        </w:rPr>
        <w:t>paragraphe </w:t>
      </w:r>
      <w:r w:rsidRPr="00462185">
        <w:rPr>
          <w:b/>
        </w:rPr>
        <w:t xml:space="preserve">3.1.2.1 </w:t>
      </w:r>
      <w:r w:rsidRPr="006F26EF">
        <w:rPr>
          <w:b/>
        </w:rPr>
        <w:t>de l</w:t>
      </w:r>
      <w:r w:rsidR="00E42E9D">
        <w:rPr>
          <w:b/>
        </w:rPr>
        <w:t>’</w:t>
      </w:r>
      <w:r w:rsidR="0086678F">
        <w:rPr>
          <w:b/>
        </w:rPr>
        <w:t>annexe </w:t>
      </w:r>
      <w:r w:rsidRPr="006F26EF">
        <w:rPr>
          <w:b/>
        </w:rPr>
        <w:t xml:space="preserve">3 au présent Règlement </w:t>
      </w:r>
      <w:r w:rsidRPr="00462185">
        <w:rPr>
          <w:b/>
        </w:rPr>
        <w:t>− Sélection des rapports utilisant un rapport bloqué 2</w:t>
      </w:r>
      <w:r w:rsidRPr="00462185">
        <w:rPr>
          <w:b/>
          <w:vertAlign w:val="superscript"/>
        </w:rPr>
        <w:t>e</w:t>
      </w:r>
      <w:r w:rsidRPr="00462185">
        <w:rPr>
          <w:b/>
        </w:rPr>
        <w:t xml:space="preserve"> PARTIE</w:t>
      </w:r>
    </w:p>
    <w:p w:rsidR="00742462" w:rsidRPr="00462185" w:rsidRDefault="00742462" w:rsidP="007C483A">
      <w:pPr>
        <w:pStyle w:val="SingleTxtG"/>
        <w:spacing w:after="100" w:line="238" w:lineRule="atLeast"/>
        <w:ind w:left="2268" w:hanging="1134"/>
        <w:rPr>
          <w:b/>
        </w:rPr>
      </w:pPr>
      <w:r w:rsidRPr="00462185">
        <w:rPr>
          <w:b/>
        </w:rPr>
        <w:t>Figure 3d</w:t>
      </w:r>
      <w:r w:rsidR="00E01A0A">
        <w:rPr>
          <w:b/>
        </w:rPr>
        <w:tab/>
      </w:r>
      <w:r w:rsidRPr="00462185">
        <w:rPr>
          <w:b/>
        </w:rPr>
        <w:t>Diagramme de décision pour les véhicules soumis à l</w:t>
      </w:r>
      <w:r w:rsidR="00E42E9D">
        <w:rPr>
          <w:b/>
        </w:rPr>
        <w:t>’</w:t>
      </w:r>
      <w:r w:rsidRPr="00462185">
        <w:rPr>
          <w:b/>
        </w:rPr>
        <w:t xml:space="preserve">essai conformément au </w:t>
      </w:r>
      <w:r w:rsidR="0086678F">
        <w:rPr>
          <w:b/>
        </w:rPr>
        <w:t>paragraphe </w:t>
      </w:r>
      <w:r w:rsidRPr="00462185">
        <w:rPr>
          <w:b/>
        </w:rPr>
        <w:t xml:space="preserve">3.1.2.1 </w:t>
      </w:r>
      <w:r w:rsidRPr="006F26EF">
        <w:rPr>
          <w:b/>
        </w:rPr>
        <w:t>de l</w:t>
      </w:r>
      <w:r w:rsidR="00E42E9D">
        <w:rPr>
          <w:b/>
        </w:rPr>
        <w:t>’</w:t>
      </w:r>
      <w:r w:rsidR="0086678F">
        <w:rPr>
          <w:b/>
        </w:rPr>
        <w:t>annexe </w:t>
      </w:r>
      <w:r w:rsidRPr="006F26EF">
        <w:rPr>
          <w:b/>
        </w:rPr>
        <w:t xml:space="preserve">3 au présent Règlement </w:t>
      </w:r>
      <w:r w:rsidRPr="00462185">
        <w:rPr>
          <w:b/>
        </w:rPr>
        <w:t>− Sélection des rapports utilisant un rapport bloqué 3</w:t>
      </w:r>
      <w:r w:rsidRPr="00462185">
        <w:rPr>
          <w:b/>
          <w:vertAlign w:val="superscript"/>
        </w:rPr>
        <w:t>e</w:t>
      </w:r>
      <w:r w:rsidRPr="00462185">
        <w:rPr>
          <w:b/>
        </w:rPr>
        <w:t xml:space="preserve"> PARTIE</w:t>
      </w:r>
    </w:p>
    <w:p w:rsidR="00742462" w:rsidRPr="00462185" w:rsidRDefault="00742462" w:rsidP="007C483A">
      <w:pPr>
        <w:pStyle w:val="SingleTxtG"/>
        <w:spacing w:after="100" w:line="238" w:lineRule="atLeast"/>
        <w:ind w:left="2268" w:hanging="1134"/>
      </w:pPr>
      <w:r w:rsidRPr="00462185">
        <w:rPr>
          <w:b/>
        </w:rPr>
        <w:t>Figure 3e</w:t>
      </w:r>
      <w:r w:rsidR="00E01A0A">
        <w:rPr>
          <w:b/>
        </w:rPr>
        <w:tab/>
      </w:r>
      <w:r w:rsidRPr="00462185">
        <w:rPr>
          <w:b/>
        </w:rPr>
        <w:t>Diagramme de décision pour les véhicules soumis à l</w:t>
      </w:r>
      <w:r w:rsidR="00E42E9D">
        <w:rPr>
          <w:b/>
        </w:rPr>
        <w:t>’</w:t>
      </w:r>
      <w:r w:rsidRPr="00462185">
        <w:rPr>
          <w:b/>
        </w:rPr>
        <w:t xml:space="preserve">essai conformément au </w:t>
      </w:r>
      <w:r w:rsidR="0086678F">
        <w:rPr>
          <w:b/>
        </w:rPr>
        <w:t>paragraphe </w:t>
      </w:r>
      <w:r w:rsidRPr="00462185">
        <w:rPr>
          <w:b/>
        </w:rPr>
        <w:t xml:space="preserve">3.1.2.1 </w:t>
      </w:r>
      <w:r w:rsidRPr="006F26EF">
        <w:rPr>
          <w:b/>
        </w:rPr>
        <w:t>de l</w:t>
      </w:r>
      <w:r w:rsidR="00E42E9D">
        <w:rPr>
          <w:b/>
        </w:rPr>
        <w:t>’</w:t>
      </w:r>
      <w:r w:rsidR="0086678F">
        <w:rPr>
          <w:b/>
        </w:rPr>
        <w:t>annexe </w:t>
      </w:r>
      <w:r w:rsidRPr="006F26EF">
        <w:rPr>
          <w:b/>
        </w:rPr>
        <w:t xml:space="preserve">3 au présent Règlement </w:t>
      </w:r>
      <w:r w:rsidRPr="00462185">
        <w:rPr>
          <w:b/>
        </w:rPr>
        <w:t xml:space="preserve">− Sélection des rapports </w:t>
      </w:r>
      <w:r w:rsidRPr="006F26EF">
        <w:rPr>
          <w:b/>
        </w:rPr>
        <w:t>utilisant un rapport non bloqué</w:t>
      </w:r>
    </w:p>
    <w:p w:rsidR="00742462" w:rsidRPr="00462185" w:rsidRDefault="00742462" w:rsidP="007C483A">
      <w:pPr>
        <w:pStyle w:val="SingleTxtG"/>
        <w:spacing w:after="100" w:line="238" w:lineRule="atLeast"/>
        <w:ind w:left="2268" w:hanging="1134"/>
        <w:rPr>
          <w:b/>
        </w:rPr>
      </w:pPr>
      <w:r w:rsidRPr="00462185">
        <w:rPr>
          <w:b/>
        </w:rPr>
        <w:t>Figure 4a</w:t>
      </w:r>
      <w:r w:rsidR="00E01A0A">
        <w:rPr>
          <w:b/>
        </w:rPr>
        <w:tab/>
      </w:r>
      <w:r w:rsidRPr="00462185">
        <w:rPr>
          <w:b/>
        </w:rPr>
        <w:t xml:space="preserve">Diagramme de décision pour les véhicules soumis à </w:t>
      </w:r>
      <w:r w:rsidRPr="006F26EF">
        <w:rPr>
          <w:b/>
        </w:rPr>
        <w:t>l</w:t>
      </w:r>
      <w:r w:rsidR="00E42E9D">
        <w:rPr>
          <w:b/>
        </w:rPr>
        <w:t>’</w:t>
      </w:r>
      <w:r w:rsidRPr="00462185">
        <w:rPr>
          <w:b/>
        </w:rPr>
        <w:t xml:space="preserve">essai conformément au </w:t>
      </w:r>
      <w:r w:rsidR="0086678F">
        <w:rPr>
          <w:b/>
        </w:rPr>
        <w:t>paragraphe </w:t>
      </w:r>
      <w:r w:rsidRPr="00462185">
        <w:rPr>
          <w:b/>
        </w:rPr>
        <w:t xml:space="preserve">3.1.2.2 </w:t>
      </w:r>
      <w:r w:rsidRPr="006F26EF">
        <w:rPr>
          <w:b/>
        </w:rPr>
        <w:t>de l</w:t>
      </w:r>
      <w:r w:rsidR="00E42E9D">
        <w:rPr>
          <w:b/>
        </w:rPr>
        <w:t>’</w:t>
      </w:r>
      <w:r w:rsidR="0086678F">
        <w:rPr>
          <w:b/>
        </w:rPr>
        <w:t>annexe </w:t>
      </w:r>
      <w:r w:rsidRPr="006F26EF">
        <w:rPr>
          <w:b/>
        </w:rPr>
        <w:t xml:space="preserve">3 au présent Règlement </w:t>
      </w:r>
      <w:r w:rsidRPr="00462185">
        <w:rPr>
          <w:b/>
        </w:rPr>
        <w:t>− Essai rapports bloqués</w:t>
      </w:r>
    </w:p>
    <w:p w:rsidR="00742462" w:rsidRPr="00462185" w:rsidRDefault="00742462" w:rsidP="007C483A">
      <w:pPr>
        <w:pStyle w:val="SingleTxtG"/>
        <w:spacing w:after="100" w:line="238" w:lineRule="atLeast"/>
        <w:ind w:left="2268" w:hanging="1134"/>
        <w:rPr>
          <w:b/>
        </w:rPr>
      </w:pPr>
      <w:r w:rsidRPr="00462185">
        <w:rPr>
          <w:b/>
        </w:rPr>
        <w:t>Figure 4b</w:t>
      </w:r>
      <w:r w:rsidR="00E01A0A">
        <w:rPr>
          <w:b/>
        </w:rPr>
        <w:tab/>
      </w:r>
      <w:r w:rsidRPr="00462185">
        <w:rPr>
          <w:b/>
        </w:rPr>
        <w:t>Diagramme de décision pour les véhicules soumis à l</w:t>
      </w:r>
      <w:r w:rsidR="00E42E9D">
        <w:rPr>
          <w:b/>
        </w:rPr>
        <w:t>’</w:t>
      </w:r>
      <w:r w:rsidRPr="00462185">
        <w:rPr>
          <w:b/>
        </w:rPr>
        <w:t xml:space="preserve">essai conformément au </w:t>
      </w:r>
      <w:r w:rsidR="0086678F">
        <w:rPr>
          <w:b/>
        </w:rPr>
        <w:t>paragraphe </w:t>
      </w:r>
      <w:r w:rsidRPr="00462185">
        <w:rPr>
          <w:b/>
        </w:rPr>
        <w:t>3.1.2.</w:t>
      </w:r>
      <w:r w:rsidRPr="006F26EF">
        <w:rPr>
          <w:b/>
        </w:rPr>
        <w:t>2 de l</w:t>
      </w:r>
      <w:r w:rsidR="00E42E9D">
        <w:rPr>
          <w:b/>
        </w:rPr>
        <w:t>’</w:t>
      </w:r>
      <w:r w:rsidR="0086678F">
        <w:rPr>
          <w:b/>
        </w:rPr>
        <w:t>annexe </w:t>
      </w:r>
      <w:r w:rsidRPr="006F26EF">
        <w:rPr>
          <w:b/>
        </w:rPr>
        <w:t>3 au présent Règlement</w:t>
      </w:r>
      <w:r w:rsidRPr="00462185">
        <w:rPr>
          <w:b/>
        </w:rPr>
        <w:t xml:space="preserve"> − Essai rapports non bloqués 1</w:t>
      </w:r>
      <w:r w:rsidRPr="00462185">
        <w:rPr>
          <w:b/>
          <w:vertAlign w:val="superscript"/>
        </w:rPr>
        <w:t>re</w:t>
      </w:r>
      <w:r w:rsidRPr="00462185">
        <w:rPr>
          <w:b/>
        </w:rPr>
        <w:t xml:space="preserve"> PARTIE</w:t>
      </w:r>
    </w:p>
    <w:p w:rsidR="00742462" w:rsidRPr="00462185" w:rsidRDefault="00742462" w:rsidP="007C483A">
      <w:pPr>
        <w:pStyle w:val="SingleTxtG"/>
        <w:spacing w:after="100" w:line="238" w:lineRule="atLeast"/>
        <w:ind w:left="2268" w:hanging="1134"/>
        <w:rPr>
          <w:b/>
        </w:rPr>
      </w:pPr>
      <w:r w:rsidRPr="007C483A">
        <w:rPr>
          <w:b/>
          <w:snapToGrid w:val="0"/>
          <w:lang w:val="fr-FR"/>
        </w:rPr>
        <w:t>Figure</w:t>
      </w:r>
      <w:r w:rsidRPr="00462185">
        <w:rPr>
          <w:b/>
        </w:rPr>
        <w:t xml:space="preserve"> 4c</w:t>
      </w:r>
      <w:r w:rsidR="00E01A0A">
        <w:rPr>
          <w:b/>
        </w:rPr>
        <w:tab/>
      </w:r>
      <w:r w:rsidRPr="00462185">
        <w:rPr>
          <w:b/>
        </w:rPr>
        <w:t>Diagramme de décision pour les véhicules soumis à l</w:t>
      </w:r>
      <w:r w:rsidR="00E42E9D">
        <w:rPr>
          <w:b/>
        </w:rPr>
        <w:t>’</w:t>
      </w:r>
      <w:r w:rsidRPr="00462185">
        <w:rPr>
          <w:b/>
        </w:rPr>
        <w:t xml:space="preserve">essai conformément au </w:t>
      </w:r>
      <w:r w:rsidR="0086678F">
        <w:rPr>
          <w:b/>
        </w:rPr>
        <w:t>paragraphe </w:t>
      </w:r>
      <w:r w:rsidRPr="00462185">
        <w:rPr>
          <w:b/>
        </w:rPr>
        <w:t>3.1.2.</w:t>
      </w:r>
      <w:r w:rsidRPr="006F26EF">
        <w:rPr>
          <w:b/>
        </w:rPr>
        <w:t>2 de l</w:t>
      </w:r>
      <w:r w:rsidR="00E42E9D">
        <w:rPr>
          <w:b/>
        </w:rPr>
        <w:t>’</w:t>
      </w:r>
      <w:r w:rsidR="0086678F">
        <w:rPr>
          <w:b/>
        </w:rPr>
        <w:t>annexe </w:t>
      </w:r>
      <w:r w:rsidRPr="006F26EF">
        <w:rPr>
          <w:b/>
        </w:rPr>
        <w:t>3 au présent Règlement</w:t>
      </w:r>
      <w:r w:rsidRPr="00462185">
        <w:rPr>
          <w:b/>
        </w:rPr>
        <w:t xml:space="preserve"> − Essai rapports non bloqués 2</w:t>
      </w:r>
      <w:r w:rsidRPr="00462185">
        <w:rPr>
          <w:b/>
          <w:vertAlign w:val="superscript"/>
        </w:rPr>
        <w:t>e</w:t>
      </w:r>
      <w:r w:rsidRPr="00462185">
        <w:rPr>
          <w:b/>
        </w:rPr>
        <w:t xml:space="preserve"> PARTIE</w:t>
      </w:r>
    </w:p>
    <w:p w:rsidR="00742462" w:rsidRPr="00462185" w:rsidRDefault="00742462" w:rsidP="007C483A">
      <w:pPr>
        <w:pStyle w:val="SingleTxtG"/>
        <w:spacing w:after="100" w:line="238" w:lineRule="atLeast"/>
        <w:ind w:left="2268" w:hanging="1134"/>
        <w:rPr>
          <w:b/>
        </w:rPr>
      </w:pPr>
      <w:r w:rsidRPr="007C483A">
        <w:rPr>
          <w:b/>
          <w:snapToGrid w:val="0"/>
          <w:lang w:val="fr-FR"/>
        </w:rPr>
        <w:t>Figure</w:t>
      </w:r>
      <w:r w:rsidRPr="00462185">
        <w:rPr>
          <w:b/>
        </w:rPr>
        <w:t xml:space="preserve"> 4d</w:t>
      </w:r>
      <w:r w:rsidR="00E01A0A">
        <w:rPr>
          <w:b/>
        </w:rPr>
        <w:tab/>
      </w:r>
      <w:r w:rsidRPr="00462185">
        <w:rPr>
          <w:b/>
        </w:rPr>
        <w:t>Diagramme de décision pour les véhicules soumis à l</w:t>
      </w:r>
      <w:r w:rsidR="00E42E9D">
        <w:rPr>
          <w:b/>
        </w:rPr>
        <w:t>’</w:t>
      </w:r>
      <w:r w:rsidRPr="00462185">
        <w:rPr>
          <w:b/>
        </w:rPr>
        <w:t xml:space="preserve">essai conformément au </w:t>
      </w:r>
      <w:r w:rsidR="0086678F">
        <w:rPr>
          <w:b/>
        </w:rPr>
        <w:t>paragraphe </w:t>
      </w:r>
      <w:r w:rsidRPr="00462185">
        <w:rPr>
          <w:b/>
        </w:rPr>
        <w:t xml:space="preserve">3.1.2.2 </w:t>
      </w:r>
      <w:r w:rsidRPr="006F26EF">
        <w:rPr>
          <w:b/>
        </w:rPr>
        <w:t>de l</w:t>
      </w:r>
      <w:r w:rsidR="00E42E9D">
        <w:rPr>
          <w:b/>
        </w:rPr>
        <w:t>’</w:t>
      </w:r>
      <w:r w:rsidR="0086678F">
        <w:rPr>
          <w:b/>
        </w:rPr>
        <w:t>annexe </w:t>
      </w:r>
      <w:r w:rsidRPr="006F26EF">
        <w:rPr>
          <w:b/>
        </w:rPr>
        <w:t xml:space="preserve">3 au présent Règlement </w:t>
      </w:r>
      <w:r w:rsidRPr="00462185">
        <w:rPr>
          <w:b/>
        </w:rPr>
        <w:t>− Essai quand aucun régime de moteur à combustion n</w:t>
      </w:r>
      <w:r w:rsidR="00E42E9D">
        <w:rPr>
          <w:b/>
        </w:rPr>
        <w:t>’</w:t>
      </w:r>
      <w:r w:rsidRPr="00462185">
        <w:rPr>
          <w:b/>
        </w:rPr>
        <w:t>est disponible</w:t>
      </w:r>
    </w:p>
    <w:p w:rsidR="00742462" w:rsidRPr="00462185" w:rsidRDefault="00742462" w:rsidP="00E01A0A">
      <w:pPr>
        <w:pStyle w:val="SingleTxtG"/>
        <w:keepNext/>
      </w:pPr>
      <w:r w:rsidRPr="00462185">
        <w:rPr>
          <w:i/>
        </w:rPr>
        <w:t xml:space="preserve">Annexe 7, </w:t>
      </w:r>
      <w:r w:rsidR="0086678F">
        <w:rPr>
          <w:i/>
        </w:rPr>
        <w:t>paragraphe </w:t>
      </w:r>
      <w:r w:rsidRPr="00462185">
        <w:rPr>
          <w:i/>
        </w:rPr>
        <w:t>3.2.1</w:t>
      </w:r>
      <w:r w:rsidRPr="00462185">
        <w:t>, remplacer «L</w:t>
      </w:r>
      <w:r w:rsidRPr="00462185">
        <w:rPr>
          <w:vertAlign w:val="subscript"/>
        </w:rPr>
        <w:t>i</w:t>
      </w:r>
      <w:r w:rsidRPr="00462185">
        <w:t>» par «L</w:t>
      </w:r>
      <w:r w:rsidRPr="00462185">
        <w:rPr>
          <w:vertAlign w:val="subscript"/>
        </w:rPr>
        <w:t>j</w:t>
      </w:r>
      <w:r w:rsidRPr="00462185">
        <w:t>», comme suit:</w:t>
      </w:r>
    </w:p>
    <w:p w:rsidR="00742462" w:rsidRPr="00462185" w:rsidRDefault="00742462" w:rsidP="007C483A">
      <w:pPr>
        <w:pStyle w:val="SingleTxtG"/>
        <w:keepNext/>
        <w:spacing w:after="100" w:line="238" w:lineRule="atLeast"/>
        <w:ind w:left="2268" w:hanging="1134"/>
        <w:jc w:val="left"/>
      </w:pPr>
      <w:r w:rsidRPr="00462185">
        <w:t>«3.2.1</w:t>
      </w:r>
      <w:r w:rsidRPr="00462185">
        <w:tab/>
      </w:r>
      <w:r w:rsidRPr="00462185">
        <w:tab/>
        <w:t>Calcul de la pente de la ligne de régression sur chacun des rapports</w:t>
      </w:r>
    </w:p>
    <w:p w:rsidR="00742462" w:rsidRPr="00E16D27" w:rsidRDefault="00742462" w:rsidP="007C483A">
      <w:pPr>
        <w:pStyle w:val="SingleTxtG"/>
        <w:keepNext/>
        <w:spacing w:after="100" w:line="238" w:lineRule="atLeast"/>
        <w:ind w:left="2268"/>
        <w:jc w:val="left"/>
      </w:pPr>
      <w:r w:rsidRPr="00462185">
        <w:t xml:space="preserve">On mesure la </w:t>
      </w:r>
      <w:r w:rsidRPr="007C483A">
        <w:rPr>
          <w:lang w:val="fr-FR"/>
        </w:rPr>
        <w:t>pente</w:t>
      </w:r>
      <w:r w:rsidRPr="00462185">
        <w:t xml:space="preserve"> de la ligne de régression à l</w:t>
      </w:r>
      <w:r w:rsidR="00E42E9D">
        <w:t>’</w:t>
      </w:r>
      <w:r w:rsidRPr="00462185">
        <w:t>aide du point d</w:t>
      </w:r>
      <w:r w:rsidR="00E42E9D">
        <w:t>’</w:t>
      </w:r>
      <w:r w:rsidRPr="00462185">
        <w:t>alignement et des quatre mesures supplémentaires corrélées.</w:t>
      </w:r>
    </w:p>
    <w:p w:rsidR="00742462" w:rsidRPr="00E16D27" w:rsidRDefault="00584D14" w:rsidP="00742462">
      <w:pPr>
        <w:kinsoku/>
        <w:overflowPunct/>
        <w:snapToGrid/>
        <w:spacing w:after="120" w:line="240" w:lineRule="auto"/>
        <w:ind w:left="1701" w:firstLine="567"/>
        <w:rPr>
          <w:i/>
          <w:iCs/>
          <w:dstrike/>
        </w:rPr>
      </w:pPr>
      <w:r w:rsidRPr="00804A73">
        <w:rPr>
          <w:position w:val="-64"/>
        </w:rPr>
        <w:object w:dxaOrig="246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69pt" o:ole="">
            <v:imagedata r:id="rId9" o:title=""/>
          </v:shape>
          <o:OLEObject Type="Embed" ProgID="Equation.3" ShapeID="_x0000_i1025" DrawAspect="Content" ObjectID="_1491814479" r:id="rId10"/>
        </w:object>
      </w:r>
      <w:r w:rsidR="00742462">
        <w:tab/>
      </w:r>
      <w:r w:rsidR="00742462">
        <w:rPr>
          <w:b/>
        </w:rPr>
        <w:t>(en dB/1 000 min-1)</w:t>
      </w:r>
    </w:p>
    <w:p w:rsidR="00742462" w:rsidRPr="00E16D27" w:rsidRDefault="00742462" w:rsidP="00804A73">
      <w:pPr>
        <w:pStyle w:val="SingleTxtG"/>
        <w:spacing w:before="240" w:line="238" w:lineRule="atLeast"/>
        <w:ind w:left="2268"/>
        <w:jc w:val="left"/>
      </w:pPr>
      <w:r>
        <w:tab/>
        <w:t>où</w:t>
      </w:r>
      <w:r>
        <w:tab/>
      </w:r>
      <w:r w:rsidR="00760B3F" w:rsidRPr="00CC2268">
        <w:rPr>
          <w:position w:val="-30"/>
        </w:rPr>
        <w:object w:dxaOrig="1160" w:dyaOrig="700">
          <v:shape id="_x0000_i1026" type="#_x0000_t75" style="width:57.75pt;height:35.25pt" o:ole="">
            <v:imagedata r:id="rId11" o:title=""/>
          </v:shape>
          <o:OLEObject Type="Embed" ProgID="Equation.3" ShapeID="_x0000_i1026" DrawAspect="Content" ObjectID="_1491814480" r:id="rId12"/>
        </w:object>
      </w:r>
      <w:r w:rsidR="00671BF7">
        <w:t xml:space="preserve"> </w:t>
      </w:r>
      <w:r>
        <w:t xml:space="preserve">et </w:t>
      </w:r>
      <w:r w:rsidR="00804A73" w:rsidRPr="00CC2268">
        <w:rPr>
          <w:position w:val="-30"/>
        </w:rPr>
        <w:object w:dxaOrig="1120" w:dyaOrig="700">
          <v:shape id="_x0000_i1027" type="#_x0000_t75" style="width:56.25pt;height:35.25pt" o:ole="">
            <v:imagedata r:id="rId13" o:title=""/>
          </v:shape>
          <o:OLEObject Type="Embed" ProgID="Equation.3" ShapeID="_x0000_i1027" DrawAspect="Content" ObjectID="_1491814481" r:id="rId14"/>
        </w:object>
      </w:r>
      <w:r>
        <w:t>;</w:t>
      </w:r>
    </w:p>
    <w:p w:rsidR="00742462" w:rsidRPr="00E16D27" w:rsidRDefault="00742462" w:rsidP="007C483A">
      <w:pPr>
        <w:pStyle w:val="SingleTxtG"/>
        <w:spacing w:after="100" w:line="238" w:lineRule="atLeast"/>
        <w:ind w:left="2268"/>
        <w:jc w:val="left"/>
      </w:pPr>
      <w:r>
        <w:t>où n</w:t>
      </w:r>
      <w:r>
        <w:rPr>
          <w:vertAlign w:val="subscript"/>
        </w:rPr>
        <w:t>j</w:t>
      </w:r>
      <w:r>
        <w:t xml:space="preserve"> = régime du moteur mesuré au droit de la ligne BB</w:t>
      </w:r>
      <w:r w:rsidR="00E42E9D">
        <w:t>’</w:t>
      </w:r>
      <w:r>
        <w:t>.</w:t>
      </w:r>
    </w:p>
    <w:p w:rsidR="00742462" w:rsidRPr="0087389B" w:rsidRDefault="00742462" w:rsidP="0087389B">
      <w:pPr>
        <w:pStyle w:val="HChG"/>
      </w:pPr>
      <w:r>
        <w:br w:type="page"/>
      </w:r>
      <w:r w:rsidRPr="0087389B">
        <w:lastRenderedPageBreak/>
        <w:t>Annexe IV</w:t>
      </w:r>
    </w:p>
    <w:p w:rsidR="00742462" w:rsidRPr="004F2633" w:rsidRDefault="00742462" w:rsidP="0087389B">
      <w:pPr>
        <w:pStyle w:val="HChG"/>
        <w:rPr>
          <w:spacing w:val="-2"/>
        </w:rPr>
      </w:pPr>
      <w:r w:rsidRPr="004F2633">
        <w:rPr>
          <w:spacing w:val="-2"/>
        </w:rPr>
        <w:tab/>
      </w:r>
      <w:r w:rsidRPr="004F2633">
        <w:rPr>
          <w:spacing w:val="-2"/>
        </w:rPr>
        <w:tab/>
        <w:t>Modifications du document ECE/TRANS/WP.29/GRB/2015/4 adoptées</w:t>
      </w:r>
    </w:p>
    <w:p w:rsidR="00742462" w:rsidRPr="00462185" w:rsidRDefault="00742462" w:rsidP="00E01A0A">
      <w:pPr>
        <w:pStyle w:val="SingleTxtG"/>
        <w:keepNext/>
      </w:pPr>
      <w:r w:rsidRPr="00462185">
        <w:rPr>
          <w:i/>
        </w:rPr>
        <w:t xml:space="preserve">Annexe 6, </w:t>
      </w:r>
      <w:r w:rsidR="0086678F">
        <w:rPr>
          <w:i/>
        </w:rPr>
        <w:t>paragraphe </w:t>
      </w:r>
      <w:r w:rsidRPr="00462185">
        <w:rPr>
          <w:i/>
        </w:rPr>
        <w:t>2</w:t>
      </w:r>
      <w:r w:rsidRPr="00462185">
        <w:t>, modifier comme suit:</w:t>
      </w:r>
    </w:p>
    <w:p w:rsidR="00742462" w:rsidRPr="00181E16" w:rsidRDefault="00742462" w:rsidP="007C483A">
      <w:pPr>
        <w:pStyle w:val="SingleTxtG"/>
        <w:spacing w:after="100" w:line="238" w:lineRule="atLeast"/>
        <w:ind w:left="2268" w:hanging="1134"/>
        <w:rPr>
          <w:bCs/>
        </w:rPr>
      </w:pPr>
      <w:r w:rsidRPr="00E455E1">
        <w:t>«</w:t>
      </w:r>
      <w:r w:rsidRPr="00462185">
        <w:rPr>
          <w:b/>
        </w:rPr>
        <w:t>2.</w:t>
      </w:r>
      <w:r w:rsidRPr="007C483A">
        <w:rPr>
          <w:b/>
        </w:rPr>
        <w:tab/>
      </w:r>
      <w:r w:rsidRPr="007C483A">
        <w:rPr>
          <w:b/>
        </w:rPr>
        <w:tab/>
      </w:r>
      <w:r w:rsidRPr="006F26EF">
        <w:rPr>
          <w:b/>
        </w:rPr>
        <w:t>Si le document visé au paragraphe 1 comporte plus d</w:t>
      </w:r>
      <w:r w:rsidR="00E42E9D">
        <w:rPr>
          <w:b/>
        </w:rPr>
        <w:t>’</w:t>
      </w:r>
      <w:r w:rsidRPr="006F26EF">
        <w:rPr>
          <w:b/>
        </w:rPr>
        <w:t>une page, toutes les pages doivent porter au moins une référence au numéro d</w:t>
      </w:r>
      <w:r w:rsidR="00E42E9D">
        <w:rPr>
          <w:b/>
        </w:rPr>
        <w:t>’</w:t>
      </w:r>
      <w:r w:rsidRPr="006F26EF">
        <w:rPr>
          <w:b/>
        </w:rPr>
        <w:t>homologation.</w:t>
      </w:r>
      <w:r w:rsidRPr="006F26EF">
        <w:t>».</w:t>
      </w:r>
    </w:p>
    <w:p w:rsidR="00742462" w:rsidRPr="0087389B" w:rsidRDefault="00742462" w:rsidP="001350B6">
      <w:pPr>
        <w:pStyle w:val="HChG"/>
        <w:spacing w:before="320" w:after="200"/>
      </w:pPr>
      <w:r>
        <w:br w:type="page"/>
      </w:r>
      <w:r w:rsidRPr="0087389B">
        <w:lastRenderedPageBreak/>
        <w:t>Annexe V</w:t>
      </w:r>
    </w:p>
    <w:p w:rsidR="00742462" w:rsidRPr="0087389B" w:rsidRDefault="00742462" w:rsidP="001350B6">
      <w:pPr>
        <w:pStyle w:val="HChG"/>
        <w:spacing w:before="320" w:after="200"/>
      </w:pPr>
      <w:r>
        <w:tab/>
      </w:r>
      <w:r>
        <w:tab/>
      </w:r>
      <w:r w:rsidRPr="0087389B">
        <w:t xml:space="preserve">Amendements au Règlement </w:t>
      </w:r>
      <w:r w:rsidR="0086678F" w:rsidRPr="0086678F">
        <w:t>n</w:t>
      </w:r>
      <w:r w:rsidR="0086678F" w:rsidRPr="0086678F">
        <w:rPr>
          <w:vertAlign w:val="superscript"/>
        </w:rPr>
        <w:t>o</w:t>
      </w:r>
      <w:r w:rsidR="0086678F" w:rsidRPr="0086678F">
        <w:t> </w:t>
      </w:r>
      <w:r w:rsidRPr="0087389B">
        <w:t>117 adoptés (sur la base</w:t>
      </w:r>
      <w:r w:rsidR="004F2633">
        <w:br/>
      </w:r>
      <w:r w:rsidRPr="0087389B">
        <w:t>du document ECE/TRANS/WP.29/GRB/2014/8)</w:t>
      </w:r>
    </w:p>
    <w:p w:rsidR="00742462" w:rsidRPr="00462185" w:rsidRDefault="00742462" w:rsidP="001350B6">
      <w:pPr>
        <w:pStyle w:val="SingleTxtG"/>
        <w:keepNext/>
        <w:spacing w:after="100"/>
      </w:pPr>
      <w:r w:rsidRPr="0057043F">
        <w:rPr>
          <w:i/>
        </w:rPr>
        <w:t xml:space="preserve">Annexe 6, appendice 1, </w:t>
      </w:r>
      <w:r w:rsidR="0086678F">
        <w:rPr>
          <w:i/>
        </w:rPr>
        <w:t>paragraphe </w:t>
      </w:r>
      <w:r w:rsidRPr="0057043F">
        <w:rPr>
          <w:i/>
        </w:rPr>
        <w:t>4</w:t>
      </w:r>
      <w:r w:rsidRPr="00462185">
        <w:t>, modifier comme suit:</w:t>
      </w:r>
    </w:p>
    <w:p w:rsidR="00742462" w:rsidRPr="00462185" w:rsidRDefault="00742462" w:rsidP="001350B6">
      <w:pPr>
        <w:pStyle w:val="SingleTxtG"/>
        <w:spacing w:after="100" w:line="238" w:lineRule="atLeast"/>
        <w:ind w:left="2268" w:hanging="1134"/>
      </w:pPr>
      <w:r w:rsidRPr="00462185">
        <w:t>«4.</w:t>
      </w:r>
      <w:r w:rsidR="00E01A0A">
        <w:tab/>
      </w:r>
      <w:r w:rsidRPr="00462185">
        <w:t>Exactitude des réglages</w:t>
      </w:r>
    </w:p>
    <w:p w:rsidR="00742462" w:rsidRPr="00462185" w:rsidRDefault="00742462" w:rsidP="001350B6">
      <w:pPr>
        <w:pStyle w:val="SingleTxtG"/>
        <w:spacing w:after="100" w:line="238" w:lineRule="atLeast"/>
        <w:ind w:left="2268"/>
      </w:pPr>
      <w:r w:rsidRPr="00462185">
        <w:t>…</w:t>
      </w:r>
    </w:p>
    <w:p w:rsidR="00742462" w:rsidRPr="00462185" w:rsidRDefault="00742462" w:rsidP="001350B6">
      <w:pPr>
        <w:pStyle w:val="SingleTxtG"/>
        <w:spacing w:after="100" w:line="238" w:lineRule="atLeast"/>
        <w:ind w:left="2835" w:hanging="567"/>
      </w:pPr>
      <w:r w:rsidRPr="00462185">
        <w:t>d)</w:t>
      </w:r>
      <w:r w:rsidRPr="00462185">
        <w:tab/>
        <w:t xml:space="preserve">Temps: </w:t>
      </w:r>
      <w:r w:rsidR="00251799" w:rsidRPr="00251799">
        <w:rPr>
          <w:strike/>
          <w:lang w:val="fr-FR"/>
        </w:rPr>
        <w:sym w:font="Symbol" w:char="F0B1"/>
      </w:r>
      <w:r w:rsidRPr="00462185">
        <w:rPr>
          <w:strike/>
        </w:rPr>
        <w:t>0,5 ms</w:t>
      </w:r>
    </w:p>
    <w:p w:rsidR="00E01A0A" w:rsidRDefault="00742462" w:rsidP="001350B6">
      <w:pPr>
        <w:pStyle w:val="SingleTxtG"/>
        <w:spacing w:after="100" w:line="238" w:lineRule="atLeast"/>
        <w:ind w:left="3402" w:hanging="567"/>
        <w:rPr>
          <w:b/>
        </w:rPr>
      </w:pPr>
      <w:r w:rsidRPr="00462185">
        <w:rPr>
          <w:b/>
        </w:rPr>
        <w:t>i)</w:t>
      </w:r>
      <w:r w:rsidRPr="00462185">
        <w:tab/>
      </w:r>
      <w:r w:rsidR="00251799" w:rsidRPr="00251799">
        <w:rPr>
          <w:b/>
          <w:lang w:val="fr-FR"/>
        </w:rPr>
        <w:sym w:font="Symbol" w:char="F0B1"/>
      </w:r>
      <w:r w:rsidRPr="00462185">
        <w:rPr>
          <w:b/>
        </w:rPr>
        <w:t>0,02 </w:t>
      </w:r>
      <w:r w:rsidRPr="006F26EF">
        <w:rPr>
          <w:b/>
        </w:rPr>
        <w:t>s</w:t>
      </w:r>
      <w:r w:rsidRPr="00462185">
        <w:rPr>
          <w:b/>
        </w:rPr>
        <w:t xml:space="preserve"> pour les incréments de temps indiqués à l</w:t>
      </w:r>
      <w:r w:rsidR="00E42E9D">
        <w:rPr>
          <w:b/>
        </w:rPr>
        <w:t>’</w:t>
      </w:r>
      <w:r w:rsidRPr="00462185">
        <w:rPr>
          <w:b/>
        </w:rPr>
        <w:t>alinéa </w:t>
      </w:r>
      <w:r w:rsidRPr="0086678F">
        <w:rPr>
          <w:b/>
          <w:i/>
        </w:rPr>
        <w:t>b</w:t>
      </w:r>
      <w:r w:rsidRPr="00462185">
        <w:rPr>
          <w:b/>
        </w:rPr>
        <w:t xml:space="preserve"> du paragraphe 3.5 de l</w:t>
      </w:r>
      <w:r w:rsidR="00E42E9D">
        <w:rPr>
          <w:b/>
        </w:rPr>
        <w:t>’</w:t>
      </w:r>
      <w:r w:rsidRPr="00462185">
        <w:rPr>
          <w:b/>
        </w:rPr>
        <w:t>annexe 6 pour l</w:t>
      </w:r>
      <w:r w:rsidR="00E42E9D">
        <w:rPr>
          <w:b/>
        </w:rPr>
        <w:t>’</w:t>
      </w:r>
      <w:r w:rsidRPr="00462185">
        <w:rPr>
          <w:b/>
        </w:rPr>
        <w:t xml:space="preserve">acquisition des données dans </w:t>
      </w:r>
      <w:r w:rsidRPr="006F26EF">
        <w:rPr>
          <w:b/>
        </w:rPr>
        <w:t xml:space="preserve">le cadre de </w:t>
      </w:r>
      <w:r w:rsidRPr="00462185">
        <w:rPr>
          <w:b/>
        </w:rPr>
        <w:t>la méthode de décélération, sous la forme ∆ω/∆t;</w:t>
      </w:r>
    </w:p>
    <w:p w:rsidR="00742462" w:rsidRPr="00462185" w:rsidRDefault="00742462" w:rsidP="001350B6">
      <w:pPr>
        <w:pStyle w:val="SingleTxtG"/>
        <w:spacing w:after="100" w:line="238" w:lineRule="atLeast"/>
        <w:ind w:left="3402" w:hanging="567"/>
        <w:rPr>
          <w:b/>
        </w:rPr>
      </w:pPr>
      <w:r w:rsidRPr="00462185">
        <w:rPr>
          <w:rFonts w:hint="eastAsia"/>
          <w:b/>
        </w:rPr>
        <w:t>ii)</w:t>
      </w:r>
      <w:r w:rsidR="00E01A0A">
        <w:rPr>
          <w:rFonts w:hint="eastAsia"/>
          <w:b/>
        </w:rPr>
        <w:tab/>
      </w:r>
      <w:r w:rsidR="00251799" w:rsidRPr="00251799">
        <w:rPr>
          <w:b/>
          <w:lang w:val="fr-FR"/>
        </w:rPr>
        <w:sym w:font="Symbol" w:char="F0B1"/>
      </w:r>
      <w:r w:rsidRPr="00462185">
        <w:rPr>
          <w:b/>
        </w:rPr>
        <w:t>0,2 % pour les incréments de temps indiqués à l</w:t>
      </w:r>
      <w:r w:rsidR="00E42E9D">
        <w:rPr>
          <w:b/>
        </w:rPr>
        <w:t>’</w:t>
      </w:r>
      <w:r w:rsidRPr="00462185">
        <w:rPr>
          <w:b/>
        </w:rPr>
        <w:t>alinéa </w:t>
      </w:r>
      <w:r w:rsidRPr="0086678F">
        <w:rPr>
          <w:b/>
          <w:i/>
        </w:rPr>
        <w:t>a</w:t>
      </w:r>
      <w:r w:rsidRPr="00462185">
        <w:rPr>
          <w:b/>
        </w:rPr>
        <w:t xml:space="preserve"> du paragraphe 3.5 de l</w:t>
      </w:r>
      <w:r w:rsidR="00E42E9D">
        <w:rPr>
          <w:b/>
        </w:rPr>
        <w:t>’</w:t>
      </w:r>
      <w:r w:rsidRPr="00462185">
        <w:rPr>
          <w:b/>
        </w:rPr>
        <w:t>annexe 6 pour l</w:t>
      </w:r>
      <w:r w:rsidR="00E42E9D">
        <w:rPr>
          <w:b/>
        </w:rPr>
        <w:t>’</w:t>
      </w:r>
      <w:r w:rsidRPr="00462185">
        <w:rPr>
          <w:b/>
        </w:rPr>
        <w:t xml:space="preserve">acquisition des données dans </w:t>
      </w:r>
      <w:r w:rsidRPr="006F26EF">
        <w:rPr>
          <w:b/>
        </w:rPr>
        <w:t xml:space="preserve">le cadre de </w:t>
      </w:r>
      <w:r w:rsidRPr="00462185">
        <w:rPr>
          <w:b/>
        </w:rPr>
        <w:t>la méthode de décélération, sous la forme dω/dt;</w:t>
      </w:r>
    </w:p>
    <w:p w:rsidR="00742462" w:rsidRPr="00462185" w:rsidRDefault="00742462" w:rsidP="001350B6">
      <w:pPr>
        <w:pStyle w:val="SingleTxtG"/>
        <w:spacing w:after="100" w:line="238" w:lineRule="atLeast"/>
        <w:ind w:left="3402" w:hanging="567"/>
      </w:pPr>
      <w:r w:rsidRPr="00462185">
        <w:rPr>
          <w:rFonts w:hint="eastAsia"/>
          <w:b/>
        </w:rPr>
        <w:t>iii)</w:t>
      </w:r>
      <w:r w:rsidR="00E01A0A">
        <w:rPr>
          <w:b/>
        </w:rPr>
        <w:tab/>
      </w:r>
      <w:r w:rsidR="00251799" w:rsidRPr="00251799">
        <w:rPr>
          <w:b/>
          <w:lang w:val="fr-FR"/>
        </w:rPr>
        <w:sym w:font="Symbol" w:char="F0B1"/>
      </w:r>
      <w:r w:rsidRPr="00462185">
        <w:rPr>
          <w:b/>
        </w:rPr>
        <w:t>5 % pour les autres durées indiquées à l</w:t>
      </w:r>
      <w:r w:rsidR="00E42E9D">
        <w:rPr>
          <w:b/>
        </w:rPr>
        <w:t>’</w:t>
      </w:r>
      <w:r w:rsidR="0086678F">
        <w:rPr>
          <w:b/>
        </w:rPr>
        <w:t>annexe </w:t>
      </w:r>
      <w:r w:rsidRPr="00462185">
        <w:rPr>
          <w:b/>
        </w:rPr>
        <w:t>6.</w:t>
      </w:r>
      <w:r w:rsidRPr="00462185">
        <w:t>».</w:t>
      </w:r>
    </w:p>
    <w:p w:rsidR="00742462" w:rsidRPr="00462185" w:rsidRDefault="00742462" w:rsidP="001350B6">
      <w:pPr>
        <w:pStyle w:val="SingleTxtG"/>
        <w:keepNext/>
        <w:spacing w:after="100"/>
      </w:pPr>
      <w:r w:rsidRPr="0057043F">
        <w:rPr>
          <w:rFonts w:hint="eastAsia"/>
          <w:i/>
        </w:rPr>
        <w:t xml:space="preserve">Annexe 6, appendice 1, </w:t>
      </w:r>
      <w:r w:rsidR="0086678F">
        <w:rPr>
          <w:rFonts w:hint="eastAsia"/>
          <w:i/>
        </w:rPr>
        <w:t>paragraphe </w:t>
      </w:r>
      <w:r w:rsidRPr="0057043F">
        <w:rPr>
          <w:rFonts w:hint="eastAsia"/>
          <w:i/>
        </w:rPr>
        <w:t>5</w:t>
      </w:r>
      <w:r w:rsidRPr="00462185">
        <w:t>, modifier comme suit:</w:t>
      </w:r>
    </w:p>
    <w:p w:rsidR="00742462" w:rsidRPr="00462185" w:rsidRDefault="00742462" w:rsidP="001350B6">
      <w:pPr>
        <w:pStyle w:val="SingleTxtG"/>
        <w:spacing w:after="100" w:line="238" w:lineRule="atLeast"/>
        <w:ind w:left="2268" w:hanging="1134"/>
      </w:pPr>
      <w:r w:rsidRPr="00462185">
        <w:t>«5.</w:t>
      </w:r>
      <w:r w:rsidRPr="00462185">
        <w:tab/>
        <w:t>Justesse de l</w:t>
      </w:r>
      <w:r w:rsidR="00E42E9D">
        <w:t>’</w:t>
      </w:r>
      <w:r w:rsidRPr="00462185">
        <w:t>appareillage</w:t>
      </w:r>
    </w:p>
    <w:p w:rsidR="0057043F" w:rsidRDefault="00742462" w:rsidP="001350B6">
      <w:pPr>
        <w:pStyle w:val="SingleTxtG"/>
        <w:spacing w:after="100" w:line="238" w:lineRule="atLeast"/>
        <w:ind w:left="2268"/>
      </w:pPr>
      <w:r w:rsidRPr="00462185">
        <w:tab/>
        <w:t>La justesse de l</w:t>
      </w:r>
      <w:r w:rsidR="00E42E9D">
        <w:t>’</w:t>
      </w:r>
      <w:r w:rsidRPr="00462185">
        <w:t>appareillage utilisé pour la lecture et l</w:t>
      </w:r>
      <w:r w:rsidR="00E42E9D">
        <w:t>’</w:t>
      </w:r>
      <w:r w:rsidRPr="00462185">
        <w:t>enregistrement des données d</w:t>
      </w:r>
      <w:r w:rsidR="00E42E9D">
        <w:t>’</w:t>
      </w:r>
      <w:r w:rsidRPr="00462185">
        <w:t>essai doit satisfaire aux limites des tolérances indiquées dans le tableau ci-dessous.</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95"/>
        <w:gridCol w:w="3005"/>
        <w:gridCol w:w="3005"/>
      </w:tblGrid>
      <w:tr w:rsidR="00742462" w:rsidRPr="00E16D27" w:rsidTr="0057043F">
        <w:trPr>
          <w:trHeight w:val="427"/>
          <w:tblHeader/>
        </w:trPr>
        <w:tc>
          <w:tcPr>
            <w:tcW w:w="2495" w:type="dxa"/>
            <w:tcBorders>
              <w:top w:val="single" w:sz="4" w:space="0" w:color="auto"/>
              <w:left w:val="single" w:sz="4" w:space="0" w:color="auto"/>
              <w:bottom w:val="single" w:sz="12" w:space="0" w:color="auto"/>
              <w:right w:val="single" w:sz="4" w:space="0" w:color="auto"/>
            </w:tcBorders>
            <w:shd w:val="clear" w:color="auto" w:fill="auto"/>
            <w:vAlign w:val="bottom"/>
          </w:tcPr>
          <w:p w:rsidR="00742462" w:rsidRPr="00E16D27" w:rsidRDefault="00742462" w:rsidP="0057043F">
            <w:pPr>
              <w:suppressAutoHyphens w:val="0"/>
              <w:kinsoku/>
              <w:overflowPunct/>
              <w:autoSpaceDE/>
              <w:autoSpaceDN/>
              <w:adjustRightInd/>
              <w:snapToGrid/>
              <w:spacing w:before="80" w:after="80" w:line="200" w:lineRule="exact"/>
              <w:ind w:left="57" w:right="113"/>
              <w:rPr>
                <w:i/>
                <w:sz w:val="16"/>
                <w:szCs w:val="16"/>
              </w:rPr>
            </w:pPr>
            <w:r>
              <w:rPr>
                <w:i/>
                <w:sz w:val="16"/>
              </w:rPr>
              <w:t>Paramètre</w:t>
            </w:r>
          </w:p>
        </w:tc>
        <w:tc>
          <w:tcPr>
            <w:tcW w:w="3005" w:type="dxa"/>
            <w:tcBorders>
              <w:top w:val="single" w:sz="4" w:space="0" w:color="auto"/>
              <w:left w:val="single" w:sz="4" w:space="0" w:color="auto"/>
              <w:bottom w:val="single" w:sz="12" w:space="0" w:color="auto"/>
              <w:right w:val="single" w:sz="4" w:space="0" w:color="auto"/>
            </w:tcBorders>
            <w:shd w:val="clear" w:color="auto" w:fill="auto"/>
            <w:vAlign w:val="bottom"/>
          </w:tcPr>
          <w:p w:rsidR="00742462" w:rsidRPr="00E16D27" w:rsidRDefault="00742462" w:rsidP="0057043F">
            <w:pPr>
              <w:suppressAutoHyphens w:val="0"/>
              <w:kinsoku/>
              <w:overflowPunct/>
              <w:autoSpaceDE/>
              <w:autoSpaceDN/>
              <w:adjustRightInd/>
              <w:snapToGrid/>
              <w:spacing w:before="80" w:after="80" w:line="200" w:lineRule="exact"/>
              <w:ind w:left="57" w:right="113"/>
              <w:jc w:val="right"/>
              <w:rPr>
                <w:i/>
                <w:sz w:val="16"/>
                <w:szCs w:val="16"/>
              </w:rPr>
            </w:pPr>
            <w:r>
              <w:rPr>
                <w:i/>
                <w:sz w:val="16"/>
              </w:rPr>
              <w:t>Indice de charge LI ≤ 121</w:t>
            </w:r>
          </w:p>
        </w:tc>
        <w:tc>
          <w:tcPr>
            <w:tcW w:w="3005" w:type="dxa"/>
            <w:tcBorders>
              <w:top w:val="single" w:sz="4" w:space="0" w:color="auto"/>
              <w:left w:val="single" w:sz="4" w:space="0" w:color="auto"/>
              <w:bottom w:val="single" w:sz="12" w:space="0" w:color="auto"/>
              <w:right w:val="single" w:sz="4" w:space="0" w:color="auto"/>
            </w:tcBorders>
            <w:shd w:val="clear" w:color="auto" w:fill="auto"/>
            <w:vAlign w:val="bottom"/>
          </w:tcPr>
          <w:p w:rsidR="00742462" w:rsidRPr="00E16D27" w:rsidRDefault="00742462" w:rsidP="0057043F">
            <w:pPr>
              <w:suppressAutoHyphens w:val="0"/>
              <w:kinsoku/>
              <w:overflowPunct/>
              <w:autoSpaceDE/>
              <w:autoSpaceDN/>
              <w:adjustRightInd/>
              <w:snapToGrid/>
              <w:spacing w:before="80" w:after="80" w:line="200" w:lineRule="exact"/>
              <w:ind w:left="57" w:right="113"/>
              <w:jc w:val="right"/>
              <w:rPr>
                <w:i/>
                <w:sz w:val="16"/>
                <w:szCs w:val="16"/>
              </w:rPr>
            </w:pPr>
            <w:r>
              <w:rPr>
                <w:i/>
                <w:sz w:val="16"/>
              </w:rPr>
              <w:t>Indice de charge LI &gt; 121</w:t>
            </w:r>
          </w:p>
        </w:tc>
      </w:tr>
      <w:tr w:rsidR="00742462" w:rsidRPr="00E16D27" w:rsidTr="0057043F">
        <w:tc>
          <w:tcPr>
            <w:tcW w:w="2495" w:type="dxa"/>
            <w:tcBorders>
              <w:top w:val="single" w:sz="12" w:space="0" w:color="auto"/>
              <w:left w:val="single" w:sz="4" w:space="0" w:color="auto"/>
              <w:bottom w:val="single" w:sz="4" w:space="0" w:color="auto"/>
              <w:right w:val="single" w:sz="4" w:space="0" w:color="auto"/>
            </w:tcBorders>
            <w:shd w:val="clear" w:color="auto" w:fill="auto"/>
          </w:tcPr>
          <w:p w:rsidR="00742462" w:rsidRPr="00E16D27" w:rsidRDefault="00742462" w:rsidP="004F2633">
            <w:pPr>
              <w:spacing w:before="40" w:after="80" w:line="220" w:lineRule="atLeast"/>
              <w:ind w:right="113"/>
              <w:rPr>
                <w:szCs w:val="18"/>
              </w:rPr>
            </w:pPr>
            <w:r>
              <w:t>Charge du pneumatique</w:t>
            </w:r>
          </w:p>
        </w:tc>
        <w:tc>
          <w:tcPr>
            <w:tcW w:w="3005" w:type="dxa"/>
            <w:tcBorders>
              <w:top w:val="single" w:sz="12" w:space="0" w:color="auto"/>
              <w:left w:val="single" w:sz="4" w:space="0" w:color="auto"/>
              <w:bottom w:val="single" w:sz="4" w:space="0" w:color="auto"/>
              <w:right w:val="single" w:sz="4" w:space="0" w:color="auto"/>
            </w:tcBorders>
            <w:shd w:val="clear" w:color="auto" w:fill="auto"/>
          </w:tcPr>
          <w:p w:rsidR="00742462" w:rsidRPr="00E16D27" w:rsidRDefault="00251799" w:rsidP="004F2633">
            <w:pPr>
              <w:spacing w:before="40" w:after="80" w:line="220" w:lineRule="atLeast"/>
              <w:ind w:right="113"/>
              <w:jc w:val="right"/>
              <w:rPr>
                <w:szCs w:val="18"/>
              </w:rPr>
            </w:pPr>
            <w:r w:rsidRPr="00E455E1">
              <w:rPr>
                <w:lang w:val="fr-FR"/>
              </w:rPr>
              <w:sym w:font="Symbol" w:char="F0B1"/>
            </w:r>
            <w:r w:rsidR="00742462">
              <w:t xml:space="preserve">10 N ou </w:t>
            </w:r>
            <w:r w:rsidRPr="00251799">
              <w:rPr>
                <w:lang w:val="fr-FR"/>
              </w:rPr>
              <w:sym w:font="Symbol" w:char="F0B1"/>
            </w:r>
            <w:r w:rsidR="00742462">
              <w:t>0,5 %</w:t>
            </w:r>
            <w:r w:rsidR="00584D14" w:rsidRPr="00E455E1">
              <w:rPr>
                <w:i/>
                <w:sz w:val="18"/>
                <w:szCs w:val="18"/>
                <w:vertAlign w:val="superscript"/>
              </w:rPr>
              <w:t>a</w:t>
            </w:r>
          </w:p>
        </w:tc>
        <w:tc>
          <w:tcPr>
            <w:tcW w:w="3005" w:type="dxa"/>
            <w:tcBorders>
              <w:top w:val="single" w:sz="12" w:space="0" w:color="auto"/>
              <w:left w:val="single" w:sz="4" w:space="0" w:color="auto"/>
              <w:bottom w:val="single" w:sz="4" w:space="0" w:color="auto"/>
              <w:right w:val="single" w:sz="4" w:space="0" w:color="auto"/>
            </w:tcBorders>
            <w:shd w:val="clear" w:color="auto" w:fill="auto"/>
          </w:tcPr>
          <w:p w:rsidR="00742462" w:rsidRPr="00E16D27" w:rsidRDefault="00251799" w:rsidP="00584D14">
            <w:pPr>
              <w:spacing w:before="40" w:after="80" w:line="220" w:lineRule="atLeast"/>
              <w:ind w:right="113"/>
              <w:jc w:val="right"/>
              <w:rPr>
                <w:szCs w:val="18"/>
              </w:rPr>
            </w:pPr>
            <w:r w:rsidRPr="00251799">
              <w:rPr>
                <w:lang w:val="fr-FR"/>
              </w:rPr>
              <w:sym w:font="Symbol" w:char="F0B1"/>
            </w:r>
            <w:r w:rsidR="00742462">
              <w:t xml:space="preserve">30 N ou </w:t>
            </w:r>
            <w:r w:rsidRPr="00251799">
              <w:rPr>
                <w:lang w:val="fr-FR"/>
              </w:rPr>
              <w:sym w:font="Symbol" w:char="F0B1"/>
            </w:r>
            <w:r w:rsidR="00742462">
              <w:t>0,5 %</w:t>
            </w:r>
            <w:r w:rsidR="00742462" w:rsidRPr="00584D14">
              <w:rPr>
                <w:i/>
                <w:sz w:val="18"/>
                <w:szCs w:val="18"/>
                <w:vertAlign w:val="superscript"/>
              </w:rPr>
              <w:t>a</w:t>
            </w:r>
          </w:p>
        </w:tc>
      </w:tr>
      <w:tr w:rsidR="00742462" w:rsidRPr="00E16D27" w:rsidTr="0057043F">
        <w:tc>
          <w:tcPr>
            <w:tcW w:w="249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742462" w:rsidP="004F2633">
            <w:pPr>
              <w:spacing w:before="40" w:after="80" w:line="220" w:lineRule="atLeast"/>
              <w:ind w:right="113"/>
              <w:rPr>
                <w:szCs w:val="18"/>
              </w:rPr>
            </w:pPr>
            <w:r>
              <w:t>Pression de gonflage</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251799" w:rsidP="004F2633">
            <w:pPr>
              <w:spacing w:before="40" w:after="80" w:line="220" w:lineRule="atLeast"/>
              <w:ind w:right="113"/>
              <w:jc w:val="right"/>
              <w:rPr>
                <w:szCs w:val="18"/>
              </w:rPr>
            </w:pPr>
            <w:r w:rsidRPr="00251799">
              <w:rPr>
                <w:lang w:val="fr-FR"/>
              </w:rPr>
              <w:sym w:font="Symbol" w:char="F0B1"/>
            </w:r>
            <w:r w:rsidR="00742462">
              <w:t>1 kPa</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251799" w:rsidP="004F2633">
            <w:pPr>
              <w:spacing w:before="40" w:after="80" w:line="220" w:lineRule="atLeast"/>
              <w:ind w:right="113"/>
              <w:jc w:val="right"/>
              <w:rPr>
                <w:szCs w:val="18"/>
              </w:rPr>
            </w:pPr>
            <w:r w:rsidRPr="00251799">
              <w:rPr>
                <w:lang w:val="fr-FR"/>
              </w:rPr>
              <w:sym w:font="Symbol" w:char="F0B1"/>
            </w:r>
            <w:r w:rsidR="00742462">
              <w:t>1,5 kPa</w:t>
            </w:r>
          </w:p>
        </w:tc>
      </w:tr>
      <w:tr w:rsidR="00742462" w:rsidRPr="00E16D27" w:rsidTr="0057043F">
        <w:tc>
          <w:tcPr>
            <w:tcW w:w="249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742462" w:rsidP="004F2633">
            <w:pPr>
              <w:spacing w:before="40" w:after="80" w:line="220" w:lineRule="atLeast"/>
              <w:ind w:right="113"/>
              <w:rPr>
                <w:szCs w:val="18"/>
              </w:rPr>
            </w:pPr>
            <w:r>
              <w:t>Force sur l</w:t>
            </w:r>
            <w:r w:rsidR="00E42E9D">
              <w:t>’</w:t>
            </w:r>
            <w:r>
              <w:t>axe de la roue</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251799" w:rsidP="004F2633">
            <w:pPr>
              <w:spacing w:before="40" w:after="80" w:line="220" w:lineRule="atLeast"/>
              <w:ind w:right="113"/>
              <w:jc w:val="right"/>
              <w:rPr>
                <w:szCs w:val="18"/>
              </w:rPr>
            </w:pPr>
            <w:r w:rsidRPr="00251799">
              <w:rPr>
                <w:lang w:val="fr-FR"/>
              </w:rPr>
              <w:sym w:font="Symbol" w:char="F0B1"/>
            </w:r>
            <w:r w:rsidR="00742462">
              <w:t xml:space="preserve">0,5 N ou </w:t>
            </w:r>
            <w:r w:rsidRPr="00251799">
              <w:rPr>
                <w:lang w:val="fr-FR"/>
              </w:rPr>
              <w:sym w:font="Symbol" w:char="F0B1"/>
            </w:r>
            <w:r w:rsidR="00742462">
              <w:t>0,5 %</w:t>
            </w:r>
            <w:r w:rsidR="00584D14" w:rsidRPr="00E455E1">
              <w:rPr>
                <w:i/>
                <w:sz w:val="18"/>
                <w:szCs w:val="18"/>
                <w:vertAlign w:val="superscript"/>
              </w:rPr>
              <w:t>a</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251799" w:rsidP="004F2633">
            <w:pPr>
              <w:spacing w:before="40" w:after="80" w:line="220" w:lineRule="atLeast"/>
              <w:ind w:right="113"/>
              <w:jc w:val="right"/>
              <w:rPr>
                <w:szCs w:val="18"/>
              </w:rPr>
            </w:pPr>
            <w:r w:rsidRPr="00251799">
              <w:rPr>
                <w:lang w:val="fr-FR"/>
              </w:rPr>
              <w:sym w:font="Symbol" w:char="F0B1"/>
            </w:r>
            <w:r w:rsidR="00742462">
              <w:t xml:space="preserve">1,0 N ou </w:t>
            </w:r>
            <w:r w:rsidRPr="00251799">
              <w:rPr>
                <w:lang w:val="fr-FR"/>
              </w:rPr>
              <w:sym w:font="Symbol" w:char="F0B1"/>
            </w:r>
            <w:r w:rsidR="00742462">
              <w:t>0,5 %</w:t>
            </w:r>
            <w:r w:rsidR="00584D14" w:rsidRPr="00E455E1">
              <w:rPr>
                <w:i/>
                <w:sz w:val="18"/>
                <w:szCs w:val="18"/>
                <w:vertAlign w:val="superscript"/>
              </w:rPr>
              <w:t>a</w:t>
            </w:r>
          </w:p>
        </w:tc>
      </w:tr>
      <w:tr w:rsidR="00742462" w:rsidRPr="00E16D27" w:rsidTr="0057043F">
        <w:tc>
          <w:tcPr>
            <w:tcW w:w="249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742462" w:rsidP="004F2633">
            <w:pPr>
              <w:spacing w:before="40" w:after="80" w:line="220" w:lineRule="atLeast"/>
              <w:ind w:right="113"/>
              <w:rPr>
                <w:szCs w:val="18"/>
              </w:rPr>
            </w:pPr>
            <w:r>
              <w:t>Couple d</w:t>
            </w:r>
            <w:r w:rsidR="00E42E9D">
              <w:t>’</w:t>
            </w:r>
            <w:r>
              <w:t>entrée</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251799" w:rsidP="004F2633">
            <w:pPr>
              <w:spacing w:before="40" w:after="80" w:line="220" w:lineRule="atLeast"/>
              <w:ind w:right="113"/>
              <w:jc w:val="right"/>
              <w:rPr>
                <w:szCs w:val="18"/>
              </w:rPr>
            </w:pPr>
            <w:r w:rsidRPr="00251799">
              <w:rPr>
                <w:lang w:val="fr-FR"/>
              </w:rPr>
              <w:sym w:font="Symbol" w:char="F0B1"/>
            </w:r>
            <w:r w:rsidR="00742462">
              <w:t xml:space="preserve">0,5 Nm ou </w:t>
            </w:r>
            <w:r w:rsidRPr="00251799">
              <w:rPr>
                <w:lang w:val="fr-FR"/>
              </w:rPr>
              <w:sym w:font="Symbol" w:char="F0B1"/>
            </w:r>
            <w:r w:rsidR="00742462">
              <w:t>0,5 %</w:t>
            </w:r>
            <w:r w:rsidR="00584D14" w:rsidRPr="00E455E1">
              <w:rPr>
                <w:i/>
                <w:sz w:val="18"/>
                <w:szCs w:val="18"/>
                <w:vertAlign w:val="superscript"/>
              </w:rPr>
              <w:t>a</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251799" w:rsidP="004F2633">
            <w:pPr>
              <w:spacing w:before="40" w:after="80" w:line="220" w:lineRule="atLeast"/>
              <w:ind w:right="113"/>
              <w:jc w:val="right"/>
              <w:rPr>
                <w:szCs w:val="18"/>
              </w:rPr>
            </w:pPr>
            <w:r w:rsidRPr="00251799">
              <w:rPr>
                <w:lang w:val="fr-FR"/>
              </w:rPr>
              <w:sym w:font="Symbol" w:char="F0B1"/>
            </w:r>
            <w:r w:rsidR="00742462">
              <w:t xml:space="preserve">1,0 Nm ou </w:t>
            </w:r>
            <w:r w:rsidRPr="00251799">
              <w:rPr>
                <w:lang w:val="fr-FR"/>
              </w:rPr>
              <w:sym w:font="Symbol" w:char="F0B1"/>
            </w:r>
            <w:r w:rsidR="00742462">
              <w:t>0,5 %</w:t>
            </w:r>
            <w:r w:rsidR="00584D14" w:rsidRPr="00E455E1">
              <w:rPr>
                <w:i/>
                <w:sz w:val="18"/>
                <w:szCs w:val="18"/>
                <w:vertAlign w:val="superscript"/>
              </w:rPr>
              <w:t>a</w:t>
            </w:r>
          </w:p>
        </w:tc>
      </w:tr>
      <w:tr w:rsidR="00742462" w:rsidRPr="00E16D27" w:rsidTr="0057043F">
        <w:tc>
          <w:tcPr>
            <w:tcW w:w="249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742462" w:rsidP="004F2633">
            <w:pPr>
              <w:spacing w:before="40" w:after="80" w:line="220" w:lineRule="atLeast"/>
              <w:ind w:right="113"/>
              <w:rPr>
                <w:szCs w:val="18"/>
              </w:rPr>
            </w:pPr>
            <w:r>
              <w:t>Distance</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251799" w:rsidP="004F2633">
            <w:pPr>
              <w:spacing w:before="40" w:after="80" w:line="220" w:lineRule="atLeast"/>
              <w:ind w:right="113"/>
              <w:jc w:val="right"/>
              <w:rPr>
                <w:szCs w:val="18"/>
              </w:rPr>
            </w:pPr>
            <w:r w:rsidRPr="00251799">
              <w:rPr>
                <w:lang w:val="fr-FR"/>
              </w:rPr>
              <w:sym w:font="Symbol" w:char="F0B1"/>
            </w:r>
            <w:r w:rsidR="00742462">
              <w:t>1 mm</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251799" w:rsidP="004F2633">
            <w:pPr>
              <w:spacing w:before="40" w:after="80" w:line="220" w:lineRule="atLeast"/>
              <w:ind w:right="113"/>
              <w:jc w:val="right"/>
              <w:rPr>
                <w:szCs w:val="18"/>
              </w:rPr>
            </w:pPr>
            <w:r w:rsidRPr="00251799">
              <w:rPr>
                <w:lang w:val="fr-FR"/>
              </w:rPr>
              <w:sym w:font="Symbol" w:char="F0B1"/>
            </w:r>
            <w:r w:rsidR="00742462">
              <w:t>1 mm</w:t>
            </w:r>
          </w:p>
        </w:tc>
      </w:tr>
      <w:tr w:rsidR="00742462" w:rsidRPr="00E16D27" w:rsidTr="0057043F">
        <w:tc>
          <w:tcPr>
            <w:tcW w:w="249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742462" w:rsidP="004F2633">
            <w:pPr>
              <w:spacing w:before="40" w:after="80" w:line="220" w:lineRule="atLeast"/>
              <w:ind w:right="113"/>
              <w:rPr>
                <w:szCs w:val="18"/>
              </w:rPr>
            </w:pPr>
            <w:r>
              <w:t>Puissance électrique</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251799" w:rsidP="004F2633">
            <w:pPr>
              <w:spacing w:before="40" w:after="80" w:line="220" w:lineRule="atLeast"/>
              <w:ind w:right="113"/>
              <w:jc w:val="right"/>
              <w:rPr>
                <w:szCs w:val="18"/>
              </w:rPr>
            </w:pPr>
            <w:r w:rsidRPr="00251799">
              <w:rPr>
                <w:lang w:val="fr-FR"/>
              </w:rPr>
              <w:sym w:font="Symbol" w:char="F0B1"/>
            </w:r>
            <w:r w:rsidR="00742462">
              <w:t>10 W</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742462" w:rsidRPr="00E16D27" w:rsidRDefault="00251799" w:rsidP="004F2633">
            <w:pPr>
              <w:spacing w:before="40" w:after="80" w:line="220" w:lineRule="atLeast"/>
              <w:ind w:right="113"/>
              <w:jc w:val="right"/>
              <w:rPr>
                <w:szCs w:val="18"/>
              </w:rPr>
            </w:pPr>
            <w:r w:rsidRPr="00251799">
              <w:rPr>
                <w:lang w:val="fr-FR"/>
              </w:rPr>
              <w:sym w:font="Symbol" w:char="F0B1"/>
            </w:r>
            <w:r w:rsidR="00742462">
              <w:t>20 W</w:t>
            </w:r>
          </w:p>
        </w:tc>
      </w:tr>
      <w:tr w:rsidR="00742462" w:rsidRPr="00E16D27" w:rsidTr="0057043F">
        <w:tc>
          <w:tcPr>
            <w:tcW w:w="2495" w:type="dxa"/>
            <w:tcBorders>
              <w:top w:val="single" w:sz="4" w:space="0" w:color="auto"/>
              <w:left w:val="single" w:sz="4" w:space="0" w:color="auto"/>
              <w:bottom w:val="nil"/>
              <w:right w:val="single" w:sz="4" w:space="0" w:color="auto"/>
            </w:tcBorders>
            <w:shd w:val="clear" w:color="auto" w:fill="auto"/>
          </w:tcPr>
          <w:p w:rsidR="00742462" w:rsidRPr="00E16D27" w:rsidRDefault="00742462" w:rsidP="004F2633">
            <w:pPr>
              <w:spacing w:before="40" w:after="80" w:line="220" w:lineRule="atLeast"/>
              <w:ind w:right="113"/>
              <w:rPr>
                <w:szCs w:val="18"/>
              </w:rPr>
            </w:pPr>
            <w:r>
              <w:t>Température</w:t>
            </w:r>
          </w:p>
        </w:tc>
        <w:tc>
          <w:tcPr>
            <w:tcW w:w="6010" w:type="dxa"/>
            <w:gridSpan w:val="2"/>
            <w:tcBorders>
              <w:top w:val="single" w:sz="4" w:space="0" w:color="auto"/>
              <w:left w:val="single" w:sz="4" w:space="0" w:color="auto"/>
              <w:bottom w:val="nil"/>
              <w:right w:val="single" w:sz="4" w:space="0" w:color="auto"/>
            </w:tcBorders>
            <w:shd w:val="clear" w:color="auto" w:fill="auto"/>
          </w:tcPr>
          <w:p w:rsidR="00742462" w:rsidRPr="00E16D27" w:rsidRDefault="00251799" w:rsidP="004F2633">
            <w:pPr>
              <w:spacing w:before="40" w:after="80" w:line="220" w:lineRule="atLeast"/>
              <w:ind w:right="113"/>
              <w:jc w:val="center"/>
              <w:rPr>
                <w:szCs w:val="18"/>
              </w:rPr>
            </w:pPr>
            <w:r w:rsidRPr="00251799">
              <w:rPr>
                <w:lang w:val="fr-FR"/>
              </w:rPr>
              <w:sym w:font="Symbol" w:char="F0B1"/>
            </w:r>
            <w:r w:rsidR="00742462">
              <w:t>0,2 °C</w:t>
            </w:r>
          </w:p>
        </w:tc>
      </w:tr>
      <w:tr w:rsidR="00742462" w:rsidRPr="00E16D27" w:rsidTr="0057043F">
        <w:tc>
          <w:tcPr>
            <w:tcW w:w="2495" w:type="dxa"/>
            <w:tcBorders>
              <w:top w:val="nil"/>
              <w:left w:val="single" w:sz="4" w:space="0" w:color="auto"/>
              <w:bottom w:val="nil"/>
              <w:right w:val="single" w:sz="4" w:space="0" w:color="auto"/>
            </w:tcBorders>
            <w:shd w:val="clear" w:color="auto" w:fill="auto"/>
          </w:tcPr>
          <w:p w:rsidR="00742462" w:rsidRPr="00E16D27" w:rsidRDefault="00742462" w:rsidP="004F2633">
            <w:pPr>
              <w:spacing w:before="40" w:after="80" w:line="220" w:lineRule="atLeast"/>
              <w:ind w:right="113"/>
              <w:rPr>
                <w:szCs w:val="18"/>
              </w:rPr>
            </w:pPr>
            <w:r>
              <w:t>Vitesse de la surface d</w:t>
            </w:r>
            <w:r w:rsidR="00E42E9D">
              <w:t>’</w:t>
            </w:r>
            <w:r>
              <w:t>essai</w:t>
            </w:r>
          </w:p>
        </w:tc>
        <w:tc>
          <w:tcPr>
            <w:tcW w:w="6010" w:type="dxa"/>
            <w:gridSpan w:val="2"/>
            <w:tcBorders>
              <w:top w:val="nil"/>
              <w:left w:val="single" w:sz="4" w:space="0" w:color="auto"/>
              <w:bottom w:val="nil"/>
              <w:right w:val="single" w:sz="4" w:space="0" w:color="auto"/>
            </w:tcBorders>
            <w:shd w:val="clear" w:color="auto" w:fill="auto"/>
          </w:tcPr>
          <w:p w:rsidR="00742462" w:rsidRPr="00E16D27" w:rsidRDefault="00251799" w:rsidP="004F2633">
            <w:pPr>
              <w:spacing w:before="40" w:after="80" w:line="220" w:lineRule="atLeast"/>
              <w:ind w:right="113"/>
              <w:jc w:val="center"/>
              <w:rPr>
                <w:szCs w:val="18"/>
              </w:rPr>
            </w:pPr>
            <w:r w:rsidRPr="00251799">
              <w:rPr>
                <w:lang w:val="fr-FR"/>
              </w:rPr>
              <w:sym w:font="Symbol" w:char="F0B1"/>
            </w:r>
            <w:r w:rsidR="00742462">
              <w:t>0,1 km/h</w:t>
            </w:r>
          </w:p>
        </w:tc>
      </w:tr>
      <w:tr w:rsidR="00742462" w:rsidRPr="00E16D27" w:rsidTr="0057043F">
        <w:tc>
          <w:tcPr>
            <w:tcW w:w="2495" w:type="dxa"/>
            <w:tcBorders>
              <w:top w:val="nil"/>
              <w:left w:val="single" w:sz="4" w:space="0" w:color="auto"/>
              <w:bottom w:val="nil"/>
              <w:right w:val="single" w:sz="4" w:space="0" w:color="auto"/>
            </w:tcBorders>
            <w:shd w:val="clear" w:color="auto" w:fill="auto"/>
          </w:tcPr>
          <w:p w:rsidR="00742462" w:rsidRPr="00E16D27" w:rsidRDefault="00742462" w:rsidP="004F2633">
            <w:pPr>
              <w:spacing w:before="40" w:after="80" w:line="220" w:lineRule="atLeast"/>
              <w:ind w:right="113"/>
              <w:rPr>
                <w:szCs w:val="18"/>
              </w:rPr>
            </w:pPr>
            <w:r>
              <w:t>Temps</w:t>
            </w:r>
          </w:p>
        </w:tc>
        <w:tc>
          <w:tcPr>
            <w:tcW w:w="6010" w:type="dxa"/>
            <w:gridSpan w:val="2"/>
            <w:tcBorders>
              <w:top w:val="nil"/>
              <w:left w:val="single" w:sz="4" w:space="0" w:color="auto"/>
              <w:bottom w:val="nil"/>
              <w:right w:val="single" w:sz="4" w:space="0" w:color="auto"/>
            </w:tcBorders>
            <w:shd w:val="clear" w:color="auto" w:fill="auto"/>
          </w:tcPr>
          <w:p w:rsidR="00742462" w:rsidRPr="00E16D27" w:rsidRDefault="00251799" w:rsidP="00584D14">
            <w:pPr>
              <w:spacing w:before="40" w:after="80" w:line="220" w:lineRule="atLeast"/>
              <w:ind w:right="113"/>
              <w:jc w:val="center"/>
              <w:rPr>
                <w:b/>
                <w:szCs w:val="18"/>
              </w:rPr>
            </w:pPr>
            <w:r w:rsidRPr="00251799">
              <w:rPr>
                <w:lang w:val="fr-FR"/>
              </w:rPr>
              <w:sym w:font="Symbol" w:char="F0B1"/>
            </w:r>
            <w:r w:rsidR="00742462" w:rsidRPr="006F26EF">
              <w:rPr>
                <w:b/>
              </w:rPr>
              <w:t>0,01 s</w:t>
            </w:r>
            <w:r w:rsidR="00742462">
              <w:rPr>
                <w:b/>
              </w:rPr>
              <w:t xml:space="preserve"> - </w:t>
            </w:r>
            <w:r w:rsidRPr="00251799">
              <w:rPr>
                <w:lang w:val="fr-FR"/>
              </w:rPr>
              <w:sym w:font="Symbol" w:char="F0B1"/>
            </w:r>
            <w:r w:rsidR="00742462">
              <w:t xml:space="preserve"> 0,1</w:t>
            </w:r>
            <w:r w:rsidR="0086678F">
              <w:t> %</w:t>
            </w:r>
            <w:r w:rsidR="00742462">
              <w:t xml:space="preserve"> - </w:t>
            </w:r>
            <w:r w:rsidRPr="00251799">
              <w:rPr>
                <w:lang w:val="fr-FR"/>
              </w:rPr>
              <w:sym w:font="Symbol" w:char="F0B1"/>
            </w:r>
            <w:r w:rsidR="00742462">
              <w:t xml:space="preserve"> 10 s</w:t>
            </w:r>
            <w:r w:rsidR="00742462" w:rsidRPr="00584D14">
              <w:rPr>
                <w:i/>
                <w:sz w:val="18"/>
                <w:szCs w:val="18"/>
                <w:vertAlign w:val="superscript"/>
              </w:rPr>
              <w:t>b</w:t>
            </w:r>
          </w:p>
        </w:tc>
      </w:tr>
      <w:tr w:rsidR="00742462" w:rsidRPr="00E16D27" w:rsidTr="0057043F">
        <w:tc>
          <w:tcPr>
            <w:tcW w:w="2495" w:type="dxa"/>
            <w:tcBorders>
              <w:top w:val="nil"/>
              <w:left w:val="single" w:sz="4" w:space="0" w:color="auto"/>
              <w:bottom w:val="single" w:sz="12" w:space="0" w:color="auto"/>
              <w:right w:val="single" w:sz="4" w:space="0" w:color="auto"/>
            </w:tcBorders>
            <w:shd w:val="clear" w:color="auto" w:fill="auto"/>
          </w:tcPr>
          <w:p w:rsidR="00742462" w:rsidRPr="00E16D27" w:rsidRDefault="00742462" w:rsidP="004F2633">
            <w:pPr>
              <w:spacing w:before="40" w:after="80" w:line="220" w:lineRule="atLeast"/>
              <w:ind w:right="113"/>
              <w:rPr>
                <w:szCs w:val="18"/>
              </w:rPr>
            </w:pPr>
            <w:r>
              <w:t>Vitesse angulaire</w:t>
            </w:r>
          </w:p>
        </w:tc>
        <w:tc>
          <w:tcPr>
            <w:tcW w:w="6010" w:type="dxa"/>
            <w:gridSpan w:val="2"/>
            <w:tcBorders>
              <w:top w:val="nil"/>
              <w:left w:val="single" w:sz="4" w:space="0" w:color="auto"/>
              <w:bottom w:val="single" w:sz="12" w:space="0" w:color="auto"/>
              <w:right w:val="single" w:sz="4" w:space="0" w:color="auto"/>
            </w:tcBorders>
            <w:shd w:val="clear" w:color="auto" w:fill="auto"/>
          </w:tcPr>
          <w:p w:rsidR="00742462" w:rsidRPr="00E16D27" w:rsidRDefault="00251799" w:rsidP="004F2633">
            <w:pPr>
              <w:spacing w:before="40" w:after="80" w:line="220" w:lineRule="atLeast"/>
              <w:ind w:right="113"/>
              <w:jc w:val="center"/>
              <w:rPr>
                <w:szCs w:val="18"/>
              </w:rPr>
            </w:pPr>
            <w:r w:rsidRPr="00251799">
              <w:rPr>
                <w:lang w:val="fr-FR"/>
              </w:rPr>
              <w:sym w:font="Symbol" w:char="F0B1"/>
            </w:r>
            <w:r w:rsidR="00742462">
              <w:t>0,1 %</w:t>
            </w:r>
          </w:p>
        </w:tc>
      </w:tr>
    </w:tbl>
    <w:p w:rsidR="00742462" w:rsidRPr="0057043F" w:rsidRDefault="00742462" w:rsidP="00584D14">
      <w:pPr>
        <w:spacing w:before="240"/>
        <w:ind w:left="1134" w:firstLine="170"/>
        <w:rPr>
          <w:sz w:val="18"/>
        </w:rPr>
      </w:pPr>
      <w:r w:rsidRPr="00584D14">
        <w:rPr>
          <w:i/>
          <w:sz w:val="18"/>
          <w:vertAlign w:val="superscript"/>
        </w:rPr>
        <w:t>a</w:t>
      </w:r>
      <w:r w:rsidRPr="0057043F">
        <w:rPr>
          <w:sz w:val="18"/>
        </w:rPr>
        <w:tab/>
      </w:r>
      <w:r w:rsidRPr="00584D14">
        <w:rPr>
          <w:sz w:val="18"/>
          <w:szCs w:val="18"/>
        </w:rPr>
        <w:t>La plus grande de ces deux valeurs est retenue.</w:t>
      </w:r>
    </w:p>
    <w:p w:rsidR="00742462" w:rsidRPr="0057043F" w:rsidRDefault="00742462" w:rsidP="001350B6">
      <w:pPr>
        <w:ind w:left="1701" w:hanging="397"/>
        <w:rPr>
          <w:sz w:val="18"/>
        </w:rPr>
      </w:pPr>
      <w:r w:rsidRPr="00584D14">
        <w:rPr>
          <w:i/>
          <w:sz w:val="18"/>
          <w:vertAlign w:val="superscript"/>
        </w:rPr>
        <w:t>b</w:t>
      </w:r>
      <w:r w:rsidRPr="0057043F">
        <w:rPr>
          <w:sz w:val="18"/>
        </w:rPr>
        <w:tab/>
      </w:r>
      <w:r w:rsidR="00251799" w:rsidRPr="00251799">
        <w:rPr>
          <w:b/>
          <w:sz w:val="18"/>
          <w:lang w:val="fr-FR"/>
        </w:rPr>
        <w:sym w:font="Symbol" w:char="F0B1"/>
      </w:r>
      <w:r w:rsidRPr="0057043F">
        <w:rPr>
          <w:b/>
          <w:sz w:val="18"/>
        </w:rPr>
        <w:t>0,01 s pour les incréments de temps indiqués à l</w:t>
      </w:r>
      <w:r w:rsidR="00E42E9D">
        <w:rPr>
          <w:b/>
          <w:sz w:val="18"/>
        </w:rPr>
        <w:t>’</w:t>
      </w:r>
      <w:r w:rsidRPr="0057043F">
        <w:rPr>
          <w:b/>
          <w:sz w:val="18"/>
        </w:rPr>
        <w:t>alinéa </w:t>
      </w:r>
      <w:r w:rsidRPr="0086678F">
        <w:rPr>
          <w:b/>
          <w:i/>
          <w:sz w:val="18"/>
        </w:rPr>
        <w:t>b</w:t>
      </w:r>
      <w:r w:rsidRPr="0057043F">
        <w:rPr>
          <w:b/>
          <w:sz w:val="18"/>
        </w:rPr>
        <w:t xml:space="preserve"> du paragraphe 3.5 de l</w:t>
      </w:r>
      <w:r w:rsidR="00E42E9D">
        <w:rPr>
          <w:b/>
          <w:sz w:val="18"/>
        </w:rPr>
        <w:t>’</w:t>
      </w:r>
      <w:r w:rsidRPr="0057043F">
        <w:rPr>
          <w:b/>
          <w:sz w:val="18"/>
        </w:rPr>
        <w:t>annexe 6 pour l</w:t>
      </w:r>
      <w:r w:rsidR="00E42E9D">
        <w:rPr>
          <w:b/>
          <w:sz w:val="18"/>
        </w:rPr>
        <w:t>’</w:t>
      </w:r>
      <w:r w:rsidRPr="0057043F">
        <w:rPr>
          <w:b/>
          <w:sz w:val="18"/>
        </w:rPr>
        <w:t>acquisition des données dans le cadre de la méthode de décélération, sous la forme ∆ω/∆t;</w:t>
      </w:r>
      <w:r w:rsidR="001350B6">
        <w:rPr>
          <w:b/>
          <w:sz w:val="18"/>
        </w:rPr>
        <w:br/>
      </w:r>
      <w:r w:rsidR="00251799" w:rsidRPr="00251799">
        <w:rPr>
          <w:b/>
          <w:sz w:val="18"/>
          <w:lang w:val="fr-FR"/>
        </w:rPr>
        <w:sym w:font="Symbol" w:char="F0B1"/>
      </w:r>
      <w:r w:rsidRPr="0057043F">
        <w:rPr>
          <w:b/>
          <w:sz w:val="18"/>
        </w:rPr>
        <w:t>0,1 % pour les incréments de temps indiqués à l</w:t>
      </w:r>
      <w:r w:rsidR="00E42E9D">
        <w:rPr>
          <w:b/>
          <w:sz w:val="18"/>
        </w:rPr>
        <w:t>’</w:t>
      </w:r>
      <w:r w:rsidRPr="0057043F">
        <w:rPr>
          <w:b/>
          <w:sz w:val="18"/>
        </w:rPr>
        <w:t>alinéa </w:t>
      </w:r>
      <w:r w:rsidRPr="0086678F">
        <w:rPr>
          <w:b/>
          <w:i/>
          <w:sz w:val="18"/>
        </w:rPr>
        <w:t>a</w:t>
      </w:r>
      <w:r w:rsidRPr="0057043F">
        <w:rPr>
          <w:b/>
          <w:sz w:val="18"/>
        </w:rPr>
        <w:t xml:space="preserve"> du paragraphe 3.5 de l</w:t>
      </w:r>
      <w:r w:rsidR="00E42E9D">
        <w:rPr>
          <w:b/>
          <w:sz w:val="18"/>
        </w:rPr>
        <w:t>’</w:t>
      </w:r>
      <w:r w:rsidRPr="0057043F">
        <w:rPr>
          <w:b/>
          <w:sz w:val="18"/>
        </w:rPr>
        <w:t>annexe 6 pour l</w:t>
      </w:r>
      <w:r w:rsidR="00E42E9D">
        <w:rPr>
          <w:b/>
          <w:sz w:val="18"/>
        </w:rPr>
        <w:t>’</w:t>
      </w:r>
      <w:r w:rsidRPr="0057043F">
        <w:rPr>
          <w:b/>
          <w:sz w:val="18"/>
        </w:rPr>
        <w:t>acquisition des données dans le cadre de la méthode de décélération, sous la forme dω/dt</w:t>
      </w:r>
      <w:r w:rsidR="00E42E9D">
        <w:rPr>
          <w:b/>
          <w:sz w:val="18"/>
        </w:rPr>
        <w:t>;</w:t>
      </w:r>
      <w:r w:rsidR="004F2633">
        <w:rPr>
          <w:b/>
          <w:sz w:val="18"/>
        </w:rPr>
        <w:br/>
      </w:r>
      <w:r w:rsidR="00251799" w:rsidRPr="00251799">
        <w:rPr>
          <w:b/>
          <w:sz w:val="18"/>
          <w:lang w:val="fr-FR"/>
        </w:rPr>
        <w:sym w:font="Symbol" w:char="F0B1"/>
      </w:r>
      <w:r w:rsidRPr="0057043F">
        <w:rPr>
          <w:b/>
          <w:sz w:val="18"/>
        </w:rPr>
        <w:t xml:space="preserve"> 10 sec pour les autres durées indiquées à l</w:t>
      </w:r>
      <w:r w:rsidR="00E42E9D">
        <w:rPr>
          <w:b/>
          <w:sz w:val="18"/>
        </w:rPr>
        <w:t>’</w:t>
      </w:r>
      <w:r w:rsidR="0086678F">
        <w:rPr>
          <w:b/>
          <w:sz w:val="18"/>
        </w:rPr>
        <w:t>annexe </w:t>
      </w:r>
      <w:r w:rsidRPr="0057043F">
        <w:rPr>
          <w:b/>
          <w:sz w:val="18"/>
        </w:rPr>
        <w:t>6</w:t>
      </w:r>
      <w:r w:rsidRPr="008050ED">
        <w:rPr>
          <w:sz w:val="18"/>
        </w:rPr>
        <w:t>».</w:t>
      </w:r>
    </w:p>
    <w:p w:rsidR="00742462" w:rsidRPr="0087389B" w:rsidRDefault="00742462" w:rsidP="0087389B">
      <w:pPr>
        <w:pStyle w:val="HChG"/>
      </w:pPr>
      <w:r>
        <w:br w:type="page"/>
      </w:r>
      <w:r w:rsidRPr="0087389B">
        <w:lastRenderedPageBreak/>
        <w:t>Annexe VI</w:t>
      </w:r>
    </w:p>
    <w:p w:rsidR="00E01A0A" w:rsidRDefault="00742462" w:rsidP="0087389B">
      <w:pPr>
        <w:pStyle w:val="HChG"/>
      </w:pPr>
      <w:r>
        <w:tab/>
      </w:r>
      <w:r>
        <w:tab/>
      </w:r>
      <w:r w:rsidRPr="0087389B">
        <w:t xml:space="preserve">Amendements au Règlement </w:t>
      </w:r>
      <w:r w:rsidR="0086678F" w:rsidRPr="0086678F">
        <w:t>n</w:t>
      </w:r>
      <w:r w:rsidR="0086678F" w:rsidRPr="0086678F">
        <w:rPr>
          <w:vertAlign w:val="superscript"/>
        </w:rPr>
        <w:t>o</w:t>
      </w:r>
      <w:r w:rsidR="0086678F" w:rsidRPr="0086678F">
        <w:t> </w:t>
      </w:r>
      <w:r w:rsidRPr="0087389B">
        <w:t>117 adoptés (sur la base</w:t>
      </w:r>
      <w:r w:rsidR="004F2633">
        <w:br/>
      </w:r>
      <w:r w:rsidRPr="0087389B">
        <w:t>du document GRB-61-14)</w:t>
      </w:r>
    </w:p>
    <w:p w:rsidR="00E01A0A" w:rsidRDefault="00742462" w:rsidP="0057043F">
      <w:pPr>
        <w:pStyle w:val="SingleTxtG"/>
      </w:pPr>
      <w:r w:rsidRPr="0057043F">
        <w:rPr>
          <w:i/>
        </w:rPr>
        <w:t xml:space="preserve">Annexe 3, </w:t>
      </w:r>
      <w:r w:rsidR="0086678F">
        <w:rPr>
          <w:i/>
        </w:rPr>
        <w:t>paragraphe </w:t>
      </w:r>
      <w:r w:rsidRPr="0057043F">
        <w:rPr>
          <w:i/>
        </w:rPr>
        <w:t>2.1, troisième alinéa, dernière phrase</w:t>
      </w:r>
      <w:r w:rsidRPr="00981643">
        <w:t>, remplacer «ISO 10844:2011» par «</w:t>
      </w:r>
      <w:r w:rsidR="0086678F">
        <w:t>ISO </w:t>
      </w:r>
      <w:r w:rsidRPr="00981643">
        <w:t>10844:2014».</w:t>
      </w:r>
    </w:p>
    <w:p w:rsidR="00E01A0A" w:rsidRDefault="00742462" w:rsidP="0057043F">
      <w:pPr>
        <w:pStyle w:val="SingleTxtG"/>
      </w:pPr>
      <w:r w:rsidRPr="00981643">
        <w:rPr>
          <w:i/>
        </w:rPr>
        <w:t xml:space="preserve">Annexe 3, appendice 1, partie 2, </w:t>
      </w:r>
      <w:r w:rsidR="0086678F">
        <w:rPr>
          <w:i/>
        </w:rPr>
        <w:t>point </w:t>
      </w:r>
      <w:r w:rsidRPr="00981643">
        <w:rPr>
          <w:i/>
        </w:rPr>
        <w:t>3.1</w:t>
      </w:r>
      <w:r w:rsidRPr="00981643">
        <w:t>,</w:t>
      </w:r>
      <w:r>
        <w:t xml:space="preserve"> </w:t>
      </w:r>
      <w:r w:rsidRPr="00981643">
        <w:t>remplacer «</w:t>
      </w:r>
      <w:r w:rsidR="0086678F">
        <w:t>ISO </w:t>
      </w:r>
      <w:r w:rsidRPr="00981643">
        <w:t>10844:2011» par «</w:t>
      </w:r>
      <w:r w:rsidR="0086678F">
        <w:t>ISO </w:t>
      </w:r>
      <w:r w:rsidRPr="00981643">
        <w:t>10844:2014</w:t>
      </w:r>
      <w:r w:rsidR="00E455E1">
        <w:t>»</w:t>
      </w:r>
      <w:r w:rsidRPr="00981643">
        <w:t>.</w:t>
      </w:r>
    </w:p>
    <w:p w:rsidR="00E01A0A" w:rsidRDefault="00742462" w:rsidP="0087389B">
      <w:pPr>
        <w:pStyle w:val="HChG"/>
      </w:pPr>
      <w:r>
        <w:br w:type="page"/>
      </w:r>
      <w:r w:rsidRPr="0087389B">
        <w:lastRenderedPageBreak/>
        <w:t>Annexe VII</w:t>
      </w:r>
    </w:p>
    <w:p w:rsidR="00742462" w:rsidRPr="0087389B" w:rsidRDefault="00742462" w:rsidP="0087389B">
      <w:pPr>
        <w:pStyle w:val="HChG"/>
      </w:pPr>
      <w:r>
        <w:tab/>
      </w:r>
      <w:r>
        <w:tab/>
      </w:r>
      <w:r w:rsidRPr="0087389B">
        <w:t xml:space="preserve">Amendements au Règlement </w:t>
      </w:r>
      <w:r w:rsidR="0086678F" w:rsidRPr="0086678F">
        <w:t>n</w:t>
      </w:r>
      <w:r w:rsidR="0086678F" w:rsidRPr="0086678F">
        <w:rPr>
          <w:vertAlign w:val="superscript"/>
        </w:rPr>
        <w:t>o</w:t>
      </w:r>
      <w:r w:rsidR="0086678F" w:rsidRPr="0086678F">
        <w:t> </w:t>
      </w:r>
      <w:r w:rsidRPr="0087389B">
        <w:t>9 adoptés (sur la base</w:t>
      </w:r>
      <w:r w:rsidR="004F2633">
        <w:br/>
      </w:r>
      <w:r w:rsidRPr="0087389B">
        <w:t>du document ECE/TRANS/WP.29/GRB/2015/5)</w:t>
      </w:r>
    </w:p>
    <w:p w:rsidR="00742462" w:rsidRPr="00981643" w:rsidRDefault="00742462" w:rsidP="00E01A0A">
      <w:pPr>
        <w:pStyle w:val="SingleTxtG"/>
        <w:keepNext/>
      </w:pPr>
      <w:r w:rsidRPr="00981643">
        <w:rPr>
          <w:i/>
        </w:rPr>
        <w:t>Ajouter de nouveaux paragraphes</w:t>
      </w:r>
      <w:r w:rsidRPr="00981643">
        <w:t>, ainsi conçus:</w:t>
      </w:r>
    </w:p>
    <w:p w:rsidR="00742462" w:rsidRPr="00981643" w:rsidRDefault="00742462" w:rsidP="008F5558">
      <w:pPr>
        <w:pStyle w:val="SingleTxtG"/>
        <w:spacing w:after="100" w:line="238" w:lineRule="atLeast"/>
        <w:ind w:left="2268" w:hanging="1134"/>
        <w:rPr>
          <w:b/>
          <w:bCs/>
        </w:rPr>
      </w:pPr>
      <w:r w:rsidRPr="00981643">
        <w:t>«</w:t>
      </w:r>
      <w:r w:rsidRPr="00981643">
        <w:rPr>
          <w:b/>
        </w:rPr>
        <w:t>11.7</w:t>
      </w:r>
      <w:r w:rsidR="00E01A0A">
        <w:rPr>
          <w:b/>
        </w:rPr>
        <w:tab/>
      </w:r>
      <w:r w:rsidRPr="00981643">
        <w:rPr>
          <w:b/>
        </w:rPr>
        <w:t>À compter de la date officielle d</w:t>
      </w:r>
      <w:r w:rsidR="00E42E9D">
        <w:rPr>
          <w:b/>
        </w:rPr>
        <w:t>’</w:t>
      </w:r>
      <w:r w:rsidRPr="00981643">
        <w:rPr>
          <w:b/>
        </w:rPr>
        <w:t xml:space="preserve">entrée en vigueur du </w:t>
      </w:r>
      <w:r w:rsidR="0086678F">
        <w:rPr>
          <w:b/>
        </w:rPr>
        <w:t>complément </w:t>
      </w:r>
      <w:r w:rsidRPr="00981643">
        <w:rPr>
          <w:b/>
        </w:rPr>
        <w:t xml:space="preserve">1 à la </w:t>
      </w:r>
      <w:r w:rsidR="0086678F">
        <w:rPr>
          <w:b/>
        </w:rPr>
        <w:t>série </w:t>
      </w:r>
      <w:r w:rsidRPr="00981643">
        <w:rPr>
          <w:b/>
        </w:rPr>
        <w:t>07 d</w:t>
      </w:r>
      <w:r w:rsidR="00E42E9D">
        <w:rPr>
          <w:b/>
        </w:rPr>
        <w:t>’</w:t>
      </w:r>
      <w:r w:rsidRPr="00981643">
        <w:rPr>
          <w:b/>
        </w:rPr>
        <w:t>amendements, aucune Partie contractante appliquant le présent Règlement ne pourra refuser d</w:t>
      </w:r>
      <w:r w:rsidR="00E42E9D">
        <w:rPr>
          <w:b/>
        </w:rPr>
        <w:t>’</w:t>
      </w:r>
      <w:r w:rsidRPr="00981643">
        <w:rPr>
          <w:b/>
        </w:rPr>
        <w:t>accorder ou d</w:t>
      </w:r>
      <w:r w:rsidR="00E42E9D">
        <w:rPr>
          <w:b/>
        </w:rPr>
        <w:t>’</w:t>
      </w:r>
      <w:r w:rsidRPr="00981643">
        <w:rPr>
          <w:b/>
        </w:rPr>
        <w:t>accepter une homologation de type au titre dudit complément.</w:t>
      </w:r>
    </w:p>
    <w:p w:rsidR="00742462" w:rsidRPr="00981643" w:rsidRDefault="00742462" w:rsidP="008F5558">
      <w:pPr>
        <w:pStyle w:val="SingleTxtG"/>
        <w:spacing w:after="100" w:line="238" w:lineRule="atLeast"/>
        <w:ind w:left="2268" w:hanging="1134"/>
        <w:rPr>
          <w:b/>
        </w:rPr>
      </w:pPr>
      <w:r w:rsidRPr="00981643">
        <w:rPr>
          <w:b/>
        </w:rPr>
        <w:t>11.8</w:t>
      </w:r>
      <w:r w:rsidR="00E01A0A">
        <w:rPr>
          <w:b/>
        </w:rPr>
        <w:tab/>
      </w:r>
      <w:r w:rsidRPr="00981643">
        <w:rPr>
          <w:b/>
        </w:rPr>
        <w:t>Passé un délai de 60</w:t>
      </w:r>
      <w:r w:rsidR="0086678F">
        <w:rPr>
          <w:b/>
        </w:rPr>
        <w:t> mois</w:t>
      </w:r>
      <w:r w:rsidRPr="00981643">
        <w:rPr>
          <w:b/>
        </w:rPr>
        <w:t xml:space="preserve"> à compter de la date d</w:t>
      </w:r>
      <w:r w:rsidR="00E42E9D">
        <w:rPr>
          <w:b/>
        </w:rPr>
        <w:t>’</w:t>
      </w:r>
      <w:r w:rsidRPr="00981643">
        <w:rPr>
          <w:b/>
        </w:rPr>
        <w:t xml:space="preserve">entrée en vigueur du </w:t>
      </w:r>
      <w:r w:rsidR="0086678F">
        <w:rPr>
          <w:b/>
        </w:rPr>
        <w:t>complément </w:t>
      </w:r>
      <w:r w:rsidRPr="00981643">
        <w:rPr>
          <w:b/>
        </w:rPr>
        <w:t xml:space="preserve">1 à la </w:t>
      </w:r>
      <w:r w:rsidR="0086678F">
        <w:rPr>
          <w:b/>
        </w:rPr>
        <w:t>série </w:t>
      </w:r>
      <w:r w:rsidRPr="00981643">
        <w:rPr>
          <w:b/>
        </w:rPr>
        <w:t>07 d</w:t>
      </w:r>
      <w:r w:rsidR="00E42E9D">
        <w:rPr>
          <w:b/>
        </w:rPr>
        <w:t>’</w:t>
      </w:r>
      <w:r w:rsidRPr="00981643">
        <w:rPr>
          <w:b/>
        </w:rPr>
        <w:t>amendements au présent Règlement, les Parties contractantes appliquant le présent Règlement ne pourront accorder des homologations de type que si les types des véhicules concernés satisfont aux prescriptions du présent Règlement tel que modifié par ledit complément.</w:t>
      </w:r>
      <w:r w:rsidRPr="00981643">
        <w:t>».</w:t>
      </w:r>
    </w:p>
    <w:p w:rsidR="00742462" w:rsidRPr="00981643" w:rsidRDefault="00742462" w:rsidP="0057043F">
      <w:pPr>
        <w:pStyle w:val="SingleTxtG"/>
      </w:pPr>
      <w:r w:rsidRPr="00981643">
        <w:rPr>
          <w:i/>
        </w:rPr>
        <w:t>Annexe 1</w:t>
      </w:r>
      <w:r w:rsidRPr="00981643">
        <w:t>,</w:t>
      </w:r>
    </w:p>
    <w:p w:rsidR="00742462" w:rsidRPr="00981643" w:rsidRDefault="0086678F" w:rsidP="0057043F">
      <w:pPr>
        <w:pStyle w:val="SingleTxtG"/>
      </w:pPr>
      <w:r>
        <w:rPr>
          <w:i/>
        </w:rPr>
        <w:t>Point </w:t>
      </w:r>
      <w:r w:rsidR="00742462" w:rsidRPr="00981643">
        <w:rPr>
          <w:i/>
        </w:rPr>
        <w:t>19</w:t>
      </w:r>
      <w:r w:rsidR="00742462" w:rsidRPr="00981643">
        <w:t>, supprimer.</w:t>
      </w:r>
    </w:p>
    <w:p w:rsidR="00742462" w:rsidRPr="00981643" w:rsidRDefault="00742462" w:rsidP="0057043F">
      <w:pPr>
        <w:pStyle w:val="SingleTxtG"/>
      </w:pPr>
      <w:r w:rsidRPr="00981643">
        <w:rPr>
          <w:i/>
        </w:rPr>
        <w:t xml:space="preserve">Les </w:t>
      </w:r>
      <w:r w:rsidR="0086678F">
        <w:rPr>
          <w:i/>
        </w:rPr>
        <w:t>points </w:t>
      </w:r>
      <w:r w:rsidRPr="00981643">
        <w:rPr>
          <w:i/>
        </w:rPr>
        <w:t>20 à 29</w:t>
      </w:r>
      <w:r w:rsidRPr="00981643">
        <w:t xml:space="preserve"> deviennent les </w:t>
      </w:r>
      <w:r w:rsidR="0086678F">
        <w:t>points </w:t>
      </w:r>
      <w:r w:rsidRPr="00981643">
        <w:t>19 à 28.</w:t>
      </w:r>
    </w:p>
    <w:p w:rsidR="00E01A0A" w:rsidRDefault="00742462" w:rsidP="00E01A0A">
      <w:pPr>
        <w:pStyle w:val="SingleTxtG"/>
        <w:keepNext/>
      </w:pPr>
      <w:r w:rsidRPr="00981643">
        <w:rPr>
          <w:i/>
        </w:rPr>
        <w:t xml:space="preserve">Annexe 3, </w:t>
      </w:r>
      <w:r w:rsidR="0086678F">
        <w:rPr>
          <w:i/>
        </w:rPr>
        <w:t>paragraphe </w:t>
      </w:r>
      <w:r w:rsidRPr="00981643">
        <w:rPr>
          <w:i/>
        </w:rPr>
        <w:t>2.2</w:t>
      </w:r>
      <w:r w:rsidRPr="00981643">
        <w:t>, modifier comme suit:</w:t>
      </w:r>
    </w:p>
    <w:p w:rsidR="00742462" w:rsidRPr="00981643" w:rsidRDefault="00742462" w:rsidP="008F5558">
      <w:pPr>
        <w:pStyle w:val="SingleTxtG"/>
      </w:pPr>
      <w:r w:rsidRPr="00981643">
        <w:t>«2.2</w:t>
      </w:r>
      <w:r w:rsidR="00E01A0A">
        <w:tab/>
      </w:r>
      <w:r w:rsidRPr="00981643">
        <w:tab/>
        <w:t>Le terrain d</w:t>
      </w:r>
      <w:r w:rsidR="00E42E9D">
        <w:t>’</w:t>
      </w:r>
      <w:r w:rsidRPr="00981643">
        <w:t>essai (...) à être peu bruyant.</w:t>
      </w:r>
    </w:p>
    <w:p w:rsidR="00742462" w:rsidRPr="00981643" w:rsidRDefault="00742462" w:rsidP="008F5558">
      <w:pPr>
        <w:pStyle w:val="SingleTxtG"/>
        <w:ind w:left="2268"/>
      </w:pPr>
      <w:r w:rsidRPr="00981643">
        <w:t>Sur le terrain d</w:t>
      </w:r>
      <w:r w:rsidR="00E42E9D">
        <w:t>’</w:t>
      </w:r>
      <w:r w:rsidRPr="00981643">
        <w:t>essai (...) de la piste d</w:t>
      </w:r>
      <w:r w:rsidR="00E42E9D">
        <w:t>’</w:t>
      </w:r>
      <w:r w:rsidRPr="00981643">
        <w:t>accélération. Le revêtement de la piste d</w:t>
      </w:r>
      <w:r w:rsidR="00E42E9D">
        <w:t>’</w:t>
      </w:r>
      <w:r w:rsidRPr="00981643">
        <w:t>essai doit être conforme aux prescriptions de l</w:t>
      </w:r>
      <w:r w:rsidR="00E42E9D">
        <w:t>’</w:t>
      </w:r>
      <w:r w:rsidR="0086678F">
        <w:t>annexe </w:t>
      </w:r>
      <w:r w:rsidRPr="00981643">
        <w:t xml:space="preserve">4 </w:t>
      </w:r>
      <w:r w:rsidRPr="00981643">
        <w:rPr>
          <w:b/>
        </w:rPr>
        <w:t xml:space="preserve">du présent Règlement ou à la </w:t>
      </w:r>
      <w:r w:rsidR="0086678F">
        <w:rPr>
          <w:b/>
        </w:rPr>
        <w:t>norme ISO </w:t>
      </w:r>
      <w:r w:rsidRPr="00981643">
        <w:rPr>
          <w:b/>
        </w:rPr>
        <w:t>10844:2014</w:t>
      </w:r>
      <w:r w:rsidRPr="00981643">
        <w:t>.</w:t>
      </w:r>
    </w:p>
    <w:p w:rsidR="00742462" w:rsidRPr="00981643" w:rsidRDefault="00742462" w:rsidP="008F5558">
      <w:pPr>
        <w:pStyle w:val="SingleTxtG"/>
        <w:ind w:left="2268"/>
      </w:pPr>
      <w:r w:rsidRPr="00981643">
        <w:t>Aucun obstacle susceptible...».</w:t>
      </w:r>
    </w:p>
    <w:p w:rsidR="00E01A0A" w:rsidRDefault="00742462" w:rsidP="0057043F">
      <w:pPr>
        <w:pStyle w:val="SingleTxtG"/>
        <w:rPr>
          <w:i/>
        </w:rPr>
      </w:pPr>
      <w:r w:rsidRPr="00981643">
        <w:rPr>
          <w:i/>
        </w:rPr>
        <w:t>Annexe 4,</w:t>
      </w:r>
    </w:p>
    <w:p w:rsidR="00742462" w:rsidRPr="00981643" w:rsidRDefault="00742462" w:rsidP="00E01A0A">
      <w:pPr>
        <w:pStyle w:val="SingleTxtG"/>
        <w:keepNext/>
      </w:pPr>
      <w:r w:rsidRPr="00981643">
        <w:rPr>
          <w:i/>
        </w:rPr>
        <w:t>Dans le titre</w:t>
      </w:r>
      <w:r w:rsidR="00804A73" w:rsidRPr="00804A73">
        <w:t>,</w:t>
      </w:r>
      <w:r w:rsidRPr="00981643">
        <w:rPr>
          <w:i/>
        </w:rPr>
        <w:t xml:space="preserve"> </w:t>
      </w:r>
      <w:r w:rsidRPr="00981643">
        <w:t>insérer un appel de note de bas de page 1</w:t>
      </w:r>
      <w:r w:rsidRPr="00981643">
        <w:rPr>
          <w:vertAlign w:val="superscript"/>
        </w:rPr>
        <w:t xml:space="preserve"> </w:t>
      </w:r>
      <w:r w:rsidRPr="00981643">
        <w:t>ainsi que la note correspondante, libellée comme suit:</w:t>
      </w:r>
    </w:p>
    <w:p w:rsidR="00742462" w:rsidRPr="00981643" w:rsidRDefault="00742462" w:rsidP="008F5558">
      <w:pPr>
        <w:pStyle w:val="SingleTxtG"/>
        <w:spacing w:after="100" w:line="238" w:lineRule="atLeast"/>
        <w:ind w:left="2268" w:hanging="1134"/>
      </w:pPr>
      <w:r w:rsidRPr="00981643">
        <w:t>«</w:t>
      </w:r>
      <w:r w:rsidRPr="00981643">
        <w:rPr>
          <w:vertAlign w:val="superscript"/>
        </w:rPr>
        <w:t>1</w:t>
      </w:r>
      <w:r w:rsidR="00E01A0A">
        <w:tab/>
      </w:r>
      <w:r w:rsidRPr="00981643">
        <w:rPr>
          <w:b/>
        </w:rPr>
        <w:t>Les caractéristiques du terrain d</w:t>
      </w:r>
      <w:r w:rsidR="00E42E9D">
        <w:rPr>
          <w:b/>
        </w:rPr>
        <w:t>’</w:t>
      </w:r>
      <w:r w:rsidRPr="00981643">
        <w:rPr>
          <w:b/>
        </w:rPr>
        <w:t>essai reprises dans la présente annexe sont valables jusqu</w:t>
      </w:r>
      <w:r w:rsidR="00E42E9D">
        <w:rPr>
          <w:b/>
        </w:rPr>
        <w:t>’</w:t>
      </w:r>
      <w:r w:rsidRPr="00981643">
        <w:rPr>
          <w:b/>
        </w:rPr>
        <w:t xml:space="preserve">au terme de la période indiquée au </w:t>
      </w:r>
      <w:r w:rsidR="0086678F">
        <w:rPr>
          <w:b/>
        </w:rPr>
        <w:t>paragraphe </w:t>
      </w:r>
      <w:r w:rsidRPr="00981643">
        <w:rPr>
          <w:b/>
        </w:rPr>
        <w:t>11.8</w:t>
      </w:r>
      <w:r w:rsidRPr="00981643">
        <w:t>.».</w:t>
      </w:r>
    </w:p>
    <w:p w:rsidR="00742462" w:rsidRPr="008F5558" w:rsidRDefault="00742462" w:rsidP="0057043F">
      <w:pPr>
        <w:pStyle w:val="SingleTxtG"/>
      </w:pPr>
      <w:r w:rsidRPr="008F5558">
        <w:t xml:space="preserve">Dans le </w:t>
      </w:r>
      <w:r w:rsidR="0086678F">
        <w:t>paragraphe </w:t>
      </w:r>
      <w:r w:rsidRPr="008F5558">
        <w:t>1, l</w:t>
      </w:r>
      <w:r w:rsidR="00E42E9D">
        <w:t>’</w:t>
      </w:r>
      <w:r w:rsidRPr="008F5558">
        <w:t xml:space="preserve">appel de </w:t>
      </w:r>
      <w:r w:rsidR="0086678F">
        <w:t>note </w:t>
      </w:r>
      <w:r w:rsidRPr="008F5558">
        <w:t>1 devient l</w:t>
      </w:r>
      <w:r w:rsidR="00E42E9D">
        <w:t>’</w:t>
      </w:r>
      <w:r w:rsidRPr="008F5558">
        <w:t xml:space="preserve">appel de </w:t>
      </w:r>
      <w:r w:rsidR="0086678F">
        <w:t>note </w:t>
      </w:r>
      <w:r w:rsidRPr="008F5558">
        <w:t>2</w:t>
      </w:r>
      <w:r w:rsidRPr="00981643">
        <w:t xml:space="preserve"> et le numéro de la note correspondante est modifié en conséquence.</w:t>
      </w:r>
    </w:p>
    <w:p w:rsidR="00742462" w:rsidRPr="0087389B" w:rsidRDefault="00742462" w:rsidP="0087389B">
      <w:pPr>
        <w:pStyle w:val="HChG"/>
      </w:pPr>
      <w:r>
        <w:br w:type="page"/>
      </w:r>
      <w:r w:rsidRPr="0087389B">
        <w:lastRenderedPageBreak/>
        <w:t>Annexe VIII</w:t>
      </w:r>
    </w:p>
    <w:p w:rsidR="00742462" w:rsidRPr="0087389B" w:rsidRDefault="00742462" w:rsidP="0087389B">
      <w:pPr>
        <w:pStyle w:val="HChG"/>
      </w:pPr>
      <w:r>
        <w:tab/>
      </w:r>
      <w:r>
        <w:tab/>
      </w:r>
      <w:r w:rsidRPr="0087389B">
        <w:t xml:space="preserve">Amendements au Règlement </w:t>
      </w:r>
      <w:r w:rsidR="0086678F" w:rsidRPr="0086678F">
        <w:t>n</w:t>
      </w:r>
      <w:r w:rsidR="0086678F" w:rsidRPr="0086678F">
        <w:rPr>
          <w:vertAlign w:val="superscript"/>
        </w:rPr>
        <w:t>o</w:t>
      </w:r>
      <w:r w:rsidR="0086678F" w:rsidRPr="0086678F">
        <w:t> </w:t>
      </w:r>
      <w:r w:rsidRPr="0087389B">
        <w:t>41 adoptés (sur la base</w:t>
      </w:r>
      <w:r w:rsidR="00671BF7">
        <w:br/>
      </w:r>
      <w:r w:rsidRPr="0087389B">
        <w:t>du document ECE/TRANS/WP.29/GRB/2015/5)</w:t>
      </w:r>
    </w:p>
    <w:p w:rsidR="00742462" w:rsidRPr="0059334E" w:rsidRDefault="00742462" w:rsidP="00E01A0A">
      <w:pPr>
        <w:pStyle w:val="SingleTxtG"/>
        <w:keepNext/>
      </w:pPr>
      <w:r w:rsidRPr="0059334E">
        <w:rPr>
          <w:i/>
        </w:rPr>
        <w:t>Paragraphe 12.3</w:t>
      </w:r>
      <w:r w:rsidRPr="0059334E">
        <w:t>,</w:t>
      </w:r>
      <w:r w:rsidRPr="0059334E">
        <w:rPr>
          <w:i/>
        </w:rPr>
        <w:t xml:space="preserve"> </w:t>
      </w:r>
      <w:r w:rsidRPr="0059334E">
        <w:t>modifier comme suit</w:t>
      </w:r>
      <w:r w:rsidRPr="004F2633">
        <w:t>:</w:t>
      </w:r>
    </w:p>
    <w:p w:rsidR="00742462" w:rsidRPr="0059334E" w:rsidRDefault="00742462" w:rsidP="008F5558">
      <w:pPr>
        <w:pStyle w:val="SingleTxtG"/>
        <w:spacing w:after="100" w:line="238" w:lineRule="atLeast"/>
        <w:ind w:left="2268" w:hanging="1134"/>
      </w:pPr>
      <w:r w:rsidRPr="0059334E">
        <w:t>«12.3</w:t>
      </w:r>
      <w:r w:rsidR="00E01A0A">
        <w:tab/>
      </w:r>
      <w:r w:rsidRPr="0059334E">
        <w:t>Les Parties contractantes appliquant le présent Règlement ne pourront pas refuser de délivrer des extensions pour les homologations accordées au titre des précédentes séries d</w:t>
      </w:r>
      <w:r w:rsidR="00E42E9D">
        <w:t>’</w:t>
      </w:r>
      <w:r w:rsidRPr="0059334E">
        <w:t>amendements au présent Règlement</w:t>
      </w:r>
      <w:r w:rsidRPr="0059334E">
        <w:rPr>
          <w:b/>
        </w:rPr>
        <w:t>, les essais devant être réalisés sur des terrains conformes aux prescriptions de l</w:t>
      </w:r>
      <w:r w:rsidR="00E42E9D">
        <w:rPr>
          <w:b/>
        </w:rPr>
        <w:t>’</w:t>
      </w:r>
      <w:r w:rsidR="0086678F">
        <w:rPr>
          <w:b/>
        </w:rPr>
        <w:t>annexe </w:t>
      </w:r>
      <w:r w:rsidRPr="0059334E">
        <w:rPr>
          <w:b/>
        </w:rPr>
        <w:t xml:space="preserve">4 au présent Règlement ou à la norme </w:t>
      </w:r>
      <w:r w:rsidR="0086678F">
        <w:rPr>
          <w:b/>
        </w:rPr>
        <w:t>ISO </w:t>
      </w:r>
      <w:r w:rsidRPr="0059334E">
        <w:rPr>
          <w:b/>
        </w:rPr>
        <w:t>10844:2014</w:t>
      </w:r>
      <w:r w:rsidRPr="0059334E">
        <w:t>.».</w:t>
      </w:r>
    </w:p>
    <w:p w:rsidR="00742462" w:rsidRPr="0059334E" w:rsidRDefault="00742462" w:rsidP="00E01A0A">
      <w:pPr>
        <w:pStyle w:val="SingleTxtG"/>
        <w:keepNext/>
      </w:pPr>
      <w:r w:rsidRPr="0059334E">
        <w:rPr>
          <w:i/>
        </w:rPr>
        <w:t>Ajouter de nouveaux paragraphes</w:t>
      </w:r>
      <w:r w:rsidR="00E455E1">
        <w:rPr>
          <w:i/>
        </w:rPr>
        <w:t xml:space="preserve"> </w:t>
      </w:r>
      <w:r w:rsidR="00671BF7">
        <w:rPr>
          <w:i/>
        </w:rPr>
        <w:t>12.8 et 12.9</w:t>
      </w:r>
      <w:r w:rsidR="008F5558">
        <w:t>,</w:t>
      </w:r>
      <w:r w:rsidRPr="0059334E">
        <w:t xml:space="preserve"> ainsi conçus:</w:t>
      </w:r>
    </w:p>
    <w:p w:rsidR="00742462" w:rsidRPr="004F2633" w:rsidRDefault="00742462" w:rsidP="008F5558">
      <w:pPr>
        <w:pStyle w:val="SingleTxtG"/>
        <w:spacing w:after="100" w:line="238" w:lineRule="atLeast"/>
        <w:ind w:left="2268" w:hanging="1134"/>
        <w:rPr>
          <w:b/>
          <w:bCs/>
          <w:spacing w:val="-2"/>
        </w:rPr>
      </w:pPr>
      <w:r w:rsidRPr="004F2633">
        <w:rPr>
          <w:spacing w:val="-2"/>
        </w:rPr>
        <w:t>«</w:t>
      </w:r>
      <w:r w:rsidRPr="004F2633">
        <w:rPr>
          <w:b/>
          <w:spacing w:val="-2"/>
        </w:rPr>
        <w:t>12.8</w:t>
      </w:r>
      <w:r w:rsidR="00E01A0A" w:rsidRPr="004F2633">
        <w:rPr>
          <w:b/>
          <w:spacing w:val="-2"/>
        </w:rPr>
        <w:tab/>
      </w:r>
      <w:r w:rsidRPr="004F2633">
        <w:rPr>
          <w:b/>
          <w:spacing w:val="-2"/>
        </w:rPr>
        <w:t>À compter de la date officielle d</w:t>
      </w:r>
      <w:r w:rsidR="00E42E9D">
        <w:rPr>
          <w:b/>
          <w:spacing w:val="-2"/>
        </w:rPr>
        <w:t>’</w:t>
      </w:r>
      <w:r w:rsidRPr="004F2633">
        <w:rPr>
          <w:b/>
          <w:spacing w:val="-2"/>
        </w:rPr>
        <w:t xml:space="preserve">entrée en vigueur du </w:t>
      </w:r>
      <w:r w:rsidR="0086678F" w:rsidRPr="004F2633">
        <w:rPr>
          <w:b/>
          <w:spacing w:val="-2"/>
        </w:rPr>
        <w:t>complément </w:t>
      </w:r>
      <w:r w:rsidRPr="004F2633">
        <w:rPr>
          <w:b/>
          <w:spacing w:val="-2"/>
        </w:rPr>
        <w:t>2 à la série 04 d</w:t>
      </w:r>
      <w:r w:rsidR="00E42E9D">
        <w:rPr>
          <w:b/>
          <w:spacing w:val="-2"/>
        </w:rPr>
        <w:t>’</w:t>
      </w:r>
      <w:r w:rsidRPr="004F2633">
        <w:rPr>
          <w:b/>
          <w:spacing w:val="-2"/>
        </w:rPr>
        <w:t>amendements au présent Règlement, aucune Partie contractante appliquant le présent Règlement ne pourra refuser d</w:t>
      </w:r>
      <w:r w:rsidR="00E42E9D">
        <w:rPr>
          <w:b/>
          <w:spacing w:val="-2"/>
        </w:rPr>
        <w:t>’</w:t>
      </w:r>
      <w:r w:rsidRPr="004F2633">
        <w:rPr>
          <w:b/>
          <w:spacing w:val="-2"/>
        </w:rPr>
        <w:t>accorder ou d</w:t>
      </w:r>
      <w:r w:rsidR="00E42E9D">
        <w:rPr>
          <w:b/>
          <w:spacing w:val="-2"/>
        </w:rPr>
        <w:t>’</w:t>
      </w:r>
      <w:r w:rsidRPr="004F2633">
        <w:rPr>
          <w:b/>
          <w:spacing w:val="-2"/>
        </w:rPr>
        <w:t>accepter une homologation de type au titre dudit complément.</w:t>
      </w:r>
    </w:p>
    <w:p w:rsidR="00742462" w:rsidRPr="004F2633" w:rsidRDefault="00742462" w:rsidP="004F2633">
      <w:pPr>
        <w:pStyle w:val="SingleTxtG"/>
        <w:spacing w:after="100" w:line="238" w:lineRule="atLeast"/>
        <w:ind w:left="2268" w:hanging="1134"/>
      </w:pPr>
      <w:r w:rsidRPr="00E455E1">
        <w:rPr>
          <w:b/>
        </w:rPr>
        <w:t>12</w:t>
      </w:r>
      <w:r w:rsidRPr="0059334E">
        <w:rPr>
          <w:b/>
        </w:rPr>
        <w:t>.9</w:t>
      </w:r>
      <w:r w:rsidR="00E01A0A">
        <w:rPr>
          <w:b/>
        </w:rPr>
        <w:tab/>
      </w:r>
      <w:r w:rsidRPr="0059334E">
        <w:rPr>
          <w:b/>
        </w:rPr>
        <w:t>Passé un délai de 60</w:t>
      </w:r>
      <w:r w:rsidR="0086678F">
        <w:rPr>
          <w:b/>
        </w:rPr>
        <w:t> mois</w:t>
      </w:r>
      <w:r w:rsidRPr="0059334E">
        <w:rPr>
          <w:b/>
        </w:rPr>
        <w:t xml:space="preserve"> à compter de la date d</w:t>
      </w:r>
      <w:r w:rsidR="00E42E9D">
        <w:rPr>
          <w:b/>
        </w:rPr>
        <w:t>’</w:t>
      </w:r>
      <w:r w:rsidRPr="0059334E">
        <w:rPr>
          <w:b/>
        </w:rPr>
        <w:t xml:space="preserve">entrée en vigueur du </w:t>
      </w:r>
      <w:r w:rsidR="0086678F">
        <w:rPr>
          <w:b/>
        </w:rPr>
        <w:t>complément </w:t>
      </w:r>
      <w:r w:rsidRPr="0059334E">
        <w:rPr>
          <w:b/>
        </w:rPr>
        <w:t xml:space="preserve">2 à la </w:t>
      </w:r>
      <w:r w:rsidR="0086678F">
        <w:rPr>
          <w:b/>
        </w:rPr>
        <w:t>série </w:t>
      </w:r>
      <w:r w:rsidRPr="0059334E">
        <w:rPr>
          <w:b/>
        </w:rPr>
        <w:t>04 d</w:t>
      </w:r>
      <w:r w:rsidR="00E42E9D">
        <w:rPr>
          <w:b/>
        </w:rPr>
        <w:t>’</w:t>
      </w:r>
      <w:r w:rsidRPr="0059334E">
        <w:rPr>
          <w:b/>
        </w:rPr>
        <w:t>amendements au présent Règlement, les Parties contractantes appliquant le présent Règlement ne pourront accorder des homologations de type que si les types des véhicules concernés satisfont aux prescriptions du présent Règlement tel que modifié par ledit complément.</w:t>
      </w:r>
      <w:r w:rsidRPr="0059334E">
        <w:t>»</w:t>
      </w:r>
      <w:r w:rsidRPr="004F2633">
        <w:t>.</w:t>
      </w:r>
    </w:p>
    <w:p w:rsidR="00E01A0A" w:rsidRDefault="00742462" w:rsidP="008F5558">
      <w:pPr>
        <w:pStyle w:val="SingleTxtG"/>
        <w:rPr>
          <w:i/>
        </w:rPr>
      </w:pPr>
      <w:r w:rsidRPr="0059334E">
        <w:rPr>
          <w:i/>
        </w:rPr>
        <w:t>Annexe 1,</w:t>
      </w:r>
    </w:p>
    <w:p w:rsidR="00742462" w:rsidRPr="0059334E" w:rsidRDefault="0086678F" w:rsidP="008F5558">
      <w:pPr>
        <w:pStyle w:val="SingleTxtG"/>
      </w:pPr>
      <w:r>
        <w:rPr>
          <w:i/>
        </w:rPr>
        <w:t>Point </w:t>
      </w:r>
      <w:r w:rsidR="00742462" w:rsidRPr="0059334E">
        <w:rPr>
          <w:i/>
        </w:rPr>
        <w:t>20</w:t>
      </w:r>
      <w:r w:rsidR="008F5558">
        <w:t>,</w:t>
      </w:r>
      <w:r w:rsidR="00742462" w:rsidRPr="0059334E">
        <w:t xml:space="preserve"> supprimer.</w:t>
      </w:r>
    </w:p>
    <w:p w:rsidR="00742462" w:rsidRPr="0059334E" w:rsidRDefault="00742462" w:rsidP="008F5558">
      <w:pPr>
        <w:pStyle w:val="SingleTxtG"/>
      </w:pPr>
      <w:r w:rsidRPr="0059334E">
        <w:rPr>
          <w:i/>
        </w:rPr>
        <w:t xml:space="preserve">Les </w:t>
      </w:r>
      <w:r w:rsidR="0086678F">
        <w:rPr>
          <w:i/>
        </w:rPr>
        <w:t>points </w:t>
      </w:r>
      <w:r w:rsidRPr="0059334E">
        <w:rPr>
          <w:i/>
        </w:rPr>
        <w:t>21 à 29</w:t>
      </w:r>
      <w:r w:rsidRPr="0059334E">
        <w:t xml:space="preserve"> deviennent les </w:t>
      </w:r>
      <w:r w:rsidR="0086678F">
        <w:t>points </w:t>
      </w:r>
      <w:r w:rsidRPr="0059334E">
        <w:t>20 à 28.</w:t>
      </w:r>
    </w:p>
    <w:p w:rsidR="00E01A0A" w:rsidRDefault="00742462" w:rsidP="00E01A0A">
      <w:pPr>
        <w:pStyle w:val="SingleTxtG"/>
        <w:keepNext/>
      </w:pPr>
      <w:r w:rsidRPr="0059334E">
        <w:rPr>
          <w:i/>
        </w:rPr>
        <w:t xml:space="preserve">Annexe 3, </w:t>
      </w:r>
      <w:r w:rsidR="0086678F">
        <w:rPr>
          <w:i/>
        </w:rPr>
        <w:t>paragraphe </w:t>
      </w:r>
      <w:r w:rsidRPr="0059334E">
        <w:rPr>
          <w:i/>
        </w:rPr>
        <w:t>1.2.1</w:t>
      </w:r>
      <w:r w:rsidRPr="0059334E">
        <w:t>, modifier comme suit:</w:t>
      </w:r>
    </w:p>
    <w:p w:rsidR="00742462" w:rsidRPr="0059334E" w:rsidRDefault="00742462" w:rsidP="008F5558">
      <w:pPr>
        <w:pStyle w:val="SingleTxtG"/>
        <w:spacing w:after="100" w:line="238" w:lineRule="atLeast"/>
        <w:ind w:left="2268" w:hanging="1134"/>
      </w:pPr>
      <w:r w:rsidRPr="0059334E">
        <w:t>«1.2.1</w:t>
      </w:r>
      <w:r w:rsidR="00E01A0A">
        <w:tab/>
      </w:r>
      <w:r w:rsidRPr="0059334E">
        <w:t>Terrain d</w:t>
      </w:r>
      <w:r w:rsidR="00E42E9D">
        <w:t>’</w:t>
      </w:r>
      <w:r w:rsidRPr="0059334E">
        <w:t>essai</w:t>
      </w:r>
    </w:p>
    <w:p w:rsidR="00742462" w:rsidRPr="0059334E" w:rsidRDefault="00742462" w:rsidP="008F5558">
      <w:pPr>
        <w:pStyle w:val="SingleTxtG"/>
        <w:ind w:left="2268"/>
      </w:pPr>
      <w:r w:rsidRPr="0059334E">
        <w:t>Le terrai d</w:t>
      </w:r>
      <w:r w:rsidR="00E42E9D">
        <w:t>’</w:t>
      </w:r>
      <w:r w:rsidRPr="0059334E">
        <w:t>essai se compose (...) roulement reste faible.</w:t>
      </w:r>
    </w:p>
    <w:p w:rsidR="00742462" w:rsidRPr="0059334E" w:rsidRDefault="00742462" w:rsidP="008F5558">
      <w:pPr>
        <w:pStyle w:val="SingleTxtG"/>
        <w:ind w:left="2268"/>
      </w:pPr>
      <w:r w:rsidRPr="0059334E">
        <w:t>Sur le terrain d</w:t>
      </w:r>
      <w:r w:rsidR="00E42E9D">
        <w:t>’</w:t>
      </w:r>
      <w:r w:rsidRPr="0059334E">
        <w:t>essai (...) la piste d</w:t>
      </w:r>
      <w:r w:rsidR="00E42E9D">
        <w:t>’</w:t>
      </w:r>
      <w:r w:rsidRPr="0059334E">
        <w:t>accélération. Le revêtement du terrain d</w:t>
      </w:r>
      <w:r w:rsidR="00E42E9D">
        <w:t>’</w:t>
      </w:r>
      <w:r w:rsidRPr="0059334E">
        <w:t>essai doit être conforme aux prescriptions de l</w:t>
      </w:r>
      <w:r w:rsidR="00E42E9D">
        <w:t>’</w:t>
      </w:r>
      <w:r w:rsidR="0086678F">
        <w:t>annexe </w:t>
      </w:r>
      <w:r w:rsidRPr="0059334E">
        <w:t xml:space="preserve">4 </w:t>
      </w:r>
      <w:r w:rsidRPr="0059334E">
        <w:rPr>
          <w:b/>
        </w:rPr>
        <w:t xml:space="preserve">ou à la </w:t>
      </w:r>
      <w:r w:rsidR="0086678F">
        <w:rPr>
          <w:b/>
        </w:rPr>
        <w:t>norme ISO </w:t>
      </w:r>
      <w:r w:rsidRPr="0059334E">
        <w:rPr>
          <w:b/>
        </w:rPr>
        <w:t>10844:2014</w:t>
      </w:r>
      <w:r w:rsidRPr="0059334E">
        <w:t>.</w:t>
      </w:r>
    </w:p>
    <w:p w:rsidR="00742462" w:rsidRPr="0059334E" w:rsidRDefault="00742462" w:rsidP="008F5558">
      <w:pPr>
        <w:pStyle w:val="SingleTxtG"/>
        <w:ind w:left="2268"/>
      </w:pPr>
      <w:r w:rsidRPr="0059334E">
        <w:t>Aucun obstacle ne doit pouvoir perturber...».</w:t>
      </w:r>
    </w:p>
    <w:p w:rsidR="00742462" w:rsidRPr="0059334E" w:rsidRDefault="00742462" w:rsidP="008F5558">
      <w:pPr>
        <w:pStyle w:val="SingleTxtG"/>
        <w:rPr>
          <w:i/>
          <w:iCs/>
        </w:rPr>
      </w:pPr>
      <w:r w:rsidRPr="0059334E">
        <w:rPr>
          <w:i/>
        </w:rPr>
        <w:t>Annexe 4,</w:t>
      </w:r>
    </w:p>
    <w:p w:rsidR="00742462" w:rsidRPr="0059334E" w:rsidRDefault="00742462" w:rsidP="00E01A0A">
      <w:pPr>
        <w:pStyle w:val="SingleTxtG"/>
        <w:keepNext/>
      </w:pPr>
      <w:r w:rsidRPr="0059334E">
        <w:rPr>
          <w:i/>
        </w:rPr>
        <w:t>Dans le titre</w:t>
      </w:r>
      <w:r w:rsidR="00804A73" w:rsidRPr="00804A73">
        <w:t>,</w:t>
      </w:r>
      <w:r w:rsidRPr="0059334E">
        <w:rPr>
          <w:i/>
        </w:rPr>
        <w:t xml:space="preserve"> </w:t>
      </w:r>
      <w:r w:rsidRPr="0059334E">
        <w:t xml:space="preserve">insérer un appel de note de bas de page </w:t>
      </w:r>
      <w:r w:rsidR="00E455E1">
        <w:t xml:space="preserve">1 </w:t>
      </w:r>
      <w:r w:rsidRPr="0059334E">
        <w:t>ainsi que la note correspondante, libellée comme suit:</w:t>
      </w:r>
    </w:p>
    <w:p w:rsidR="00742462" w:rsidRPr="0059334E" w:rsidRDefault="00742462" w:rsidP="008F5558">
      <w:pPr>
        <w:pStyle w:val="SingleTxtG"/>
        <w:spacing w:after="100" w:line="238" w:lineRule="atLeast"/>
        <w:ind w:left="2268" w:hanging="1134"/>
      </w:pPr>
      <w:r w:rsidRPr="0059334E">
        <w:t>«</w:t>
      </w:r>
      <w:r w:rsidRPr="0059334E">
        <w:rPr>
          <w:vertAlign w:val="superscript"/>
        </w:rPr>
        <w:t>1</w:t>
      </w:r>
      <w:r w:rsidR="00E01A0A">
        <w:tab/>
      </w:r>
      <w:r w:rsidRPr="0059334E">
        <w:rPr>
          <w:b/>
        </w:rPr>
        <w:t>Les caractéristiques du terrain d</w:t>
      </w:r>
      <w:r w:rsidR="00E42E9D">
        <w:rPr>
          <w:b/>
        </w:rPr>
        <w:t>’</w:t>
      </w:r>
      <w:r w:rsidRPr="0059334E">
        <w:rPr>
          <w:b/>
        </w:rPr>
        <w:t>essai reprises dans la présente annexe sont valables jusqu</w:t>
      </w:r>
      <w:r w:rsidR="00E42E9D">
        <w:rPr>
          <w:b/>
        </w:rPr>
        <w:t>’</w:t>
      </w:r>
      <w:r w:rsidRPr="0059334E">
        <w:rPr>
          <w:b/>
        </w:rPr>
        <w:t xml:space="preserve">au terme de la période indiquée au </w:t>
      </w:r>
      <w:r w:rsidR="0086678F">
        <w:rPr>
          <w:b/>
        </w:rPr>
        <w:t>paragraphe </w:t>
      </w:r>
      <w:r w:rsidRPr="0059334E">
        <w:rPr>
          <w:b/>
        </w:rPr>
        <w:t>12.9</w:t>
      </w:r>
      <w:r w:rsidRPr="0059334E">
        <w:t>.»</w:t>
      </w:r>
      <w:r w:rsidRPr="004F2633">
        <w:t>.</w:t>
      </w:r>
    </w:p>
    <w:p w:rsidR="00742462" w:rsidRPr="0059334E" w:rsidRDefault="00742462" w:rsidP="008F5558">
      <w:pPr>
        <w:pStyle w:val="SingleTxtG"/>
        <w:rPr>
          <w:i/>
          <w:iCs/>
        </w:rPr>
      </w:pPr>
      <w:r w:rsidRPr="008F5558">
        <w:t>Dans</w:t>
      </w:r>
      <w:r w:rsidRPr="0059334E">
        <w:t xml:space="preserve"> le </w:t>
      </w:r>
      <w:r w:rsidR="0086678F">
        <w:t>paragraphe </w:t>
      </w:r>
      <w:r w:rsidRPr="0059334E">
        <w:t>1, l</w:t>
      </w:r>
      <w:r w:rsidR="00E42E9D">
        <w:t>’</w:t>
      </w:r>
      <w:r w:rsidRPr="0059334E">
        <w:t xml:space="preserve">appel de </w:t>
      </w:r>
      <w:r w:rsidR="0086678F">
        <w:t>note </w:t>
      </w:r>
      <w:r w:rsidRPr="0059334E">
        <w:t>1 devient l</w:t>
      </w:r>
      <w:r w:rsidR="00E42E9D">
        <w:t>’</w:t>
      </w:r>
      <w:r w:rsidRPr="0059334E">
        <w:t xml:space="preserve">appel de </w:t>
      </w:r>
      <w:r w:rsidR="0086678F">
        <w:t>note </w:t>
      </w:r>
      <w:r w:rsidRPr="0059334E">
        <w:t>2 et le numéro de la note correspondante est modifié en conséquence.</w:t>
      </w:r>
    </w:p>
    <w:p w:rsidR="00742462" w:rsidRPr="0036773D" w:rsidRDefault="00742462" w:rsidP="008F5558">
      <w:pPr>
        <w:pStyle w:val="SingleTxtG"/>
        <w:rPr>
          <w:i/>
          <w:iCs/>
          <w:sz w:val="16"/>
        </w:rPr>
      </w:pPr>
      <w:r w:rsidRPr="008F5558">
        <w:t>Dans</w:t>
      </w:r>
      <w:r w:rsidRPr="0059334E">
        <w:t xml:space="preserve"> le </w:t>
      </w:r>
      <w:r w:rsidR="0086678F">
        <w:t>paragraphe </w:t>
      </w:r>
      <w:r w:rsidRPr="0059334E">
        <w:t>2.2, l</w:t>
      </w:r>
      <w:r w:rsidR="00E42E9D">
        <w:t>’</w:t>
      </w:r>
      <w:r w:rsidRPr="0059334E">
        <w:t xml:space="preserve">appel de </w:t>
      </w:r>
      <w:r w:rsidR="0086678F">
        <w:t>note </w:t>
      </w:r>
      <w:r w:rsidRPr="0059334E">
        <w:t>2 devient l</w:t>
      </w:r>
      <w:r w:rsidR="00E42E9D">
        <w:t>’</w:t>
      </w:r>
      <w:r w:rsidRPr="0059334E">
        <w:t xml:space="preserve">appel de </w:t>
      </w:r>
      <w:r w:rsidR="0086678F">
        <w:t>note </w:t>
      </w:r>
      <w:r w:rsidRPr="0059334E">
        <w:t>3 et le numéro de la note correspondante est modifié en conséquence.</w:t>
      </w:r>
    </w:p>
    <w:p w:rsidR="00742462" w:rsidRPr="0087389B" w:rsidRDefault="00742462" w:rsidP="0087389B">
      <w:pPr>
        <w:pStyle w:val="HChG"/>
      </w:pPr>
      <w:r>
        <w:br w:type="page"/>
      </w:r>
      <w:r w:rsidRPr="0087389B">
        <w:lastRenderedPageBreak/>
        <w:t>Annexe IX</w:t>
      </w:r>
    </w:p>
    <w:p w:rsidR="00742462" w:rsidRPr="0087389B" w:rsidRDefault="00742462" w:rsidP="0087389B">
      <w:pPr>
        <w:pStyle w:val="HChG"/>
      </w:pPr>
      <w:r>
        <w:tab/>
      </w:r>
      <w:r>
        <w:tab/>
      </w:r>
      <w:r w:rsidRPr="0087389B">
        <w:t xml:space="preserve">Amendements au Règlement </w:t>
      </w:r>
      <w:r w:rsidR="0086678F" w:rsidRPr="0086678F">
        <w:t>n</w:t>
      </w:r>
      <w:r w:rsidR="0086678F" w:rsidRPr="0086678F">
        <w:rPr>
          <w:vertAlign w:val="superscript"/>
        </w:rPr>
        <w:t>o</w:t>
      </w:r>
      <w:r w:rsidR="0086678F" w:rsidRPr="0086678F">
        <w:t> </w:t>
      </w:r>
      <w:r w:rsidRPr="0087389B">
        <w:t>63 adoptés (sur la base</w:t>
      </w:r>
      <w:r w:rsidR="004F2633">
        <w:br/>
      </w:r>
      <w:r w:rsidRPr="0087389B">
        <w:t>du document ECE/TRANS/WP.29/GRB/2015/5)</w:t>
      </w:r>
    </w:p>
    <w:p w:rsidR="00742462" w:rsidRPr="0059334E" w:rsidRDefault="00742462" w:rsidP="008F5558">
      <w:pPr>
        <w:pStyle w:val="SingleTxtG"/>
        <w:keepNext/>
      </w:pPr>
      <w:r w:rsidRPr="0059334E">
        <w:rPr>
          <w:i/>
        </w:rPr>
        <w:t>Ajouter de nouveaux paragraphes</w:t>
      </w:r>
      <w:r w:rsidR="008F5558">
        <w:t>,</w:t>
      </w:r>
      <w:r w:rsidRPr="0059334E">
        <w:t xml:space="preserve"> ainsi conçus:</w:t>
      </w:r>
    </w:p>
    <w:p w:rsidR="00742462" w:rsidRPr="0059334E" w:rsidRDefault="00742462" w:rsidP="008F5558">
      <w:pPr>
        <w:pStyle w:val="SingleTxtG"/>
        <w:spacing w:after="100" w:line="238" w:lineRule="atLeast"/>
        <w:ind w:left="2268" w:hanging="1134"/>
        <w:rPr>
          <w:b/>
          <w:bCs/>
        </w:rPr>
      </w:pPr>
      <w:r w:rsidRPr="0059334E">
        <w:t>«</w:t>
      </w:r>
      <w:r w:rsidRPr="0059334E">
        <w:rPr>
          <w:b/>
        </w:rPr>
        <w:t>10.7</w:t>
      </w:r>
      <w:r w:rsidR="00E01A0A">
        <w:rPr>
          <w:b/>
        </w:rPr>
        <w:tab/>
      </w:r>
      <w:r w:rsidRPr="0059334E">
        <w:rPr>
          <w:b/>
        </w:rPr>
        <w:t>À compter de la date officielle d</w:t>
      </w:r>
      <w:r w:rsidR="00E42E9D">
        <w:rPr>
          <w:b/>
        </w:rPr>
        <w:t>’</w:t>
      </w:r>
      <w:r w:rsidRPr="0059334E">
        <w:rPr>
          <w:b/>
        </w:rPr>
        <w:t xml:space="preserve">entrée en vigueur du </w:t>
      </w:r>
      <w:r w:rsidR="0086678F">
        <w:rPr>
          <w:b/>
        </w:rPr>
        <w:t>complément </w:t>
      </w:r>
      <w:r w:rsidRPr="0059334E">
        <w:rPr>
          <w:b/>
        </w:rPr>
        <w:t>1 à la série 02 d</w:t>
      </w:r>
      <w:r w:rsidR="00E42E9D">
        <w:rPr>
          <w:b/>
        </w:rPr>
        <w:t>’</w:t>
      </w:r>
      <w:r w:rsidRPr="0059334E">
        <w:rPr>
          <w:b/>
        </w:rPr>
        <w:t>amendements au présent Règlement, aucune Partie contractante appliquant le présent Règlement ne pourra refuser d</w:t>
      </w:r>
      <w:r w:rsidR="00E42E9D">
        <w:rPr>
          <w:b/>
        </w:rPr>
        <w:t>’</w:t>
      </w:r>
      <w:r w:rsidRPr="0059334E">
        <w:rPr>
          <w:b/>
        </w:rPr>
        <w:t>accorder ou d</w:t>
      </w:r>
      <w:r w:rsidR="00E42E9D">
        <w:rPr>
          <w:b/>
        </w:rPr>
        <w:t>’</w:t>
      </w:r>
      <w:r w:rsidRPr="0059334E">
        <w:rPr>
          <w:b/>
        </w:rPr>
        <w:t>accepter une homologation de type au titre dudit complément.</w:t>
      </w:r>
    </w:p>
    <w:p w:rsidR="00742462" w:rsidRPr="0059334E" w:rsidRDefault="00742462" w:rsidP="008F5558">
      <w:pPr>
        <w:pStyle w:val="SingleTxtG"/>
        <w:spacing w:after="100" w:line="238" w:lineRule="atLeast"/>
        <w:ind w:left="2268" w:hanging="1134"/>
      </w:pPr>
      <w:r w:rsidRPr="0059334E">
        <w:rPr>
          <w:b/>
        </w:rPr>
        <w:t>10.8</w:t>
      </w:r>
      <w:r w:rsidR="00E01A0A">
        <w:rPr>
          <w:b/>
        </w:rPr>
        <w:tab/>
      </w:r>
      <w:r w:rsidRPr="0059334E">
        <w:rPr>
          <w:b/>
        </w:rPr>
        <w:t>Passé un délai de 60</w:t>
      </w:r>
      <w:r w:rsidR="0086678F">
        <w:rPr>
          <w:b/>
        </w:rPr>
        <w:t> mois</w:t>
      </w:r>
      <w:r w:rsidRPr="0059334E">
        <w:rPr>
          <w:b/>
        </w:rPr>
        <w:t xml:space="preserve"> à compter de la date d</w:t>
      </w:r>
      <w:r w:rsidR="00E42E9D">
        <w:rPr>
          <w:b/>
        </w:rPr>
        <w:t>’</w:t>
      </w:r>
      <w:r w:rsidRPr="0059334E">
        <w:rPr>
          <w:b/>
        </w:rPr>
        <w:t xml:space="preserve">entrée en vigueur du </w:t>
      </w:r>
      <w:r w:rsidR="0086678F">
        <w:rPr>
          <w:b/>
        </w:rPr>
        <w:t>complément </w:t>
      </w:r>
      <w:r w:rsidRPr="0059334E">
        <w:rPr>
          <w:b/>
        </w:rPr>
        <w:t xml:space="preserve">1 à la </w:t>
      </w:r>
      <w:r w:rsidR="0086678F">
        <w:rPr>
          <w:b/>
        </w:rPr>
        <w:t>série </w:t>
      </w:r>
      <w:r w:rsidRPr="0059334E">
        <w:rPr>
          <w:b/>
        </w:rPr>
        <w:t>02 d</w:t>
      </w:r>
      <w:r w:rsidR="00E42E9D">
        <w:rPr>
          <w:b/>
        </w:rPr>
        <w:t>’</w:t>
      </w:r>
      <w:r w:rsidRPr="0059334E">
        <w:rPr>
          <w:b/>
        </w:rPr>
        <w:t>amendements au présent Règlement, les Parties contractantes appliquant le présent Règlement ne pourront accorder des homologations de type que si les types des véhicules concernés satisfont aux prescriptions du présent Règlement tel que modifié par ledit complément.</w:t>
      </w:r>
      <w:r w:rsidRPr="008050ED">
        <w:t>».</w:t>
      </w:r>
    </w:p>
    <w:p w:rsidR="00742462" w:rsidRPr="0059334E" w:rsidRDefault="00742462" w:rsidP="008F5558">
      <w:pPr>
        <w:pStyle w:val="SingleTxtG"/>
      </w:pPr>
      <w:r w:rsidRPr="0059334E">
        <w:rPr>
          <w:i/>
        </w:rPr>
        <w:t>Annexe 1</w:t>
      </w:r>
      <w:r w:rsidRPr="0059334E">
        <w:t>,</w:t>
      </w:r>
    </w:p>
    <w:p w:rsidR="00742462" w:rsidRPr="0059334E" w:rsidRDefault="0086678F" w:rsidP="008F5558">
      <w:pPr>
        <w:pStyle w:val="SingleTxtG"/>
      </w:pPr>
      <w:r>
        <w:rPr>
          <w:i/>
        </w:rPr>
        <w:t>Point </w:t>
      </w:r>
      <w:r w:rsidR="00742462" w:rsidRPr="0059334E">
        <w:rPr>
          <w:i/>
        </w:rPr>
        <w:t>20</w:t>
      </w:r>
      <w:r w:rsidR="008F5558">
        <w:t>,</w:t>
      </w:r>
      <w:r w:rsidR="00742462" w:rsidRPr="0059334E">
        <w:t xml:space="preserve"> supprimer.</w:t>
      </w:r>
    </w:p>
    <w:p w:rsidR="00742462" w:rsidRPr="0059334E" w:rsidRDefault="00742462" w:rsidP="008F5558">
      <w:pPr>
        <w:pStyle w:val="SingleTxtG"/>
      </w:pPr>
      <w:r w:rsidRPr="0059334E">
        <w:rPr>
          <w:i/>
        </w:rPr>
        <w:t xml:space="preserve">Les </w:t>
      </w:r>
      <w:r w:rsidR="0086678F">
        <w:rPr>
          <w:i/>
        </w:rPr>
        <w:t>points </w:t>
      </w:r>
      <w:r w:rsidRPr="0059334E">
        <w:rPr>
          <w:i/>
        </w:rPr>
        <w:t>21 à 30</w:t>
      </w:r>
      <w:r w:rsidRPr="0059334E">
        <w:t xml:space="preserve"> deviennent les </w:t>
      </w:r>
      <w:r w:rsidR="0086678F">
        <w:t>points </w:t>
      </w:r>
      <w:r w:rsidRPr="0059334E">
        <w:t>20 à 29.</w:t>
      </w:r>
    </w:p>
    <w:p w:rsidR="00E01A0A" w:rsidRDefault="00742462" w:rsidP="008F5558">
      <w:pPr>
        <w:pStyle w:val="SingleTxtG"/>
        <w:keepNext/>
      </w:pPr>
      <w:r w:rsidRPr="0059334E">
        <w:rPr>
          <w:i/>
        </w:rPr>
        <w:t xml:space="preserve">Annexe 3, </w:t>
      </w:r>
      <w:r w:rsidR="0086678F">
        <w:rPr>
          <w:i/>
        </w:rPr>
        <w:t>paragraphe </w:t>
      </w:r>
      <w:r w:rsidRPr="0059334E">
        <w:rPr>
          <w:i/>
        </w:rPr>
        <w:t>2.1.2</w:t>
      </w:r>
      <w:r w:rsidRPr="0059334E">
        <w:t>, modifier comme suit:</w:t>
      </w:r>
    </w:p>
    <w:p w:rsidR="00742462" w:rsidRPr="0059334E" w:rsidRDefault="00742462" w:rsidP="008F5558">
      <w:pPr>
        <w:pStyle w:val="SingleTxtG"/>
        <w:spacing w:after="100" w:line="238" w:lineRule="atLeast"/>
        <w:ind w:left="2268" w:hanging="1134"/>
      </w:pPr>
      <w:r w:rsidRPr="0059334E">
        <w:t>«2.1.2</w:t>
      </w:r>
      <w:r w:rsidR="00E01A0A">
        <w:tab/>
      </w:r>
      <w:r w:rsidRPr="0059334E">
        <w:t>Le revêtement de la piste d</w:t>
      </w:r>
      <w:r w:rsidR="00E42E9D">
        <w:t>’</w:t>
      </w:r>
      <w:r w:rsidRPr="0059334E">
        <w:t>essai doit être conforme aux prescriptions de l</w:t>
      </w:r>
      <w:r w:rsidR="00E42E9D">
        <w:t>’</w:t>
      </w:r>
      <w:r w:rsidR="0086678F">
        <w:t>annexe </w:t>
      </w:r>
      <w:r w:rsidRPr="0059334E">
        <w:t xml:space="preserve">5 </w:t>
      </w:r>
      <w:r w:rsidRPr="0059334E">
        <w:rPr>
          <w:b/>
        </w:rPr>
        <w:t xml:space="preserve">du présent Règlement ou à la </w:t>
      </w:r>
      <w:r w:rsidR="0086678F">
        <w:rPr>
          <w:b/>
        </w:rPr>
        <w:t>norme ISO </w:t>
      </w:r>
      <w:r w:rsidRPr="0059334E">
        <w:rPr>
          <w:b/>
        </w:rPr>
        <w:t>10844:2014</w:t>
      </w:r>
      <w:r w:rsidRPr="0059334E">
        <w:t>.</w:t>
      </w:r>
      <w:r w:rsidR="00E455E1">
        <w:t>».</w:t>
      </w:r>
    </w:p>
    <w:p w:rsidR="00742462" w:rsidRPr="0059334E" w:rsidRDefault="00742462" w:rsidP="008F5558">
      <w:pPr>
        <w:pStyle w:val="SingleTxtG"/>
        <w:keepNext/>
        <w:rPr>
          <w:i/>
          <w:iCs/>
        </w:rPr>
      </w:pPr>
      <w:r w:rsidRPr="0059334E">
        <w:rPr>
          <w:i/>
        </w:rPr>
        <w:t>Annexe 5,</w:t>
      </w:r>
    </w:p>
    <w:p w:rsidR="00742462" w:rsidRPr="0059334E" w:rsidRDefault="00742462" w:rsidP="008F5558">
      <w:pPr>
        <w:pStyle w:val="SingleTxtG"/>
        <w:keepNext/>
      </w:pPr>
      <w:r w:rsidRPr="0059334E">
        <w:rPr>
          <w:i/>
        </w:rPr>
        <w:t>Dans le titre</w:t>
      </w:r>
      <w:r w:rsidR="00804A73" w:rsidRPr="00804A73">
        <w:t>,</w:t>
      </w:r>
      <w:r w:rsidRPr="0059334E">
        <w:rPr>
          <w:i/>
        </w:rPr>
        <w:t xml:space="preserve"> </w:t>
      </w:r>
      <w:r w:rsidRPr="0059334E">
        <w:t>insérer un appel de note de bas de page 1 ainsi que la note correspondante, libellée ainsi:</w:t>
      </w:r>
    </w:p>
    <w:p w:rsidR="00742462" w:rsidRPr="004F2633" w:rsidRDefault="00742462" w:rsidP="008F5558">
      <w:pPr>
        <w:pStyle w:val="SingleTxtG"/>
        <w:spacing w:after="100" w:line="238" w:lineRule="atLeast"/>
        <w:ind w:left="2268" w:hanging="1134"/>
      </w:pPr>
      <w:r w:rsidRPr="0059334E">
        <w:t>«</w:t>
      </w:r>
      <w:r w:rsidRPr="0059334E">
        <w:rPr>
          <w:vertAlign w:val="superscript"/>
        </w:rPr>
        <w:t>1</w:t>
      </w:r>
      <w:r w:rsidR="00E01A0A">
        <w:tab/>
      </w:r>
      <w:r w:rsidRPr="0059334E">
        <w:rPr>
          <w:b/>
        </w:rPr>
        <w:t>Les caractéristiques du terrain d</w:t>
      </w:r>
      <w:r w:rsidR="00E42E9D">
        <w:rPr>
          <w:b/>
        </w:rPr>
        <w:t>’</w:t>
      </w:r>
      <w:r w:rsidRPr="0059334E">
        <w:rPr>
          <w:b/>
        </w:rPr>
        <w:t>essai reprises dans la présente annexe sont valables jusqu</w:t>
      </w:r>
      <w:r w:rsidR="00E42E9D">
        <w:rPr>
          <w:b/>
        </w:rPr>
        <w:t>’</w:t>
      </w:r>
      <w:r w:rsidRPr="0059334E">
        <w:rPr>
          <w:b/>
        </w:rPr>
        <w:t xml:space="preserve">au terme de la période indiquée au </w:t>
      </w:r>
      <w:r w:rsidR="0086678F">
        <w:rPr>
          <w:b/>
        </w:rPr>
        <w:t>paragraphe </w:t>
      </w:r>
      <w:r w:rsidRPr="0059334E">
        <w:rPr>
          <w:b/>
        </w:rPr>
        <w:t>10.8</w:t>
      </w:r>
      <w:r w:rsidRPr="0059334E">
        <w:t>.»</w:t>
      </w:r>
      <w:r w:rsidRPr="004F2633">
        <w:t>.</w:t>
      </w:r>
    </w:p>
    <w:p w:rsidR="00742462" w:rsidRPr="00BB1AD6" w:rsidRDefault="00742462" w:rsidP="008F5558">
      <w:pPr>
        <w:pStyle w:val="SingleTxtG"/>
        <w:rPr>
          <w:rFonts w:eastAsia="MS PGothic"/>
          <w:i/>
          <w:iCs/>
          <w:sz w:val="16"/>
        </w:rPr>
      </w:pPr>
      <w:r w:rsidRPr="0059334E">
        <w:t xml:space="preserve">Dans le </w:t>
      </w:r>
      <w:r w:rsidR="0086678F">
        <w:t>paragraphe </w:t>
      </w:r>
      <w:r w:rsidRPr="0059334E">
        <w:t>1, l</w:t>
      </w:r>
      <w:r w:rsidR="00E42E9D">
        <w:t>’</w:t>
      </w:r>
      <w:r w:rsidRPr="0059334E">
        <w:t xml:space="preserve">appel de </w:t>
      </w:r>
      <w:r w:rsidR="0086678F">
        <w:t>note </w:t>
      </w:r>
      <w:r w:rsidRPr="0059334E">
        <w:t>1 devient l</w:t>
      </w:r>
      <w:r w:rsidR="00E42E9D">
        <w:t>’</w:t>
      </w:r>
      <w:r w:rsidRPr="0059334E">
        <w:t xml:space="preserve">appel de </w:t>
      </w:r>
      <w:r w:rsidR="0086678F">
        <w:t>note </w:t>
      </w:r>
      <w:r w:rsidRPr="0059334E">
        <w:t>2 et le numéro de la note correspondante est modifié en conséquence.</w:t>
      </w:r>
    </w:p>
    <w:p w:rsidR="00742462" w:rsidRPr="0087389B" w:rsidRDefault="00742462" w:rsidP="0087389B">
      <w:pPr>
        <w:pStyle w:val="HChG"/>
      </w:pPr>
      <w:r>
        <w:br w:type="page"/>
      </w:r>
      <w:r w:rsidRPr="0087389B">
        <w:lastRenderedPageBreak/>
        <w:t>Annexe X</w:t>
      </w:r>
    </w:p>
    <w:p w:rsidR="00742462" w:rsidRPr="0087389B" w:rsidRDefault="00742462" w:rsidP="0087389B">
      <w:pPr>
        <w:pStyle w:val="HChG"/>
      </w:pPr>
      <w:r>
        <w:tab/>
      </w:r>
      <w:r>
        <w:tab/>
      </w:r>
      <w:r w:rsidRPr="0087389B">
        <w:t>X.</w:t>
      </w:r>
      <w:r>
        <w:tab/>
      </w:r>
      <w:r w:rsidRPr="0087389B">
        <w:t>Groupes informels du GRB</w:t>
      </w:r>
    </w:p>
    <w:tbl>
      <w:tblPr>
        <w:tblW w:w="0" w:type="auto"/>
        <w:tblLayout w:type="fixed"/>
        <w:tblCellMar>
          <w:left w:w="0" w:type="dxa"/>
          <w:right w:w="0" w:type="dxa"/>
        </w:tblCellMar>
        <w:tblLook w:val="01E0" w:firstRow="1" w:lastRow="1" w:firstColumn="1" w:lastColumn="1" w:noHBand="0" w:noVBand="0"/>
      </w:tblPr>
      <w:tblGrid>
        <w:gridCol w:w="2381"/>
        <w:gridCol w:w="2892"/>
        <w:gridCol w:w="3005"/>
        <w:gridCol w:w="1361"/>
      </w:tblGrid>
      <w:tr w:rsidR="00742462" w:rsidRPr="00FA2F29" w:rsidTr="00FA2F29">
        <w:tc>
          <w:tcPr>
            <w:tcW w:w="2381" w:type="dxa"/>
            <w:tcBorders>
              <w:top w:val="single" w:sz="4" w:space="0" w:color="auto"/>
              <w:bottom w:val="single" w:sz="12" w:space="0" w:color="auto"/>
            </w:tcBorders>
            <w:shd w:val="clear" w:color="auto" w:fill="auto"/>
            <w:vAlign w:val="bottom"/>
          </w:tcPr>
          <w:p w:rsidR="00742462" w:rsidRPr="00FA2F29" w:rsidRDefault="00742462" w:rsidP="00FA2F29">
            <w:pPr>
              <w:spacing w:before="80" w:after="80" w:line="200" w:lineRule="exact"/>
              <w:ind w:right="57"/>
              <w:rPr>
                <w:i/>
                <w:sz w:val="16"/>
                <w:lang w:val="fr-FR"/>
              </w:rPr>
            </w:pPr>
            <w:r w:rsidRPr="00FA2F29">
              <w:rPr>
                <w:i/>
                <w:sz w:val="16"/>
                <w:lang w:val="fr-FR"/>
              </w:rPr>
              <w:t>Groupe informel</w:t>
            </w:r>
          </w:p>
        </w:tc>
        <w:tc>
          <w:tcPr>
            <w:tcW w:w="2892" w:type="dxa"/>
            <w:tcBorders>
              <w:top w:val="single" w:sz="4" w:space="0" w:color="auto"/>
              <w:bottom w:val="single" w:sz="12" w:space="0" w:color="auto"/>
            </w:tcBorders>
            <w:shd w:val="clear" w:color="auto" w:fill="auto"/>
            <w:vAlign w:val="bottom"/>
          </w:tcPr>
          <w:p w:rsidR="00742462" w:rsidRPr="00FA2F29" w:rsidRDefault="00742462" w:rsidP="00FA2F29">
            <w:pPr>
              <w:spacing w:before="80" w:after="80" w:line="200" w:lineRule="exact"/>
              <w:ind w:right="57"/>
              <w:rPr>
                <w:i/>
                <w:sz w:val="16"/>
                <w:lang w:val="fr-FR"/>
              </w:rPr>
            </w:pPr>
            <w:r w:rsidRPr="00FA2F29">
              <w:rPr>
                <w:i/>
                <w:sz w:val="16"/>
                <w:lang w:val="fr-FR"/>
              </w:rPr>
              <w:t xml:space="preserve">Président(s) et co-Président(s) </w:t>
            </w:r>
          </w:p>
        </w:tc>
        <w:tc>
          <w:tcPr>
            <w:tcW w:w="3005" w:type="dxa"/>
            <w:tcBorders>
              <w:top w:val="single" w:sz="4" w:space="0" w:color="auto"/>
              <w:bottom w:val="single" w:sz="12" w:space="0" w:color="auto"/>
            </w:tcBorders>
            <w:shd w:val="clear" w:color="auto" w:fill="auto"/>
            <w:vAlign w:val="bottom"/>
          </w:tcPr>
          <w:p w:rsidR="00742462" w:rsidRPr="00FA2F29" w:rsidRDefault="00742462" w:rsidP="00FA2F29">
            <w:pPr>
              <w:spacing w:before="80" w:after="80" w:line="200" w:lineRule="exact"/>
              <w:ind w:right="57"/>
              <w:rPr>
                <w:i/>
                <w:sz w:val="16"/>
                <w:lang w:val="fr-FR"/>
              </w:rPr>
            </w:pPr>
            <w:r w:rsidRPr="00FA2F29">
              <w:rPr>
                <w:i/>
                <w:sz w:val="16"/>
                <w:lang w:val="fr-FR"/>
              </w:rPr>
              <w:t>Secrétaire</w:t>
            </w:r>
          </w:p>
        </w:tc>
        <w:tc>
          <w:tcPr>
            <w:tcW w:w="1361" w:type="dxa"/>
            <w:tcBorders>
              <w:top w:val="single" w:sz="4" w:space="0" w:color="auto"/>
              <w:bottom w:val="single" w:sz="12" w:space="0" w:color="auto"/>
            </w:tcBorders>
            <w:vAlign w:val="bottom"/>
          </w:tcPr>
          <w:p w:rsidR="00742462" w:rsidRPr="00FA2F29" w:rsidRDefault="00742462" w:rsidP="00FA2F29">
            <w:pPr>
              <w:spacing w:before="80" w:after="80" w:line="200" w:lineRule="exact"/>
              <w:ind w:right="57"/>
              <w:rPr>
                <w:i/>
                <w:sz w:val="16"/>
                <w:lang w:val="fr-FR"/>
              </w:rPr>
            </w:pPr>
            <w:r w:rsidRPr="00FA2F29">
              <w:rPr>
                <w:i/>
                <w:sz w:val="16"/>
                <w:lang w:val="fr-FR"/>
              </w:rPr>
              <w:t>Date d</w:t>
            </w:r>
            <w:r w:rsidR="00E42E9D">
              <w:rPr>
                <w:i/>
                <w:sz w:val="16"/>
                <w:lang w:val="fr-FR"/>
              </w:rPr>
              <w:t>’</w:t>
            </w:r>
            <w:r w:rsidRPr="00FA2F29">
              <w:rPr>
                <w:i/>
                <w:sz w:val="16"/>
                <w:lang w:val="fr-FR"/>
              </w:rPr>
              <w:t>expiration</w:t>
            </w:r>
            <w:r w:rsidR="00FA2F29">
              <w:rPr>
                <w:i/>
                <w:sz w:val="16"/>
                <w:lang w:val="fr-FR"/>
              </w:rPr>
              <w:br/>
            </w:r>
            <w:r w:rsidRPr="00FA2F29">
              <w:rPr>
                <w:i/>
                <w:sz w:val="16"/>
                <w:lang w:val="fr-FR"/>
              </w:rPr>
              <w:t>du mandat</w:t>
            </w:r>
          </w:p>
        </w:tc>
      </w:tr>
      <w:tr w:rsidR="00FA2F29" w:rsidRPr="00FA2F29" w:rsidTr="00FA2F29">
        <w:trPr>
          <w:trHeight w:hRule="exact" w:val="113"/>
        </w:trPr>
        <w:tc>
          <w:tcPr>
            <w:tcW w:w="2381" w:type="dxa"/>
            <w:tcBorders>
              <w:top w:val="single" w:sz="4" w:space="0" w:color="auto"/>
            </w:tcBorders>
            <w:shd w:val="clear" w:color="auto" w:fill="auto"/>
            <w:vAlign w:val="bottom"/>
          </w:tcPr>
          <w:p w:rsidR="00FA2F29" w:rsidRPr="00FA2F29" w:rsidRDefault="00FA2F29" w:rsidP="00FA2F29">
            <w:pPr>
              <w:spacing w:before="80" w:after="80" w:line="200" w:lineRule="exact"/>
              <w:ind w:right="57"/>
              <w:rPr>
                <w:i/>
                <w:sz w:val="16"/>
                <w:lang w:val="fr-FR"/>
              </w:rPr>
            </w:pPr>
          </w:p>
        </w:tc>
        <w:tc>
          <w:tcPr>
            <w:tcW w:w="2892" w:type="dxa"/>
            <w:tcBorders>
              <w:top w:val="single" w:sz="4" w:space="0" w:color="auto"/>
            </w:tcBorders>
            <w:shd w:val="clear" w:color="auto" w:fill="auto"/>
            <w:vAlign w:val="bottom"/>
          </w:tcPr>
          <w:p w:rsidR="00FA2F29" w:rsidRPr="00FA2F29" w:rsidRDefault="00FA2F29" w:rsidP="00FA2F29">
            <w:pPr>
              <w:spacing w:before="80" w:after="80" w:line="200" w:lineRule="exact"/>
              <w:ind w:right="57"/>
              <w:rPr>
                <w:i/>
                <w:sz w:val="16"/>
                <w:lang w:val="fr-FR"/>
              </w:rPr>
            </w:pPr>
          </w:p>
        </w:tc>
        <w:tc>
          <w:tcPr>
            <w:tcW w:w="3005" w:type="dxa"/>
            <w:tcBorders>
              <w:top w:val="single" w:sz="4" w:space="0" w:color="auto"/>
            </w:tcBorders>
            <w:shd w:val="clear" w:color="auto" w:fill="auto"/>
            <w:vAlign w:val="bottom"/>
          </w:tcPr>
          <w:p w:rsidR="00FA2F29" w:rsidRPr="00FA2F29" w:rsidRDefault="00FA2F29" w:rsidP="00FA2F29">
            <w:pPr>
              <w:spacing w:before="80" w:after="80" w:line="200" w:lineRule="exact"/>
              <w:ind w:right="57"/>
              <w:rPr>
                <w:i/>
                <w:sz w:val="16"/>
                <w:lang w:val="fr-FR"/>
              </w:rPr>
            </w:pPr>
          </w:p>
        </w:tc>
        <w:tc>
          <w:tcPr>
            <w:tcW w:w="1361" w:type="dxa"/>
            <w:tcBorders>
              <w:top w:val="single" w:sz="4" w:space="0" w:color="auto"/>
            </w:tcBorders>
            <w:vAlign w:val="bottom"/>
          </w:tcPr>
          <w:p w:rsidR="00FA2F29" w:rsidRPr="00FA2F29" w:rsidRDefault="00FA2F29" w:rsidP="00FA2F29">
            <w:pPr>
              <w:spacing w:before="80" w:after="80" w:line="200" w:lineRule="exact"/>
              <w:ind w:right="57"/>
              <w:rPr>
                <w:i/>
                <w:sz w:val="16"/>
                <w:lang w:val="fr-FR"/>
              </w:rPr>
            </w:pPr>
          </w:p>
        </w:tc>
      </w:tr>
      <w:tr w:rsidR="00742462" w:rsidRPr="00FA2F29" w:rsidTr="00FA2F29">
        <w:tc>
          <w:tcPr>
            <w:tcW w:w="2381" w:type="dxa"/>
            <w:shd w:val="clear" w:color="auto" w:fill="auto"/>
            <w:tcMar>
              <w:top w:w="113" w:type="dxa"/>
              <w:bottom w:w="113" w:type="dxa"/>
            </w:tcMar>
          </w:tcPr>
          <w:p w:rsidR="00742462" w:rsidRPr="00FA2F29" w:rsidRDefault="00742462" w:rsidP="00FA2F29">
            <w:pPr>
              <w:spacing w:before="40" w:after="120" w:line="220" w:lineRule="atLeast"/>
              <w:ind w:right="57"/>
              <w:rPr>
                <w:sz w:val="18"/>
                <w:szCs w:val="18"/>
                <w:lang w:val="fr-FR"/>
              </w:rPr>
            </w:pPr>
            <w:r w:rsidRPr="00FA2F29">
              <w:rPr>
                <w:sz w:val="18"/>
                <w:szCs w:val="18"/>
                <w:lang w:val="fr-FR"/>
              </w:rPr>
              <w:t>Groupe informel chargé d</w:t>
            </w:r>
            <w:r w:rsidR="00E42E9D">
              <w:rPr>
                <w:sz w:val="18"/>
                <w:szCs w:val="18"/>
                <w:lang w:val="fr-FR"/>
              </w:rPr>
              <w:t>’</w:t>
            </w:r>
            <w:r w:rsidRPr="00FA2F29">
              <w:rPr>
                <w:sz w:val="18"/>
                <w:szCs w:val="18"/>
                <w:lang w:val="fr-FR"/>
              </w:rPr>
              <w:t>élaborer un RTM sur les véhicules à moteur silencieux</w:t>
            </w:r>
          </w:p>
        </w:tc>
        <w:tc>
          <w:tcPr>
            <w:tcW w:w="2892" w:type="dxa"/>
            <w:shd w:val="clear" w:color="auto" w:fill="auto"/>
            <w:tcMar>
              <w:top w:w="113" w:type="dxa"/>
              <w:bottom w:w="113" w:type="dxa"/>
            </w:tcMar>
            <w:vAlign w:val="center"/>
          </w:tcPr>
          <w:p w:rsidR="00742462" w:rsidRPr="00FA2F29" w:rsidRDefault="00742462" w:rsidP="00FA2F29">
            <w:pPr>
              <w:spacing w:before="40" w:after="120" w:line="220" w:lineRule="atLeast"/>
              <w:ind w:right="57"/>
              <w:rPr>
                <w:sz w:val="18"/>
                <w:szCs w:val="18"/>
                <w:lang w:val="fr-FR"/>
              </w:rPr>
            </w:pPr>
            <w:r w:rsidRPr="00FA2F29">
              <w:rPr>
                <w:sz w:val="18"/>
                <w:szCs w:val="18"/>
                <w:lang w:val="fr-FR"/>
              </w:rPr>
              <w:t>M. Ezana Wondimneh</w:t>
            </w:r>
            <w:r w:rsidR="00FA2F29">
              <w:rPr>
                <w:sz w:val="18"/>
                <w:szCs w:val="18"/>
                <w:lang w:val="fr-FR"/>
              </w:rPr>
              <w:br/>
            </w:r>
            <w:r w:rsidRPr="00FA2F29">
              <w:rPr>
                <w:sz w:val="18"/>
                <w:szCs w:val="18"/>
                <w:lang w:val="fr-FR"/>
              </w:rPr>
              <w:t>(États-Unis d</w:t>
            </w:r>
            <w:r w:rsidR="00E42E9D">
              <w:rPr>
                <w:sz w:val="18"/>
                <w:szCs w:val="18"/>
                <w:lang w:val="fr-FR"/>
              </w:rPr>
              <w:t>’</w:t>
            </w:r>
            <w:r w:rsidRPr="00FA2F29">
              <w:rPr>
                <w:sz w:val="18"/>
                <w:szCs w:val="18"/>
                <w:lang w:val="fr-FR"/>
              </w:rPr>
              <w:t>Amérique)</w:t>
            </w:r>
            <w:r w:rsidRPr="00FA2F29">
              <w:rPr>
                <w:sz w:val="18"/>
                <w:szCs w:val="18"/>
                <w:lang w:val="fr-FR"/>
              </w:rPr>
              <w:br/>
              <w:t>Tél.: +1 202 366 21 17</w:t>
            </w:r>
            <w:r w:rsidRPr="00FA2F29">
              <w:rPr>
                <w:sz w:val="18"/>
                <w:szCs w:val="18"/>
                <w:lang w:val="fr-FR"/>
              </w:rPr>
              <w:br/>
              <w:t xml:space="preserve">Courriel: </w:t>
            </w:r>
            <w:hyperlink r:id="rId15">
              <w:r w:rsidRPr="00FA2F29">
                <w:rPr>
                  <w:sz w:val="18"/>
                  <w:szCs w:val="18"/>
                  <w:lang w:val="fr-FR"/>
                </w:rPr>
                <w:t>Ezana.wondimneh@dot.gov</w:t>
              </w:r>
            </w:hyperlink>
          </w:p>
          <w:p w:rsidR="00742462" w:rsidRPr="00FA2F29" w:rsidRDefault="0086678F" w:rsidP="00FA2F29">
            <w:pPr>
              <w:spacing w:before="40" w:after="120" w:line="220" w:lineRule="atLeast"/>
              <w:ind w:right="57"/>
              <w:rPr>
                <w:sz w:val="18"/>
                <w:szCs w:val="18"/>
                <w:lang w:val="fr-FR"/>
              </w:rPr>
            </w:pPr>
            <w:r>
              <w:rPr>
                <w:sz w:val="18"/>
                <w:szCs w:val="18"/>
                <w:lang w:val="fr-FR"/>
              </w:rPr>
              <w:t>M. </w:t>
            </w:r>
            <w:r w:rsidR="00742462" w:rsidRPr="00FA2F29">
              <w:rPr>
                <w:sz w:val="18"/>
                <w:szCs w:val="18"/>
                <w:lang w:val="fr-FR"/>
              </w:rPr>
              <w:t>Ichiro Sakamoto (Japon)</w:t>
            </w:r>
            <w:r w:rsidR="00FA2F29">
              <w:rPr>
                <w:sz w:val="18"/>
                <w:szCs w:val="18"/>
                <w:lang w:val="fr-FR"/>
              </w:rPr>
              <w:br/>
            </w:r>
            <w:r w:rsidR="00742462" w:rsidRPr="00FA2F29">
              <w:rPr>
                <w:sz w:val="18"/>
                <w:szCs w:val="18"/>
                <w:lang w:val="fr-FR"/>
              </w:rPr>
              <w:t>Tél.: +81 422 41 66 18</w:t>
            </w:r>
            <w:r w:rsidR="00FA2F29">
              <w:rPr>
                <w:sz w:val="18"/>
                <w:szCs w:val="18"/>
                <w:lang w:val="fr-FR"/>
              </w:rPr>
              <w:br/>
            </w:r>
            <w:r w:rsidR="00742462" w:rsidRPr="00FA2F29">
              <w:rPr>
                <w:sz w:val="18"/>
                <w:szCs w:val="18"/>
                <w:lang w:val="fr-FR"/>
              </w:rPr>
              <w:t>Télécopie: +81 422 76 86 04</w:t>
            </w:r>
            <w:r w:rsidR="00FA2F29">
              <w:rPr>
                <w:sz w:val="18"/>
                <w:szCs w:val="18"/>
                <w:lang w:val="fr-FR"/>
              </w:rPr>
              <w:br/>
            </w:r>
            <w:r w:rsidR="00742462" w:rsidRPr="00FA2F29">
              <w:rPr>
                <w:sz w:val="18"/>
                <w:szCs w:val="18"/>
                <w:lang w:val="fr-FR"/>
              </w:rPr>
              <w:t xml:space="preserve">Courriel: </w:t>
            </w:r>
            <w:hyperlink r:id="rId16">
              <w:r w:rsidR="00742462" w:rsidRPr="00FA2F29">
                <w:rPr>
                  <w:sz w:val="18"/>
                  <w:szCs w:val="18"/>
                  <w:lang w:val="fr-FR"/>
                </w:rPr>
                <w:t>i-saka@ntsel.go.jp</w:t>
              </w:r>
            </w:hyperlink>
          </w:p>
        </w:tc>
        <w:tc>
          <w:tcPr>
            <w:tcW w:w="3005" w:type="dxa"/>
            <w:shd w:val="clear" w:color="auto" w:fill="auto"/>
            <w:tcMar>
              <w:top w:w="113" w:type="dxa"/>
              <w:bottom w:w="113" w:type="dxa"/>
            </w:tcMar>
          </w:tcPr>
          <w:p w:rsidR="00742462" w:rsidRPr="00FA2F29" w:rsidRDefault="0086678F" w:rsidP="00E455E1">
            <w:pPr>
              <w:spacing w:before="40" w:after="120" w:line="220" w:lineRule="atLeast"/>
              <w:ind w:right="57"/>
              <w:rPr>
                <w:sz w:val="18"/>
                <w:szCs w:val="18"/>
                <w:lang w:val="fr-FR"/>
              </w:rPr>
            </w:pPr>
            <w:r>
              <w:rPr>
                <w:sz w:val="18"/>
                <w:szCs w:val="18"/>
                <w:lang w:val="fr-FR"/>
              </w:rPr>
              <w:t>M. </w:t>
            </w:r>
            <w:r w:rsidR="00742462" w:rsidRPr="00FA2F29">
              <w:rPr>
                <w:sz w:val="18"/>
                <w:szCs w:val="18"/>
                <w:lang w:val="fr-FR"/>
              </w:rPr>
              <w:t>Andreas Vosinis</w:t>
            </w:r>
            <w:r w:rsidR="00FA2F29">
              <w:rPr>
                <w:sz w:val="18"/>
                <w:szCs w:val="18"/>
                <w:lang w:val="fr-FR"/>
              </w:rPr>
              <w:br/>
            </w:r>
            <w:r w:rsidR="00742462" w:rsidRPr="00FA2F29">
              <w:rPr>
                <w:sz w:val="18"/>
                <w:szCs w:val="18"/>
                <w:lang w:val="fr-FR"/>
              </w:rPr>
              <w:t>(DG Marché intérieur, industrie, entrepreneuriat et PME,</w:t>
            </w:r>
            <w:r w:rsidR="00FA2F29">
              <w:rPr>
                <w:sz w:val="18"/>
                <w:szCs w:val="18"/>
                <w:lang w:val="fr-FR"/>
              </w:rPr>
              <w:br/>
            </w:r>
            <w:r w:rsidR="00742462" w:rsidRPr="00FA2F29">
              <w:rPr>
                <w:sz w:val="18"/>
                <w:szCs w:val="18"/>
                <w:lang w:val="fr-FR"/>
              </w:rPr>
              <w:t>Commission européenne)</w:t>
            </w:r>
            <w:r w:rsidR="00742462" w:rsidRPr="00FA2F29">
              <w:rPr>
                <w:sz w:val="18"/>
                <w:szCs w:val="18"/>
                <w:lang w:val="fr-FR"/>
              </w:rPr>
              <w:br/>
              <w:t>Tel:+ 32 2 2992116</w:t>
            </w:r>
            <w:r w:rsidR="00E455E1">
              <w:rPr>
                <w:sz w:val="18"/>
                <w:szCs w:val="18"/>
                <w:lang w:val="fr-FR"/>
              </w:rPr>
              <w:br/>
            </w:r>
            <w:r w:rsidR="00742462" w:rsidRPr="00FA2F29">
              <w:rPr>
                <w:sz w:val="18"/>
                <w:szCs w:val="18"/>
                <w:lang w:val="fr-FR"/>
              </w:rPr>
              <w:t>Courriel: andreas.vosinis@ec.europa.eu</w:t>
            </w:r>
          </w:p>
        </w:tc>
        <w:tc>
          <w:tcPr>
            <w:tcW w:w="1361" w:type="dxa"/>
          </w:tcPr>
          <w:p w:rsidR="00742462" w:rsidRPr="00FA2F29" w:rsidRDefault="00E455E1" w:rsidP="00671BF7">
            <w:pPr>
              <w:spacing w:before="40" w:after="120" w:line="220" w:lineRule="atLeast"/>
              <w:ind w:right="57"/>
              <w:rPr>
                <w:sz w:val="18"/>
                <w:szCs w:val="18"/>
                <w:lang w:val="fr-FR"/>
              </w:rPr>
            </w:pPr>
            <w:r w:rsidRPr="00FA2F29">
              <w:rPr>
                <w:sz w:val="18"/>
                <w:szCs w:val="18"/>
                <w:lang w:val="fr-FR"/>
              </w:rPr>
              <w:t>Novembre</w:t>
            </w:r>
            <w:r>
              <w:rPr>
                <w:sz w:val="18"/>
                <w:szCs w:val="18"/>
                <w:lang w:val="fr-FR"/>
              </w:rPr>
              <w:t xml:space="preserve"> </w:t>
            </w:r>
            <w:r w:rsidR="00742462" w:rsidRPr="00FA2F29">
              <w:rPr>
                <w:sz w:val="18"/>
                <w:szCs w:val="18"/>
                <w:lang w:val="fr-FR"/>
              </w:rPr>
              <w:t>2015</w:t>
            </w:r>
          </w:p>
        </w:tc>
      </w:tr>
      <w:tr w:rsidR="00742462" w:rsidRPr="00FA2F29" w:rsidTr="00FA2F29">
        <w:tc>
          <w:tcPr>
            <w:tcW w:w="2381" w:type="dxa"/>
            <w:tcBorders>
              <w:bottom w:val="single" w:sz="12" w:space="0" w:color="auto"/>
            </w:tcBorders>
            <w:shd w:val="clear" w:color="auto" w:fill="auto"/>
            <w:tcMar>
              <w:top w:w="113" w:type="dxa"/>
              <w:bottom w:w="113" w:type="dxa"/>
            </w:tcMar>
          </w:tcPr>
          <w:p w:rsidR="00742462" w:rsidRPr="00FA2F29" w:rsidRDefault="00742462" w:rsidP="00FA2F29">
            <w:pPr>
              <w:spacing w:before="40" w:after="120" w:line="220" w:lineRule="atLeast"/>
              <w:ind w:right="57"/>
              <w:rPr>
                <w:sz w:val="18"/>
                <w:szCs w:val="18"/>
                <w:lang w:val="fr-FR"/>
              </w:rPr>
            </w:pPr>
            <w:r w:rsidRPr="00FA2F29">
              <w:rPr>
                <w:sz w:val="18"/>
                <w:szCs w:val="18"/>
                <w:lang w:val="fr-FR"/>
              </w:rPr>
              <w:t>Règlement sur les véhicules</w:t>
            </w:r>
            <w:r w:rsidR="00FA2F29">
              <w:rPr>
                <w:sz w:val="18"/>
                <w:szCs w:val="18"/>
                <w:lang w:val="fr-FR"/>
              </w:rPr>
              <w:br/>
            </w:r>
            <w:r w:rsidRPr="00FA2F29">
              <w:rPr>
                <w:sz w:val="18"/>
                <w:szCs w:val="18"/>
                <w:lang w:val="fr-FR"/>
              </w:rPr>
              <w:t>à moteur silencieux dans le cadre de l</w:t>
            </w:r>
            <w:r w:rsidR="00E42E9D">
              <w:rPr>
                <w:sz w:val="18"/>
                <w:szCs w:val="18"/>
                <w:lang w:val="fr-FR"/>
              </w:rPr>
              <w:t>’</w:t>
            </w:r>
            <w:r w:rsidRPr="00FA2F29">
              <w:rPr>
                <w:sz w:val="18"/>
                <w:szCs w:val="18"/>
                <w:lang w:val="fr-FR"/>
              </w:rPr>
              <w:t xml:space="preserve">Accord de 1958 </w:t>
            </w:r>
          </w:p>
        </w:tc>
        <w:tc>
          <w:tcPr>
            <w:tcW w:w="2892" w:type="dxa"/>
            <w:tcBorders>
              <w:bottom w:val="single" w:sz="12" w:space="0" w:color="auto"/>
            </w:tcBorders>
            <w:shd w:val="clear" w:color="auto" w:fill="auto"/>
            <w:tcMar>
              <w:top w:w="113" w:type="dxa"/>
              <w:bottom w:w="113" w:type="dxa"/>
            </w:tcMar>
            <w:vAlign w:val="center"/>
          </w:tcPr>
          <w:p w:rsidR="00742462" w:rsidRPr="00FA2F29" w:rsidRDefault="0086678F" w:rsidP="00FA2F29">
            <w:pPr>
              <w:spacing w:before="40" w:after="120" w:line="220" w:lineRule="atLeast"/>
              <w:ind w:right="57"/>
              <w:rPr>
                <w:sz w:val="18"/>
                <w:szCs w:val="18"/>
                <w:lang w:val="fr-FR"/>
              </w:rPr>
            </w:pPr>
            <w:r>
              <w:rPr>
                <w:sz w:val="18"/>
                <w:szCs w:val="18"/>
                <w:lang w:val="fr-FR"/>
              </w:rPr>
              <w:t>M. </w:t>
            </w:r>
            <w:r w:rsidR="00742462" w:rsidRPr="00FA2F29">
              <w:rPr>
                <w:sz w:val="18"/>
                <w:szCs w:val="18"/>
                <w:lang w:val="fr-FR"/>
              </w:rPr>
              <w:t>Bernd Schüttler (Allemagne)</w:t>
            </w:r>
            <w:r w:rsidR="00FA2F29">
              <w:rPr>
                <w:sz w:val="18"/>
                <w:szCs w:val="18"/>
                <w:lang w:val="fr-FR"/>
              </w:rPr>
              <w:br/>
            </w:r>
            <w:r w:rsidR="00742462" w:rsidRPr="00FA2F29">
              <w:rPr>
                <w:sz w:val="18"/>
                <w:szCs w:val="18"/>
                <w:lang w:val="fr-FR"/>
              </w:rPr>
              <w:t>Tél.: +49 228 99300 4372</w:t>
            </w:r>
            <w:r w:rsidR="00FA2F29">
              <w:rPr>
                <w:sz w:val="18"/>
                <w:szCs w:val="18"/>
                <w:lang w:val="fr-FR"/>
              </w:rPr>
              <w:br/>
            </w:r>
            <w:r w:rsidR="00742462" w:rsidRPr="00FA2F29">
              <w:rPr>
                <w:sz w:val="18"/>
                <w:szCs w:val="18"/>
                <w:lang w:val="fr-FR"/>
              </w:rPr>
              <w:t>Télécopie: +49 228 99300807 4372</w:t>
            </w:r>
            <w:r w:rsidR="00FA2F29">
              <w:rPr>
                <w:sz w:val="18"/>
                <w:szCs w:val="18"/>
                <w:lang w:val="fr-FR"/>
              </w:rPr>
              <w:br/>
            </w:r>
            <w:r w:rsidR="00742462" w:rsidRPr="00FA2F29">
              <w:rPr>
                <w:sz w:val="18"/>
                <w:szCs w:val="18"/>
                <w:lang w:val="fr-FR"/>
              </w:rPr>
              <w:t>Courriel: bernd.schuettler@bmvi.bund.de</w:t>
            </w:r>
          </w:p>
          <w:p w:rsidR="00742462" w:rsidRPr="00FA2F29" w:rsidRDefault="0086678F" w:rsidP="00FA2F29">
            <w:pPr>
              <w:spacing w:before="40" w:after="120" w:line="220" w:lineRule="atLeast"/>
              <w:ind w:right="57"/>
              <w:rPr>
                <w:sz w:val="18"/>
                <w:szCs w:val="18"/>
                <w:lang w:val="fr-FR"/>
              </w:rPr>
            </w:pPr>
            <w:r>
              <w:rPr>
                <w:sz w:val="18"/>
                <w:szCs w:val="18"/>
                <w:lang w:val="fr-FR"/>
              </w:rPr>
              <w:t>M. </w:t>
            </w:r>
            <w:r w:rsidR="00742462" w:rsidRPr="00FA2F29">
              <w:rPr>
                <w:sz w:val="18"/>
                <w:szCs w:val="18"/>
                <w:lang w:val="fr-FR"/>
              </w:rPr>
              <w:t>Louis-Ferdinand Pardo (France)</w:t>
            </w:r>
            <w:r w:rsidR="00FA2F29">
              <w:rPr>
                <w:sz w:val="18"/>
                <w:szCs w:val="18"/>
                <w:lang w:val="fr-FR"/>
              </w:rPr>
              <w:br/>
            </w:r>
            <w:r w:rsidR="00742462" w:rsidRPr="00FA2F29">
              <w:rPr>
                <w:sz w:val="18"/>
                <w:szCs w:val="18"/>
                <w:lang w:val="fr-FR"/>
              </w:rPr>
              <w:t>Tél.: +33 1 69 80 17 66</w:t>
            </w:r>
            <w:r w:rsidR="00FA2F29">
              <w:rPr>
                <w:sz w:val="18"/>
                <w:szCs w:val="18"/>
                <w:lang w:val="fr-FR"/>
              </w:rPr>
              <w:br/>
            </w:r>
            <w:r w:rsidR="00742462" w:rsidRPr="00FA2F29">
              <w:rPr>
                <w:sz w:val="18"/>
                <w:szCs w:val="18"/>
                <w:lang w:val="fr-FR"/>
              </w:rPr>
              <w:t>Télécopie: +33 1 69 80 17 09</w:t>
            </w:r>
            <w:r w:rsidR="00FA2F29">
              <w:rPr>
                <w:sz w:val="18"/>
                <w:szCs w:val="18"/>
                <w:lang w:val="fr-FR"/>
              </w:rPr>
              <w:br/>
            </w:r>
            <w:r w:rsidR="00742462" w:rsidRPr="00FA2F29">
              <w:rPr>
                <w:sz w:val="18"/>
                <w:szCs w:val="18"/>
                <w:lang w:val="fr-FR"/>
              </w:rPr>
              <w:t>Courriel:</w:t>
            </w:r>
            <w:r w:rsidR="00E455E1">
              <w:rPr>
                <w:sz w:val="18"/>
                <w:szCs w:val="18"/>
                <w:lang w:val="fr-FR"/>
              </w:rPr>
              <w:br/>
            </w:r>
            <w:r w:rsidR="00742462" w:rsidRPr="00FA2F29">
              <w:rPr>
                <w:sz w:val="18"/>
                <w:szCs w:val="18"/>
                <w:lang w:val="fr-FR"/>
              </w:rPr>
              <w:t>louis-ferdinand.pardo</w:t>
            </w:r>
            <w:r w:rsidR="00FA2F29">
              <w:rPr>
                <w:sz w:val="18"/>
                <w:szCs w:val="18"/>
                <w:lang w:val="fr-FR"/>
              </w:rPr>
              <w:t xml:space="preserve"> </w:t>
            </w:r>
            <w:r w:rsidR="00742462" w:rsidRPr="00FA2F29">
              <w:rPr>
                <w:sz w:val="18"/>
                <w:szCs w:val="18"/>
                <w:lang w:val="fr-FR"/>
              </w:rPr>
              <w:t>@utaceram.com</w:t>
            </w:r>
          </w:p>
          <w:p w:rsidR="00742462" w:rsidRPr="00FA2F29" w:rsidRDefault="0086678F" w:rsidP="00FA2F29">
            <w:pPr>
              <w:spacing w:before="40" w:after="120" w:line="220" w:lineRule="atLeast"/>
              <w:ind w:right="57"/>
              <w:rPr>
                <w:sz w:val="18"/>
                <w:szCs w:val="18"/>
                <w:lang w:val="fr-FR"/>
              </w:rPr>
            </w:pPr>
            <w:r>
              <w:rPr>
                <w:sz w:val="18"/>
                <w:szCs w:val="18"/>
                <w:lang w:val="fr-FR"/>
              </w:rPr>
              <w:t>M. </w:t>
            </w:r>
            <w:r w:rsidR="00742462" w:rsidRPr="00FA2F29">
              <w:rPr>
                <w:sz w:val="18"/>
                <w:szCs w:val="18"/>
                <w:lang w:val="fr-FR"/>
              </w:rPr>
              <w:t>Ichiro Sakamoto (Japon)</w:t>
            </w:r>
            <w:r w:rsidR="00FA2F29">
              <w:rPr>
                <w:sz w:val="18"/>
                <w:szCs w:val="18"/>
                <w:lang w:val="fr-FR"/>
              </w:rPr>
              <w:br/>
            </w:r>
            <w:r w:rsidR="00742462" w:rsidRPr="00FA2F29">
              <w:rPr>
                <w:sz w:val="18"/>
                <w:szCs w:val="18"/>
                <w:lang w:val="fr-FR"/>
              </w:rPr>
              <w:t>Tél.: +81 422 41 66 18</w:t>
            </w:r>
            <w:r w:rsidR="00FA2F29">
              <w:rPr>
                <w:sz w:val="18"/>
                <w:szCs w:val="18"/>
                <w:lang w:val="fr-FR"/>
              </w:rPr>
              <w:br/>
            </w:r>
            <w:r w:rsidR="00742462" w:rsidRPr="00FA2F29">
              <w:rPr>
                <w:sz w:val="18"/>
                <w:szCs w:val="18"/>
                <w:lang w:val="fr-FR"/>
              </w:rPr>
              <w:t>Télécopie: +81 422 76 86 04</w:t>
            </w:r>
            <w:r w:rsidR="00FA2F29">
              <w:rPr>
                <w:sz w:val="18"/>
                <w:szCs w:val="18"/>
                <w:lang w:val="fr-FR"/>
              </w:rPr>
              <w:br/>
            </w:r>
            <w:r w:rsidR="00742462" w:rsidRPr="00FA2F29">
              <w:rPr>
                <w:sz w:val="18"/>
                <w:szCs w:val="18"/>
                <w:lang w:val="fr-FR"/>
              </w:rPr>
              <w:t>Courriel: i-saka@ntsel.go.jp</w:t>
            </w:r>
          </w:p>
        </w:tc>
        <w:tc>
          <w:tcPr>
            <w:tcW w:w="3005" w:type="dxa"/>
            <w:tcBorders>
              <w:bottom w:val="single" w:sz="12" w:space="0" w:color="auto"/>
            </w:tcBorders>
            <w:shd w:val="clear" w:color="auto" w:fill="auto"/>
            <w:tcMar>
              <w:top w:w="113" w:type="dxa"/>
              <w:bottom w:w="113" w:type="dxa"/>
            </w:tcMar>
          </w:tcPr>
          <w:p w:rsidR="00742462" w:rsidRPr="00FA2F29" w:rsidRDefault="0086678F" w:rsidP="00FA2F29">
            <w:pPr>
              <w:spacing w:before="40" w:after="120" w:line="220" w:lineRule="atLeast"/>
              <w:ind w:right="57"/>
              <w:rPr>
                <w:sz w:val="18"/>
                <w:szCs w:val="18"/>
                <w:lang w:val="fr-FR"/>
              </w:rPr>
            </w:pPr>
            <w:r>
              <w:rPr>
                <w:sz w:val="18"/>
                <w:szCs w:val="18"/>
                <w:lang w:val="fr-FR"/>
              </w:rPr>
              <w:t>M. </w:t>
            </w:r>
            <w:r w:rsidR="00742462" w:rsidRPr="00FA2F29">
              <w:rPr>
                <w:sz w:val="18"/>
                <w:szCs w:val="18"/>
                <w:lang w:val="fr-FR"/>
              </w:rPr>
              <w:t>Hanns-Peter Bietenbeck</w:t>
            </w:r>
            <w:r w:rsidR="00FA2F29">
              <w:rPr>
                <w:sz w:val="18"/>
                <w:szCs w:val="18"/>
                <w:lang w:val="fr-FR"/>
              </w:rPr>
              <w:br/>
            </w:r>
            <w:r w:rsidR="00742462" w:rsidRPr="00FA2F29">
              <w:rPr>
                <w:sz w:val="18"/>
                <w:szCs w:val="18"/>
                <w:lang w:val="fr-FR"/>
              </w:rPr>
              <w:t>(OICA)</w:t>
            </w:r>
            <w:r w:rsidR="00FA2F29">
              <w:rPr>
                <w:sz w:val="18"/>
                <w:szCs w:val="18"/>
                <w:lang w:val="fr-FR"/>
              </w:rPr>
              <w:br/>
            </w:r>
            <w:r w:rsidR="00742462" w:rsidRPr="00FA2F29">
              <w:rPr>
                <w:sz w:val="18"/>
                <w:szCs w:val="18"/>
                <w:lang w:val="fr-FR"/>
              </w:rPr>
              <w:t>Tél.: +49 221 903 24 09</w:t>
            </w:r>
            <w:r w:rsidR="00FA2F29">
              <w:rPr>
                <w:sz w:val="18"/>
                <w:szCs w:val="18"/>
                <w:lang w:val="fr-FR"/>
              </w:rPr>
              <w:br/>
            </w:r>
            <w:r w:rsidR="00742462" w:rsidRPr="00FA2F29">
              <w:rPr>
                <w:sz w:val="18"/>
                <w:szCs w:val="18"/>
                <w:lang w:val="fr-FR"/>
              </w:rPr>
              <w:t>Télécopie: +49 221 903 25 46</w:t>
            </w:r>
            <w:r w:rsidR="00FA2F29">
              <w:rPr>
                <w:sz w:val="18"/>
                <w:szCs w:val="18"/>
                <w:lang w:val="fr-FR"/>
              </w:rPr>
              <w:br/>
            </w:r>
            <w:r w:rsidR="00742462" w:rsidRPr="00FA2F29">
              <w:rPr>
                <w:sz w:val="18"/>
                <w:szCs w:val="18"/>
                <w:lang w:val="fr-FR"/>
              </w:rPr>
              <w:t xml:space="preserve">Courriel: hbietenb@ford.com </w:t>
            </w:r>
          </w:p>
        </w:tc>
        <w:tc>
          <w:tcPr>
            <w:tcW w:w="1361" w:type="dxa"/>
            <w:tcBorders>
              <w:bottom w:val="single" w:sz="12" w:space="0" w:color="auto"/>
            </w:tcBorders>
          </w:tcPr>
          <w:p w:rsidR="00742462" w:rsidRPr="00FA2F29" w:rsidRDefault="00E455E1" w:rsidP="00671BF7">
            <w:pPr>
              <w:spacing w:before="40" w:after="120" w:line="220" w:lineRule="atLeast"/>
              <w:ind w:right="57"/>
              <w:rPr>
                <w:sz w:val="18"/>
                <w:szCs w:val="18"/>
                <w:lang w:val="fr-FR"/>
              </w:rPr>
            </w:pPr>
            <w:r w:rsidRPr="00FA2F29">
              <w:rPr>
                <w:sz w:val="18"/>
                <w:szCs w:val="18"/>
                <w:lang w:val="fr-FR"/>
              </w:rPr>
              <w:t>Septembre</w:t>
            </w:r>
            <w:r>
              <w:rPr>
                <w:sz w:val="18"/>
                <w:szCs w:val="18"/>
                <w:lang w:val="fr-FR"/>
              </w:rPr>
              <w:t xml:space="preserve"> </w:t>
            </w:r>
            <w:r w:rsidR="00742462" w:rsidRPr="00FA2F29">
              <w:rPr>
                <w:sz w:val="18"/>
                <w:szCs w:val="18"/>
                <w:lang w:val="fr-FR"/>
              </w:rPr>
              <w:t>2015</w:t>
            </w:r>
          </w:p>
        </w:tc>
      </w:tr>
    </w:tbl>
    <w:p w:rsidR="00F9573C" w:rsidRPr="00FA2F29" w:rsidRDefault="00FA2F29" w:rsidP="00FA2F29">
      <w:pPr>
        <w:pStyle w:val="SingleTxtG"/>
        <w:spacing w:before="240" w:after="0"/>
        <w:jc w:val="center"/>
        <w:rPr>
          <w:u w:val="single"/>
        </w:rPr>
      </w:pPr>
      <w:r>
        <w:rPr>
          <w:u w:val="single"/>
        </w:rPr>
        <w:tab/>
      </w:r>
      <w:r>
        <w:rPr>
          <w:u w:val="single"/>
        </w:rPr>
        <w:tab/>
      </w:r>
      <w:r>
        <w:rPr>
          <w:u w:val="single"/>
        </w:rPr>
        <w:tab/>
      </w:r>
    </w:p>
    <w:sectPr w:rsidR="00F9573C" w:rsidRPr="00FA2F29" w:rsidSect="00742462">
      <w:headerReference w:type="even" r:id="rId17"/>
      <w:headerReference w:type="default" r:id="rId18"/>
      <w:footerReference w:type="even" r:id="rId19"/>
      <w:footerReference w:type="default" r:id="rId20"/>
      <w:footerReference w:type="first" r:id="rId21"/>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8F" w:rsidRDefault="0086678F" w:rsidP="00F95C08">
      <w:pPr>
        <w:spacing w:line="240" w:lineRule="auto"/>
      </w:pPr>
    </w:p>
  </w:endnote>
  <w:endnote w:type="continuationSeparator" w:id="0">
    <w:p w:rsidR="0086678F" w:rsidRPr="00AC3823" w:rsidRDefault="0086678F" w:rsidP="00AC3823">
      <w:pPr>
        <w:pStyle w:val="Footer"/>
      </w:pPr>
    </w:p>
  </w:endnote>
  <w:endnote w:type="continuationNotice" w:id="1">
    <w:p w:rsidR="0086678F" w:rsidRDefault="008667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F" w:rsidRPr="00742462" w:rsidRDefault="0086678F" w:rsidP="00742462">
    <w:pPr>
      <w:pStyle w:val="Footer"/>
      <w:tabs>
        <w:tab w:val="right" w:pos="9638"/>
      </w:tabs>
    </w:pPr>
    <w:r w:rsidRPr="00742462">
      <w:rPr>
        <w:b/>
        <w:sz w:val="18"/>
      </w:rPr>
      <w:fldChar w:fldCharType="begin"/>
    </w:r>
    <w:r w:rsidRPr="00742462">
      <w:rPr>
        <w:b/>
        <w:sz w:val="18"/>
      </w:rPr>
      <w:instrText xml:space="preserve"> PAGE  \* MERGEFORMAT </w:instrText>
    </w:r>
    <w:r w:rsidRPr="00742462">
      <w:rPr>
        <w:b/>
        <w:sz w:val="18"/>
      </w:rPr>
      <w:fldChar w:fldCharType="separate"/>
    </w:r>
    <w:r w:rsidR="009806BC">
      <w:rPr>
        <w:b/>
        <w:noProof/>
        <w:sz w:val="18"/>
      </w:rPr>
      <w:t>2</w:t>
    </w:r>
    <w:r w:rsidRPr="00742462">
      <w:rPr>
        <w:b/>
        <w:sz w:val="18"/>
      </w:rPr>
      <w:fldChar w:fldCharType="end"/>
    </w:r>
    <w:r>
      <w:rPr>
        <w:b/>
        <w:sz w:val="18"/>
      </w:rPr>
      <w:tab/>
    </w:r>
    <w:r>
      <w:t>GE.15-03844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F" w:rsidRPr="00742462" w:rsidRDefault="0086678F" w:rsidP="00742462">
    <w:pPr>
      <w:pStyle w:val="Footer"/>
      <w:tabs>
        <w:tab w:val="right" w:pos="9638"/>
      </w:tabs>
      <w:rPr>
        <w:b/>
        <w:sz w:val="18"/>
      </w:rPr>
    </w:pPr>
    <w:r>
      <w:t>GE.15-03844</w:t>
    </w:r>
    <w:r>
      <w:tab/>
    </w:r>
    <w:r w:rsidRPr="00742462">
      <w:rPr>
        <w:b/>
        <w:sz w:val="18"/>
      </w:rPr>
      <w:fldChar w:fldCharType="begin"/>
    </w:r>
    <w:r w:rsidRPr="00742462">
      <w:rPr>
        <w:b/>
        <w:sz w:val="18"/>
      </w:rPr>
      <w:instrText xml:space="preserve"> PAGE  \* MERGEFORMAT </w:instrText>
    </w:r>
    <w:r w:rsidRPr="00742462">
      <w:rPr>
        <w:b/>
        <w:sz w:val="18"/>
      </w:rPr>
      <w:fldChar w:fldCharType="separate"/>
    </w:r>
    <w:r w:rsidR="009806BC">
      <w:rPr>
        <w:b/>
        <w:noProof/>
        <w:sz w:val="18"/>
      </w:rPr>
      <w:t>23</w:t>
    </w:r>
    <w:r w:rsidRPr="007424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F" w:rsidRPr="00742462" w:rsidRDefault="0086678F" w:rsidP="00742462">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6B9F2D1" wp14:editId="06A52A1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15-03844  (F)</w:t>
    </w:r>
    <w:r w:rsidR="005F0E40">
      <w:rPr>
        <w:sz w:val="20"/>
      </w:rPr>
      <w:t xml:space="preserve">    200415    </w:t>
    </w:r>
    <w:r w:rsidR="00E41FB2">
      <w:rPr>
        <w:sz w:val="20"/>
      </w:rPr>
      <w:t>210415</w:t>
    </w:r>
    <w:r>
      <w:rPr>
        <w:sz w:val="20"/>
      </w:rPr>
      <w:br/>
    </w:r>
    <w:r w:rsidRPr="00742462">
      <w:rPr>
        <w:rFonts w:ascii="C39T30Lfz" w:hAnsi="C39T30Lfz"/>
        <w:sz w:val="56"/>
      </w:rPr>
      <w:t></w:t>
    </w:r>
    <w:r w:rsidRPr="00742462">
      <w:rPr>
        <w:rFonts w:ascii="C39T30Lfz" w:hAnsi="C39T30Lfz"/>
        <w:sz w:val="56"/>
      </w:rPr>
      <w:t></w:t>
    </w:r>
    <w:r w:rsidRPr="00742462">
      <w:rPr>
        <w:rFonts w:ascii="C39T30Lfz" w:hAnsi="C39T30Lfz"/>
        <w:sz w:val="56"/>
      </w:rPr>
      <w:t></w:t>
    </w:r>
    <w:r w:rsidRPr="00742462">
      <w:rPr>
        <w:rFonts w:ascii="C39T30Lfz" w:hAnsi="C39T30Lfz"/>
        <w:sz w:val="56"/>
      </w:rPr>
      <w:t></w:t>
    </w:r>
    <w:r w:rsidRPr="00742462">
      <w:rPr>
        <w:rFonts w:ascii="C39T30Lfz" w:hAnsi="C39T30Lfz"/>
        <w:sz w:val="56"/>
      </w:rPr>
      <w:t></w:t>
    </w:r>
    <w:r w:rsidRPr="00742462">
      <w:rPr>
        <w:rFonts w:ascii="C39T30Lfz" w:hAnsi="C39T30Lfz"/>
        <w:sz w:val="56"/>
      </w:rPr>
      <w:t></w:t>
    </w:r>
    <w:r w:rsidRPr="00742462">
      <w:rPr>
        <w:rFonts w:ascii="C39T30Lfz" w:hAnsi="C39T30Lfz"/>
        <w:sz w:val="56"/>
      </w:rPr>
      <w:t></w:t>
    </w:r>
    <w:r w:rsidRPr="00742462">
      <w:rPr>
        <w:rFonts w:ascii="C39T30Lfz" w:hAnsi="C39T30Lfz"/>
        <w:sz w:val="56"/>
      </w:rPr>
      <w:t></w:t>
    </w:r>
    <w:r w:rsidRPr="0074246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B/5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5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8F" w:rsidRPr="00AC3823" w:rsidRDefault="0086678F" w:rsidP="00AC3823">
      <w:pPr>
        <w:pStyle w:val="Footer"/>
        <w:tabs>
          <w:tab w:val="right" w:pos="2155"/>
        </w:tabs>
        <w:spacing w:after="80" w:line="240" w:lineRule="atLeast"/>
        <w:ind w:left="680"/>
        <w:rPr>
          <w:u w:val="single"/>
        </w:rPr>
      </w:pPr>
      <w:r>
        <w:rPr>
          <w:u w:val="single"/>
        </w:rPr>
        <w:tab/>
      </w:r>
    </w:p>
  </w:footnote>
  <w:footnote w:type="continuationSeparator" w:id="0">
    <w:p w:rsidR="0086678F" w:rsidRPr="00AC3823" w:rsidRDefault="0086678F" w:rsidP="00AC3823">
      <w:pPr>
        <w:pStyle w:val="Footer"/>
        <w:tabs>
          <w:tab w:val="right" w:pos="2155"/>
        </w:tabs>
        <w:spacing w:after="80" w:line="240" w:lineRule="atLeast"/>
        <w:ind w:left="680"/>
        <w:rPr>
          <w:u w:val="single"/>
        </w:rPr>
      </w:pPr>
      <w:r>
        <w:rPr>
          <w:u w:val="single"/>
        </w:rPr>
        <w:tab/>
      </w:r>
    </w:p>
  </w:footnote>
  <w:footnote w:type="continuationNotice" w:id="1">
    <w:p w:rsidR="0086678F" w:rsidRPr="00AC3823" w:rsidRDefault="0086678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F" w:rsidRPr="00742462" w:rsidRDefault="0086678F">
    <w:pPr>
      <w:pStyle w:val="Header"/>
    </w:pPr>
    <w:r>
      <w:t>ECE/TRANS/WP.29/GRB/59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F" w:rsidRPr="00742462" w:rsidRDefault="0086678F" w:rsidP="00742462">
    <w:pPr>
      <w:pStyle w:val="Header"/>
      <w:jc w:val="right"/>
    </w:pPr>
    <w:r>
      <w:t>ECE/TRANS/WP.29/GRB/59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B7"/>
    <w:rsid w:val="00017F94"/>
    <w:rsid w:val="000221E2"/>
    <w:rsid w:val="00023842"/>
    <w:rsid w:val="00023D91"/>
    <w:rsid w:val="000334F9"/>
    <w:rsid w:val="0007796D"/>
    <w:rsid w:val="000B7790"/>
    <w:rsid w:val="00111F2F"/>
    <w:rsid w:val="001350B6"/>
    <w:rsid w:val="0013564E"/>
    <w:rsid w:val="0014365E"/>
    <w:rsid w:val="00143C66"/>
    <w:rsid w:val="00176178"/>
    <w:rsid w:val="001F525A"/>
    <w:rsid w:val="00223272"/>
    <w:rsid w:val="0024779E"/>
    <w:rsid w:val="00251799"/>
    <w:rsid w:val="00257168"/>
    <w:rsid w:val="002744B8"/>
    <w:rsid w:val="002832AC"/>
    <w:rsid w:val="002D7C93"/>
    <w:rsid w:val="00305801"/>
    <w:rsid w:val="003916DE"/>
    <w:rsid w:val="00441C3B"/>
    <w:rsid w:val="00446FE5"/>
    <w:rsid w:val="00452396"/>
    <w:rsid w:val="004837D8"/>
    <w:rsid w:val="004E468C"/>
    <w:rsid w:val="004F2633"/>
    <w:rsid w:val="00531211"/>
    <w:rsid w:val="005429E2"/>
    <w:rsid w:val="005505B7"/>
    <w:rsid w:val="0057043F"/>
    <w:rsid w:val="00573BE5"/>
    <w:rsid w:val="00584D14"/>
    <w:rsid w:val="00586ED3"/>
    <w:rsid w:val="00596AA9"/>
    <w:rsid w:val="005F0E40"/>
    <w:rsid w:val="00640BB7"/>
    <w:rsid w:val="00671BF7"/>
    <w:rsid w:val="00686B6C"/>
    <w:rsid w:val="0071601D"/>
    <w:rsid w:val="00742462"/>
    <w:rsid w:val="00760B3F"/>
    <w:rsid w:val="007A62E6"/>
    <w:rsid w:val="007C483A"/>
    <w:rsid w:val="007F20FA"/>
    <w:rsid w:val="00804A73"/>
    <w:rsid w:val="008050ED"/>
    <w:rsid w:val="0080684C"/>
    <w:rsid w:val="0086678F"/>
    <w:rsid w:val="00871C75"/>
    <w:rsid w:val="0087389B"/>
    <w:rsid w:val="008776DC"/>
    <w:rsid w:val="008D065C"/>
    <w:rsid w:val="008F5558"/>
    <w:rsid w:val="009705C8"/>
    <w:rsid w:val="009712BA"/>
    <w:rsid w:val="009806BC"/>
    <w:rsid w:val="009C1CF4"/>
    <w:rsid w:val="009F6B74"/>
    <w:rsid w:val="00A30353"/>
    <w:rsid w:val="00AC3823"/>
    <w:rsid w:val="00AE323C"/>
    <w:rsid w:val="00AF0CB5"/>
    <w:rsid w:val="00B00181"/>
    <w:rsid w:val="00B00B0D"/>
    <w:rsid w:val="00B765F7"/>
    <w:rsid w:val="00B9690B"/>
    <w:rsid w:val="00BA0CA9"/>
    <w:rsid w:val="00C02897"/>
    <w:rsid w:val="00C61DED"/>
    <w:rsid w:val="00D3439C"/>
    <w:rsid w:val="00D37FAD"/>
    <w:rsid w:val="00D61357"/>
    <w:rsid w:val="00DB1831"/>
    <w:rsid w:val="00DD3BFD"/>
    <w:rsid w:val="00DF6678"/>
    <w:rsid w:val="00E01A0A"/>
    <w:rsid w:val="00E41FB2"/>
    <w:rsid w:val="00E42E9D"/>
    <w:rsid w:val="00E455E1"/>
    <w:rsid w:val="00E752A0"/>
    <w:rsid w:val="00E85C74"/>
    <w:rsid w:val="00E8765A"/>
    <w:rsid w:val="00EA6547"/>
    <w:rsid w:val="00EF2E22"/>
    <w:rsid w:val="00F35BAF"/>
    <w:rsid w:val="00F660DF"/>
    <w:rsid w:val="00F81C08"/>
    <w:rsid w:val="00F94664"/>
    <w:rsid w:val="00F9573C"/>
    <w:rsid w:val="00F95C08"/>
    <w:rsid w:val="00FA2F2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SingleTxtGChar">
    <w:name w:val="_ Single Txt_G Char"/>
    <w:link w:val="SingleTxtG"/>
    <w:rsid w:val="0087389B"/>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SingleTxtGChar">
    <w:name w:val="_ Single Txt_G Char"/>
    <w:link w:val="SingleTxtG"/>
    <w:rsid w:val="0087389B"/>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saka@ntsel.go.j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mailto:Ezana.wondimneh@dot.gov"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6929</Words>
  <Characters>39501</Characters>
  <Application>Microsoft Office Word</Application>
  <DocSecurity>4</DocSecurity>
  <Lines>329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ECE/TRANS/WP.29/GRB/59</vt:lpstr>
      <vt:lpstr>ECE/TRANS/WP.29/GRB/59</vt:lpstr>
    </vt:vector>
  </TitlesOfParts>
  <Company>DCM</Company>
  <LinksUpToDate>false</LinksUpToDate>
  <CharactersWithSpaces>46338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ECE/TRANS/WP.29/GRB/59</dc:title>
  <dc:subject>Final</dc:subject>
  <dc:creator>Beysard</dc:creator>
  <cp:lastModifiedBy>Benedicte Boudol</cp:lastModifiedBy>
  <cp:revision>2</cp:revision>
  <cp:lastPrinted>2015-04-21T15:47:00Z</cp:lastPrinted>
  <dcterms:created xsi:type="dcterms:W3CDTF">2015-04-29T10:08:00Z</dcterms:created>
  <dcterms:modified xsi:type="dcterms:W3CDTF">2015-04-29T10:08:00Z</dcterms:modified>
</cp:coreProperties>
</file>