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4820"/>
        <w:gridCol w:w="4648"/>
      </w:tblGrid>
      <w:tr w:rsidR="00082CB4" w:rsidTr="004877DE">
        <w:trPr>
          <w:trHeight w:val="1098"/>
        </w:trPr>
        <w:tc>
          <w:tcPr>
            <w:tcW w:w="4820" w:type="dxa"/>
            <w:tcBorders>
              <w:top w:val="nil"/>
              <w:left w:val="nil"/>
              <w:bottom w:val="nil"/>
              <w:right w:val="nil"/>
            </w:tcBorders>
          </w:tcPr>
          <w:p w:rsidR="00082CB4" w:rsidRPr="004877DE" w:rsidRDefault="00082CB4">
            <w:pPr>
              <w:pStyle w:val="ZCom"/>
              <w:rPr>
                <w:rFonts w:ascii="Times New Roman" w:hAnsi="Times New Roman" w:cs="Times New Roman"/>
              </w:rPr>
            </w:pPr>
            <w:r w:rsidRPr="004877DE">
              <w:rPr>
                <w:rFonts w:ascii="Times New Roman" w:hAnsi="Times New Roman" w:cs="Times New Roman"/>
                <w:sz w:val="22"/>
                <w:szCs w:val="22"/>
              </w:rPr>
              <w:t>Submitted by the European Commission</w:t>
            </w:r>
          </w:p>
        </w:tc>
        <w:tc>
          <w:tcPr>
            <w:tcW w:w="4648" w:type="dxa"/>
            <w:tcBorders>
              <w:top w:val="nil"/>
              <w:left w:val="nil"/>
              <w:bottom w:val="nil"/>
              <w:right w:val="nil"/>
            </w:tcBorders>
          </w:tcPr>
          <w:p w:rsidR="00082CB4" w:rsidRPr="004877DE" w:rsidRDefault="00082CB4" w:rsidP="00082CB4">
            <w:pPr>
              <w:ind w:left="75"/>
              <w:jc w:val="right"/>
              <w:rPr>
                <w:bCs/>
                <w:sz w:val="22"/>
                <w:szCs w:val="22"/>
                <w:lang w:val="en-US"/>
              </w:rPr>
            </w:pPr>
            <w:r w:rsidRPr="004877DE">
              <w:rPr>
                <w:sz w:val="22"/>
                <w:szCs w:val="22"/>
                <w:u w:val="single"/>
              </w:rPr>
              <w:t>Informal document</w:t>
            </w:r>
            <w:r w:rsidRPr="004877DE">
              <w:rPr>
                <w:sz w:val="22"/>
                <w:szCs w:val="22"/>
              </w:rPr>
              <w:t xml:space="preserve"> </w:t>
            </w:r>
            <w:r w:rsidRPr="004877DE">
              <w:rPr>
                <w:b/>
                <w:bCs/>
                <w:sz w:val="22"/>
                <w:szCs w:val="22"/>
                <w:lang w:val="en-US"/>
              </w:rPr>
              <w:t>WP.29-167-20</w:t>
            </w:r>
          </w:p>
          <w:p w:rsidR="00082CB4" w:rsidRPr="004877DE" w:rsidRDefault="00082CB4" w:rsidP="00082CB4">
            <w:pPr>
              <w:pStyle w:val="ZDGName"/>
              <w:jc w:val="right"/>
              <w:rPr>
                <w:rFonts w:ascii="Times New Roman" w:hAnsi="Times New Roman" w:cs="Times New Roman"/>
              </w:rPr>
            </w:pPr>
            <w:r w:rsidRPr="004877DE">
              <w:rPr>
                <w:rFonts w:ascii="Times New Roman" w:hAnsi="Times New Roman" w:cs="Times New Roman"/>
                <w:sz w:val="22"/>
                <w:szCs w:val="22"/>
                <w:lang w:val="en-US"/>
              </w:rPr>
              <w:t>(167</w:t>
            </w:r>
            <w:r w:rsidRPr="004877DE">
              <w:rPr>
                <w:rFonts w:ascii="Times New Roman" w:hAnsi="Times New Roman" w:cs="Times New Roman"/>
                <w:sz w:val="22"/>
                <w:szCs w:val="22"/>
                <w:vertAlign w:val="superscript"/>
                <w:lang w:val="en-US"/>
              </w:rPr>
              <w:t>th</w:t>
            </w:r>
            <w:r w:rsidRPr="004877DE">
              <w:rPr>
                <w:rFonts w:ascii="Times New Roman" w:hAnsi="Times New Roman" w:cs="Times New Roman"/>
                <w:sz w:val="22"/>
                <w:szCs w:val="22"/>
                <w:lang w:val="en-US"/>
              </w:rPr>
              <w:t xml:space="preserve"> WP.29, 10-13 November 2015, </w:t>
            </w:r>
            <w:r w:rsidRPr="004877DE">
              <w:rPr>
                <w:rFonts w:ascii="Times New Roman" w:hAnsi="Times New Roman" w:cs="Times New Roman"/>
                <w:sz w:val="22"/>
                <w:szCs w:val="22"/>
                <w:lang w:val="en-US"/>
              </w:rPr>
              <w:br/>
            </w:r>
            <w:r w:rsidRPr="004877DE">
              <w:rPr>
                <w:rFonts w:ascii="Times New Roman" w:hAnsi="Times New Roman" w:cs="Times New Roman"/>
                <w:sz w:val="22"/>
                <w:szCs w:val="22"/>
              </w:rPr>
              <w:t>agenda item 4.2.3</w:t>
            </w:r>
          </w:p>
        </w:tc>
      </w:tr>
    </w:tbl>
    <w:p w:rsidR="00082CB4" w:rsidRDefault="00082CB4" w:rsidP="00D7105D">
      <w:pPr>
        <w:jc w:val="center"/>
        <w:rPr>
          <w:b/>
          <w:u w:val="single"/>
        </w:rPr>
      </w:pPr>
    </w:p>
    <w:p w:rsidR="00D7105D" w:rsidRDefault="00D7105D" w:rsidP="00D7105D">
      <w:pPr>
        <w:jc w:val="center"/>
        <w:rPr>
          <w:b/>
          <w:u w:val="single"/>
        </w:rPr>
      </w:pPr>
      <w:r>
        <w:rPr>
          <w:b/>
          <w:u w:val="single"/>
        </w:rPr>
        <w:t xml:space="preserve">Transposition of the WLTP GTR into a UN Regulation </w:t>
      </w:r>
    </w:p>
    <w:p w:rsidR="00B2106F" w:rsidRDefault="00D7105D" w:rsidP="00D7105D">
      <w:pPr>
        <w:jc w:val="center"/>
        <w:rPr>
          <w:b/>
          <w:u w:val="single"/>
        </w:rPr>
      </w:pPr>
      <w:r>
        <w:rPr>
          <w:b/>
          <w:u w:val="single"/>
        </w:rPr>
        <w:t>(</w:t>
      </w:r>
      <w:proofErr w:type="gramStart"/>
      <w:r>
        <w:rPr>
          <w:b/>
          <w:u w:val="single"/>
        </w:rPr>
        <w:t>under</w:t>
      </w:r>
      <w:proofErr w:type="gramEnd"/>
      <w:r>
        <w:rPr>
          <w:b/>
          <w:u w:val="single"/>
        </w:rPr>
        <w:t xml:space="preserve"> the 1958 agreement)</w:t>
      </w:r>
    </w:p>
    <w:p w:rsidR="00FD6D5E" w:rsidRDefault="00FD6D5E" w:rsidP="00D7105D">
      <w:pPr>
        <w:jc w:val="left"/>
      </w:pPr>
      <w:r>
        <w:t xml:space="preserve">There is a common understanding of all parties </w:t>
      </w:r>
      <w:r w:rsidR="008433A2">
        <w:t xml:space="preserve">concerned </w:t>
      </w:r>
      <w:r>
        <w:t xml:space="preserve">that </w:t>
      </w:r>
      <w:r w:rsidR="008433A2">
        <w:t>a future transposition of the WLTP GTR into a UNECE Regulation ("Regulation</w:t>
      </w:r>
      <w:r w:rsidR="00F064F7">
        <w:t xml:space="preserve"> WLTP</w:t>
      </w:r>
      <w:r w:rsidR="008433A2">
        <w:t>")</w:t>
      </w:r>
      <w:r w:rsidR="00F064F7">
        <w:t xml:space="preserve"> </w:t>
      </w:r>
      <w:r w:rsidR="008433A2">
        <w:t xml:space="preserve">under the 1958 agreement </w:t>
      </w:r>
      <w:r>
        <w:t xml:space="preserve">should replace at some point the existing UNECE Regulations 83 (addressing criteria pollutant emissions) and 101 (addressing CO2 emissions and electric consumption). The future Regulation </w:t>
      </w:r>
      <w:r w:rsidR="00F064F7">
        <w:t xml:space="preserve">WLTP </w:t>
      </w:r>
      <w:r>
        <w:t>would initially transpose WLTP GTR phase 1a and 1b</w:t>
      </w:r>
      <w:r w:rsidR="00BB7654">
        <w:t xml:space="preserve">. It could then </w:t>
      </w:r>
      <w:r>
        <w:t xml:space="preserve"> be gradually expanded to cover all other elements developed in the WLTP GTR, </w:t>
      </w:r>
      <w:r w:rsidRPr="00BB7654">
        <w:t xml:space="preserve">i.e. it would go well beyond just </w:t>
      </w:r>
      <w:r w:rsidR="00DA2D03" w:rsidRPr="00BB7654">
        <w:t xml:space="preserve">describing </w:t>
      </w:r>
      <w:r w:rsidRPr="00BB7654">
        <w:t xml:space="preserve">the mere test cycle and </w:t>
      </w:r>
      <w:r w:rsidR="00DA2D03" w:rsidRPr="00BB7654">
        <w:t xml:space="preserve">would </w:t>
      </w:r>
      <w:r w:rsidRPr="00BB7654">
        <w:t>also address elements like OBD, durability, evaporative emissions,…</w:t>
      </w:r>
      <w:r>
        <w:t xml:space="preserve"> </w:t>
      </w:r>
      <w:r w:rsidR="00BB7654">
        <w:t>Alternatively these other elements could be dealt with in different, specific GTRs. The decision on which of these two options will be retained can be taken at a later stage and is not important for the following discussion</w:t>
      </w:r>
    </w:p>
    <w:p w:rsidR="00FD6D5E" w:rsidRDefault="00FD6D5E" w:rsidP="00D7105D">
      <w:pPr>
        <w:jc w:val="left"/>
      </w:pPr>
      <w:r>
        <w:t xml:space="preserve">Traditionally </w:t>
      </w:r>
      <w:r w:rsidR="00385624">
        <w:t xml:space="preserve">UNECE Regulations </w:t>
      </w:r>
      <w:r w:rsidR="009E1510">
        <w:t xml:space="preserve">on automotive systems (such as emission control) </w:t>
      </w:r>
      <w:r w:rsidR="00385624">
        <w:t>are a precise "copy" of EU legislation</w:t>
      </w:r>
      <w:r w:rsidR="009E1510">
        <w:t>, allowing vehicle manufacturers to choose between obtaining a</w:t>
      </w:r>
      <w:r w:rsidR="006A1078">
        <w:t>n</w:t>
      </w:r>
      <w:r w:rsidR="009E1510">
        <w:t xml:space="preserve"> EU or </w:t>
      </w:r>
      <w:r w:rsidR="006A1078">
        <w:t xml:space="preserve">a </w:t>
      </w:r>
      <w:r w:rsidR="009E1510">
        <w:t>UNECE certificate to demonstrate compliance with a certain aspect of automotive legislation</w:t>
      </w:r>
      <w:r w:rsidR="006A393C">
        <w:t xml:space="preserve">. Other regions signing up to a particular UNECE Regulation effectively apply EU law for the aspect covered and can issue </w:t>
      </w:r>
      <w:r w:rsidR="006A1078">
        <w:t xml:space="preserve">their </w:t>
      </w:r>
      <w:r w:rsidR="006A393C">
        <w:t>own certificates of compliance</w:t>
      </w:r>
      <w:r w:rsidR="005D0D59">
        <w:t xml:space="preserve"> in this respect</w:t>
      </w:r>
      <w:r w:rsidR="006A393C">
        <w:t xml:space="preserve">.  </w:t>
      </w:r>
      <w:r>
        <w:t xml:space="preserve"> </w:t>
      </w:r>
    </w:p>
    <w:p w:rsidR="00680F3F" w:rsidRDefault="008433A2" w:rsidP="00D7105D">
      <w:pPr>
        <w:jc w:val="left"/>
      </w:pPr>
      <w:r>
        <w:t xml:space="preserve">At least one non-EU contracting party of the WLTP GTR process (Japan) has shown </w:t>
      </w:r>
      <w:r w:rsidR="006A1078">
        <w:t xml:space="preserve">an </w:t>
      </w:r>
      <w:r>
        <w:t xml:space="preserve">interest to </w:t>
      </w:r>
      <w:r w:rsidR="00680F3F">
        <w:t>use</w:t>
      </w:r>
      <w:r>
        <w:t xml:space="preserve"> the future Regulation </w:t>
      </w:r>
      <w:r w:rsidR="00F064F7">
        <w:t xml:space="preserve">WLTP </w:t>
      </w:r>
      <w:r>
        <w:t>in their national legislation</w:t>
      </w:r>
      <w:r w:rsidR="00680F3F">
        <w:t xml:space="preserve"> (rather than transposing the WLTP GTR fully into a separate national legal text).</w:t>
      </w:r>
      <w:r w:rsidR="004742A9">
        <w:t xml:space="preserve"> Other non-EU contracting parties may </w:t>
      </w:r>
      <w:r w:rsidR="005D0D59">
        <w:t xml:space="preserve">follow and </w:t>
      </w:r>
      <w:r w:rsidR="004742A9">
        <w:t>show the same int</w:t>
      </w:r>
      <w:r w:rsidR="005D0D59">
        <w:t>ention</w:t>
      </w:r>
      <w:r w:rsidR="004742A9">
        <w:t>.</w:t>
      </w:r>
      <w:r w:rsidR="00680F3F">
        <w:t xml:space="preserve"> </w:t>
      </w:r>
      <w:r w:rsidR="006A1078">
        <w:t>T</w:t>
      </w:r>
      <w:r w:rsidR="005D0D59">
        <w:t>herefore t</w:t>
      </w:r>
      <w:r w:rsidR="006A1078">
        <w:t>he</w:t>
      </w:r>
      <w:r w:rsidR="00680F3F">
        <w:t xml:space="preserve"> following two </w:t>
      </w:r>
      <w:r w:rsidR="00E43E16">
        <w:t>alternative routes</w:t>
      </w:r>
      <w:r w:rsidR="00680F3F">
        <w:t xml:space="preserve"> </w:t>
      </w:r>
      <w:r w:rsidR="006A1078">
        <w:t xml:space="preserve">for the transposition of the GTR into UNECE Regulation </w:t>
      </w:r>
      <w:r w:rsidR="00680F3F">
        <w:t>have to be considered:</w:t>
      </w:r>
    </w:p>
    <w:p w:rsidR="0071712D" w:rsidRDefault="007C42A7" w:rsidP="00E854C3">
      <w:pPr>
        <w:numPr>
          <w:ilvl w:val="0"/>
          <w:numId w:val="21"/>
        </w:numPr>
        <w:jc w:val="left"/>
      </w:pPr>
      <w:r>
        <w:rPr>
          <w:u w:val="single"/>
        </w:rPr>
        <w:t xml:space="preserve">Route 1: </w:t>
      </w:r>
      <w:r w:rsidR="00E304B1" w:rsidRPr="0071712D">
        <w:rPr>
          <w:u w:val="single"/>
        </w:rPr>
        <w:t>Non-EU regions do not sign the WLTP Regulation</w:t>
      </w:r>
      <w:r w:rsidR="00E304B1">
        <w:t xml:space="preserve"> </w:t>
      </w:r>
    </w:p>
    <w:p w:rsidR="00E854C3" w:rsidRDefault="0071712D" w:rsidP="0071712D">
      <w:pPr>
        <w:ind w:left="360"/>
        <w:jc w:val="left"/>
      </w:pPr>
      <w:r>
        <w:t>In this case</w:t>
      </w:r>
      <w:r w:rsidR="00E854C3">
        <w:t xml:space="preserve"> Regulation</w:t>
      </w:r>
      <w:r w:rsidR="00E304B1">
        <w:t xml:space="preserve"> </w:t>
      </w:r>
      <w:r w:rsidR="0007687D">
        <w:t xml:space="preserve">WLTP </w:t>
      </w:r>
      <w:r w:rsidR="00E304B1">
        <w:t>would</w:t>
      </w:r>
      <w:r w:rsidR="00E854C3">
        <w:t xml:space="preserve"> fully reflect EU legislation, i.e. the WLTP GTR + EU emission limits + other EU technical requirements (</w:t>
      </w:r>
      <w:r w:rsidR="00E304B1">
        <w:t xml:space="preserve">EU cycle composition L/M/H/Ex-H, </w:t>
      </w:r>
      <w:r w:rsidR="00E854C3">
        <w:t xml:space="preserve">EU temperature correction, EV utility factors, cycle flexibility corrections,…) + other EU administrative requirements (conformity of production, in-service-conformity,…). </w:t>
      </w:r>
    </w:p>
    <w:p w:rsidR="00E854C3" w:rsidRDefault="00E854C3" w:rsidP="00E854C3">
      <w:pPr>
        <w:ind w:left="360"/>
        <w:jc w:val="left"/>
      </w:pPr>
      <w:r>
        <w:t xml:space="preserve">Non-EU contracting parties having national </w:t>
      </w:r>
      <w:r w:rsidR="00E304B1">
        <w:t xml:space="preserve">legislation deviating from EU </w:t>
      </w:r>
      <w:r>
        <w:t>legislation</w:t>
      </w:r>
      <w:r w:rsidR="00E304B1">
        <w:t xml:space="preserve"> </w:t>
      </w:r>
      <w:r>
        <w:t xml:space="preserve">could not apply Regulation </w:t>
      </w:r>
      <w:r w:rsidR="0007687D">
        <w:t xml:space="preserve">WLTP </w:t>
      </w:r>
      <w:r>
        <w:t>certificates directly</w:t>
      </w:r>
      <w:r w:rsidR="0071712D">
        <w:t>,</w:t>
      </w:r>
      <w:r>
        <w:t xml:space="preserve"> or issue WLTP Regulation certificates. </w:t>
      </w:r>
      <w:r w:rsidR="0071712D">
        <w:t>Rather, t</w:t>
      </w:r>
      <w:r>
        <w:t xml:space="preserve">hey would have to draft their own national legislation, which could refer to parts </w:t>
      </w:r>
      <w:proofErr w:type="gramStart"/>
      <w:r>
        <w:t>of  Regulation</w:t>
      </w:r>
      <w:proofErr w:type="gramEnd"/>
      <w:r w:rsidR="0007687D">
        <w:t xml:space="preserve"> WLTP</w:t>
      </w:r>
      <w:r>
        <w:t xml:space="preserve">. In addition, some test reports etc. established under Regulation </w:t>
      </w:r>
      <w:r w:rsidR="0007687D">
        <w:t xml:space="preserve">WLTP </w:t>
      </w:r>
      <w:r>
        <w:t>and national legislation could be mutually acknowledged.</w:t>
      </w:r>
    </w:p>
    <w:p w:rsidR="00E854C3" w:rsidRDefault="00E854C3" w:rsidP="00E854C3">
      <w:pPr>
        <w:ind w:left="360"/>
        <w:jc w:val="left"/>
      </w:pPr>
      <w:r w:rsidRPr="00596F0D">
        <w:rPr>
          <w:u w:val="single"/>
        </w:rPr>
        <w:lastRenderedPageBreak/>
        <w:t xml:space="preserve">If this alternative is adopted the drafting of Regulation </w:t>
      </w:r>
      <w:r w:rsidR="0007687D" w:rsidRPr="00596F0D">
        <w:rPr>
          <w:u w:val="single"/>
        </w:rPr>
        <w:t xml:space="preserve">WLTP </w:t>
      </w:r>
      <w:r w:rsidRPr="00596F0D">
        <w:rPr>
          <w:u w:val="single"/>
        </w:rPr>
        <w:t xml:space="preserve">should be done in such a manner that individual parts of it can be easily </w:t>
      </w:r>
      <w:r w:rsidR="005D0D59">
        <w:rPr>
          <w:u w:val="single"/>
        </w:rPr>
        <w:t>referenced</w:t>
      </w:r>
      <w:r w:rsidRPr="00596F0D">
        <w:rPr>
          <w:u w:val="single"/>
        </w:rPr>
        <w:t xml:space="preserve"> from "external" national legislation</w:t>
      </w:r>
      <w:r w:rsidR="0077683B">
        <w:t>. This princi</w:t>
      </w:r>
      <w:r w:rsidR="005D0D59">
        <w:t>ple has not always been observed</w:t>
      </w:r>
      <w:r w:rsidR="0077683B">
        <w:t xml:space="preserve"> for existing UNECE Regulations.</w:t>
      </w:r>
    </w:p>
    <w:p w:rsidR="00E304B1" w:rsidRDefault="007C42A7" w:rsidP="00680F3F">
      <w:pPr>
        <w:numPr>
          <w:ilvl w:val="0"/>
          <w:numId w:val="21"/>
        </w:numPr>
        <w:jc w:val="left"/>
      </w:pPr>
      <w:r>
        <w:rPr>
          <w:u w:val="single"/>
        </w:rPr>
        <w:t xml:space="preserve">Route 2: </w:t>
      </w:r>
      <w:r w:rsidR="00E304B1" w:rsidRPr="0071712D">
        <w:rPr>
          <w:u w:val="single"/>
        </w:rPr>
        <w:t>Some non-EU regions (e.g. Japan), having different emission legislation, sign Regulation</w:t>
      </w:r>
      <w:r w:rsidR="0007687D">
        <w:rPr>
          <w:u w:val="single"/>
        </w:rPr>
        <w:t xml:space="preserve"> WLTP</w:t>
      </w:r>
    </w:p>
    <w:p w:rsidR="00E854C3" w:rsidRDefault="0071712D" w:rsidP="00E304B1">
      <w:pPr>
        <w:ind w:left="360"/>
        <w:jc w:val="left"/>
      </w:pPr>
      <w:r>
        <w:t>In this case</w:t>
      </w:r>
      <w:r w:rsidR="00E304B1">
        <w:t xml:space="preserve"> Regulation </w:t>
      </w:r>
      <w:r w:rsidR="0007687D">
        <w:t xml:space="preserve">WLTP </w:t>
      </w:r>
      <w:r w:rsidR="00E304B1">
        <w:t>would have to be</w:t>
      </w:r>
      <w:r w:rsidR="00E854C3">
        <w:t xml:space="preserve"> dev</w:t>
      </w:r>
      <w:r w:rsidR="00E304B1">
        <w:t xml:space="preserve">eloped in a hierarchical manner and certificates </w:t>
      </w:r>
      <w:r>
        <w:t xml:space="preserve">would be </w:t>
      </w:r>
      <w:r w:rsidR="00E304B1">
        <w:t>issued at certain "levels".</w:t>
      </w:r>
      <w:r w:rsidR="00E854C3">
        <w:t xml:space="preserve"> F</w:t>
      </w:r>
      <w:r w:rsidR="00E304B1">
        <w:t xml:space="preserve">or the "top" level the most </w:t>
      </w:r>
      <w:r w:rsidR="003B6DD0">
        <w:t xml:space="preserve">stringent </w:t>
      </w:r>
      <w:r w:rsidR="00E304B1">
        <w:t xml:space="preserve">combination of regional requirements (e.g. with regard to emission limits, correction functions etc.) has to be fulfilled. Below there would be several "regional" levels, each corresponding to the combination of a specific regional legislation in terms of emission limits and region-specific technical and administrative requirements. Each region signing Regulation </w:t>
      </w:r>
      <w:r w:rsidR="0007687D">
        <w:t xml:space="preserve">WLTP </w:t>
      </w:r>
      <w:r w:rsidR="00E304B1">
        <w:t>would have to accept the "top" level and its own "regional" level certificates for national regulatory purposes and could issue certificates of all levels.</w:t>
      </w:r>
    </w:p>
    <w:p w:rsidR="006C2508" w:rsidRPr="00596F0D" w:rsidRDefault="00EF2D40" w:rsidP="00E304B1">
      <w:pPr>
        <w:ind w:left="360"/>
        <w:jc w:val="left"/>
        <w:rPr>
          <w:u w:val="single"/>
        </w:rPr>
      </w:pPr>
      <w:r>
        <w:rPr>
          <w:u w:val="single"/>
        </w:rPr>
        <w:t>An example</w:t>
      </w:r>
    </w:p>
    <w:p w:rsidR="006C2508" w:rsidRDefault="006C2508" w:rsidP="00E304B1">
      <w:pPr>
        <w:ind w:left="360"/>
        <w:jc w:val="left"/>
      </w:pPr>
      <w:r>
        <w:t>Region 1 has emission limits A1, B1, C1, D1 for pollutants A, B, C and D, reference fuel R1 and uses a test cycle TC.</w:t>
      </w:r>
    </w:p>
    <w:p w:rsidR="006C2508" w:rsidRDefault="006C2508" w:rsidP="006C2508">
      <w:pPr>
        <w:ind w:left="360"/>
        <w:jc w:val="left"/>
      </w:pPr>
      <w:r>
        <w:t xml:space="preserve">Region 2 has emission limits A2, B2, C2, D2 , reference fuel R2 and uses a test cycle </w:t>
      </w:r>
      <w:proofErr w:type="spellStart"/>
      <w:r>
        <w:t>TC+Ex</w:t>
      </w:r>
      <w:proofErr w:type="spellEnd"/>
      <w:r>
        <w:t xml:space="preserve"> composed of TC and an extension Ex.</w:t>
      </w:r>
    </w:p>
    <w:p w:rsidR="00EF2D40" w:rsidRDefault="00EF2D40" w:rsidP="006C2508">
      <w:pPr>
        <w:ind w:left="360"/>
        <w:jc w:val="left"/>
      </w:pPr>
      <w:r>
        <w:t>Let's further assume A1 &gt; A2, B1 &lt; B2, C1 = C2, D1 &lt; D2</w:t>
      </w:r>
    </w:p>
    <w:p w:rsidR="006C2508" w:rsidRDefault="006C2508" w:rsidP="006C2508">
      <w:pPr>
        <w:ind w:left="360"/>
        <w:jc w:val="left"/>
      </w:pPr>
      <w:r>
        <w:t>The Regulation WLTP would then provide three levels of certification:</w:t>
      </w:r>
    </w:p>
    <w:p w:rsidR="006C2508" w:rsidRDefault="00EF2D40" w:rsidP="00596F0D">
      <w:pPr>
        <w:numPr>
          <w:ilvl w:val="0"/>
          <w:numId w:val="22"/>
        </w:numPr>
        <w:jc w:val="left"/>
      </w:pPr>
      <w:r>
        <w:t xml:space="preserve">Top level (to be accepted by all contracting) parties =&gt; with reference fuels R1 and R2 the emission limits A2, B1, C1, D1 have to be met on the test cycle TC alone as well as on the extended test cycle </w:t>
      </w:r>
      <w:proofErr w:type="spellStart"/>
      <w:r>
        <w:t>TC+Ex</w:t>
      </w:r>
      <w:proofErr w:type="spellEnd"/>
      <w:r>
        <w:t>.</w:t>
      </w:r>
    </w:p>
    <w:p w:rsidR="00EF2D40" w:rsidRDefault="00EF2D40" w:rsidP="00596F0D">
      <w:pPr>
        <w:numPr>
          <w:ilvl w:val="0"/>
          <w:numId w:val="22"/>
        </w:numPr>
        <w:jc w:val="left"/>
      </w:pPr>
      <w:r>
        <w:t>Region 1 level (optional acceptance by contracting parties) =&gt; with reference fuel R1 the emission limits A1, B1, C1, D1 have to be met on the test cycle TC</w:t>
      </w:r>
    </w:p>
    <w:p w:rsidR="00EF2D40" w:rsidRDefault="00EF2D40" w:rsidP="00596F0D">
      <w:pPr>
        <w:numPr>
          <w:ilvl w:val="0"/>
          <w:numId w:val="22"/>
        </w:numPr>
        <w:jc w:val="left"/>
      </w:pPr>
      <w:r>
        <w:t xml:space="preserve">Region 2 level (optional acceptance by contracting parties) =&gt; with reference fuel R2 the emission limits A2, B2, C2, D2 have to be met on the test cycle </w:t>
      </w:r>
      <w:proofErr w:type="spellStart"/>
      <w:r>
        <w:t>TC+Ex</w:t>
      </w:r>
      <w:proofErr w:type="spellEnd"/>
    </w:p>
    <w:p w:rsidR="006C2508" w:rsidRPr="00596F0D" w:rsidRDefault="009D5637" w:rsidP="00596F0D">
      <w:pPr>
        <w:jc w:val="left"/>
        <w:rPr>
          <w:b/>
          <w:u w:val="single"/>
        </w:rPr>
      </w:pPr>
      <w:r>
        <w:rPr>
          <w:b/>
          <w:u w:val="single"/>
        </w:rPr>
        <w:t>Discussion</w:t>
      </w:r>
    </w:p>
    <w:p w:rsidR="009D5637" w:rsidRDefault="00E43E16" w:rsidP="00E304B1">
      <w:pPr>
        <w:jc w:val="left"/>
      </w:pPr>
      <w:r>
        <w:t xml:space="preserve">It is obvious that before the start of the work on </w:t>
      </w:r>
      <w:r w:rsidR="0007687D">
        <w:t xml:space="preserve">Regulation </w:t>
      </w:r>
      <w:r>
        <w:t xml:space="preserve">WLTP the principle decision on the route to follow has to be taken. </w:t>
      </w:r>
    </w:p>
    <w:p w:rsidR="00A00C5A" w:rsidRDefault="00BB7654" w:rsidP="00E304B1">
      <w:pPr>
        <w:jc w:val="left"/>
      </w:pPr>
      <w:r>
        <w:t xml:space="preserve">Route 2 would be a relatively new experience at GRPE, albeit similar approaches have already been </w:t>
      </w:r>
      <w:r w:rsidR="00B456B5">
        <w:t>taken</w:t>
      </w:r>
      <w:r>
        <w:t xml:space="preserve"> in other areas of automotive UN Regulations</w:t>
      </w:r>
      <w:r w:rsidR="00E43E16">
        <w:t>.</w:t>
      </w:r>
      <w:r w:rsidR="0077683B">
        <w:t xml:space="preserve"> The details of its administrative implementation, in particular how to handle the different certification levels (e.g. via different series of amendments?) would still </w:t>
      </w:r>
      <w:r w:rsidR="005D0D59">
        <w:t>have</w:t>
      </w:r>
      <w:r w:rsidR="0077683B">
        <w:t xml:space="preserve"> to be decided</w:t>
      </w:r>
      <w:r w:rsidR="00A00C5A">
        <w:t>.</w:t>
      </w:r>
      <w:r w:rsidR="00E43E16">
        <w:t xml:space="preserve"> </w:t>
      </w:r>
      <w:r w:rsidR="00590D5B">
        <w:t xml:space="preserve">Effectively many administrative "sub-routes" of route 2 exist and could be investigated. However, route 2 is likely to be </w:t>
      </w:r>
      <w:r w:rsidR="00E43E16">
        <w:t xml:space="preserve">very complex </w:t>
      </w:r>
      <w:r w:rsidR="00590D5B">
        <w:t xml:space="preserve">to implement </w:t>
      </w:r>
      <w:r w:rsidR="00E43E16">
        <w:t xml:space="preserve">and would only be justified over </w:t>
      </w:r>
      <w:r w:rsidR="00590D5B">
        <w:t>r</w:t>
      </w:r>
      <w:r w:rsidR="00F064F7">
        <w:t xml:space="preserve">oute </w:t>
      </w:r>
      <w:r w:rsidR="00E43E16">
        <w:t>1 if it offers significant practical advantage</w:t>
      </w:r>
      <w:r w:rsidR="00A00C5A">
        <w:t>s</w:t>
      </w:r>
      <w:r w:rsidR="00E43E16">
        <w:t xml:space="preserve">. </w:t>
      </w:r>
    </w:p>
    <w:p w:rsidR="00A00C5A" w:rsidRDefault="00A00C5A" w:rsidP="004877DE">
      <w:pPr>
        <w:keepNext/>
        <w:keepLines/>
        <w:jc w:val="left"/>
      </w:pPr>
      <w:r>
        <w:t xml:space="preserve">At a first glance the advantages of </w:t>
      </w:r>
      <w:r w:rsidR="00590D5B">
        <w:t>r</w:t>
      </w:r>
      <w:r w:rsidR="00F064F7">
        <w:t xml:space="preserve">oute </w:t>
      </w:r>
      <w:r w:rsidR="00E43E16">
        <w:t xml:space="preserve">2 </w:t>
      </w:r>
      <w:r w:rsidR="005D0D59">
        <w:t>seem to be three</w:t>
      </w:r>
      <w:r>
        <w:t>-fold:</w:t>
      </w:r>
    </w:p>
    <w:p w:rsidR="00A00C5A" w:rsidRDefault="00A00C5A" w:rsidP="004877DE">
      <w:pPr>
        <w:keepNext/>
        <w:keepLines/>
        <w:numPr>
          <w:ilvl w:val="0"/>
          <w:numId w:val="23"/>
        </w:numPr>
        <w:jc w:val="left"/>
      </w:pPr>
      <w:r>
        <w:lastRenderedPageBreak/>
        <w:t>Even if in practice "top" level certificates may be little used for cost reasons, the certificates corresponding to "regional" levels below could be issued by any contracting party. Japan could for instance issue European WLTP Regulation certificates and vice versa.</w:t>
      </w:r>
    </w:p>
    <w:p w:rsidR="00E304B1" w:rsidRDefault="00A00C5A" w:rsidP="00596F0D">
      <w:pPr>
        <w:numPr>
          <w:ilvl w:val="0"/>
          <w:numId w:val="23"/>
        </w:numPr>
        <w:jc w:val="left"/>
      </w:pPr>
      <w:r>
        <w:t xml:space="preserve">The experience gained with the mutual issuing of regional certificates as well as the very fact that emission certification requirements are </w:t>
      </w:r>
      <w:bookmarkStart w:id="0" w:name="_GoBack"/>
      <w:bookmarkEnd w:id="0"/>
      <w:r>
        <w:t xml:space="preserve">consolidated in a single technical document could foster global harmonisation </w:t>
      </w:r>
      <w:r w:rsidR="005D0D59">
        <w:t>with a</w:t>
      </w:r>
      <w:r>
        <w:t xml:space="preserve"> mid- or long-term </w:t>
      </w:r>
      <w:r w:rsidR="005D0D59">
        <w:t>view</w:t>
      </w:r>
      <w:r w:rsidR="00E43E16">
        <w:t>.</w:t>
      </w:r>
      <w:r>
        <w:t xml:space="preserve"> It should however be noted that certification testing is not an end in itself but should ensure a good emission performance of the vehicles under existing real conditions in the regions. Factual differences of the regions, e.g</w:t>
      </w:r>
      <w:r w:rsidR="005D0D59">
        <w:t>.</w:t>
      </w:r>
      <w:r>
        <w:t xml:space="preserve"> with respect to maximum speeds, market fuels (linked to the supply infrastructure) and ambient temperatures set natural limits to a full global harmonisation.</w:t>
      </w:r>
    </w:p>
    <w:p w:rsidR="0083588D" w:rsidRDefault="0083588D" w:rsidP="00596F0D">
      <w:pPr>
        <w:numPr>
          <w:ilvl w:val="0"/>
          <w:numId w:val="23"/>
        </w:numPr>
        <w:jc w:val="left"/>
      </w:pPr>
      <w:r>
        <w:t>Route 2 would – at least in principle – allow the inclusion of the WLTP Regulation into the International Whole Vehicle Type Approval (IWVTA), which seems not to be possible if route 1 is followed.</w:t>
      </w:r>
    </w:p>
    <w:p w:rsidR="00590D5B" w:rsidRDefault="00590D5B" w:rsidP="0083588D">
      <w:pPr>
        <w:jc w:val="left"/>
      </w:pPr>
      <w:r>
        <w:t>Whether these advantages of route 2 justify its additional complexity over route 1 needs to be discussed.</w:t>
      </w:r>
    </w:p>
    <w:p w:rsidR="00B2106F" w:rsidRPr="004877DE" w:rsidRDefault="004877DE" w:rsidP="004877DE">
      <w:pPr>
        <w:suppressAutoHyphens/>
        <w:spacing w:before="240" w:after="0" w:line="240" w:lineRule="atLeast"/>
        <w:ind w:left="1134" w:right="1134"/>
        <w:jc w:val="center"/>
        <w:rPr>
          <w:u w:val="single"/>
        </w:rPr>
      </w:pPr>
      <w:r>
        <w:rPr>
          <w:u w:val="single"/>
        </w:rPr>
        <w:tab/>
      </w:r>
      <w:r>
        <w:rPr>
          <w:u w:val="single"/>
        </w:rPr>
        <w:tab/>
      </w:r>
      <w:r>
        <w:rPr>
          <w:u w:val="single"/>
        </w:rPr>
        <w:tab/>
      </w:r>
    </w:p>
    <w:sectPr w:rsidR="00B2106F" w:rsidRPr="004877DE" w:rsidSect="00596F0D">
      <w:footerReference w:type="default" r:id="rId9"/>
      <w:headerReference w:type="first" r:id="rId10"/>
      <w:footerReference w:type="first" r:id="rId11"/>
      <w:pgSz w:w="11906" w:h="16838"/>
      <w:pgMar w:top="1417" w:right="1417" w:bottom="1417" w:left="1417" w:header="601" w:footer="107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16" w:rsidRDefault="00A85F16" w:rsidP="001F3324">
      <w:pPr>
        <w:spacing w:after="0"/>
      </w:pPr>
      <w:r>
        <w:separator/>
      </w:r>
    </w:p>
  </w:endnote>
  <w:endnote w:type="continuationSeparator" w:id="0">
    <w:p w:rsidR="00A85F16" w:rsidRDefault="00A85F16" w:rsidP="001F33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49" w:rsidRDefault="00E12849">
    <w:pPr>
      <w:pStyle w:val="Footer"/>
      <w:jc w:val="center"/>
    </w:pPr>
    <w:r>
      <w:fldChar w:fldCharType="begin"/>
    </w:r>
    <w:r>
      <w:instrText>PAGE</w:instrText>
    </w:r>
    <w:r>
      <w:fldChar w:fldCharType="separate"/>
    </w:r>
    <w:r w:rsidR="004877D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49" w:rsidRDefault="00E12849">
    <w:pPr>
      <w:pStyle w:val="Footer"/>
      <w:rPr>
        <w:sz w:val="24"/>
        <w:szCs w:val="24"/>
      </w:rPr>
    </w:pPr>
  </w:p>
  <w:p w:rsidR="00E12849" w:rsidRPr="004877DE" w:rsidRDefault="00E12849">
    <w:pPr>
      <w:pStyle w:val="Footer"/>
      <w:rPr>
        <w:rFonts w:ascii="Times New Roman" w:hAnsi="Times New Roman"/>
        <w:sz w:val="18"/>
        <w:szCs w:val="18"/>
      </w:rPr>
    </w:pPr>
    <w:r w:rsidRPr="004877DE">
      <w:rPr>
        <w:rFonts w:ascii="Times New Roman" w:hAnsi="Times New Roman"/>
        <w:sz w:val="18"/>
        <w:szCs w:val="18"/>
        <w:lang w:val="fr-BE"/>
      </w:rPr>
      <w:t>Commission européenne/</w:t>
    </w:r>
    <w:proofErr w:type="spellStart"/>
    <w:r w:rsidRPr="004877DE">
      <w:rPr>
        <w:rFonts w:ascii="Times New Roman" w:hAnsi="Times New Roman"/>
        <w:sz w:val="18"/>
        <w:szCs w:val="18"/>
        <w:lang w:val="fr-BE"/>
      </w:rPr>
      <w:t>Europese</w:t>
    </w:r>
    <w:proofErr w:type="spellEnd"/>
    <w:r w:rsidRPr="004877DE">
      <w:rPr>
        <w:rFonts w:ascii="Times New Roman" w:hAnsi="Times New Roman"/>
        <w:sz w:val="18"/>
        <w:szCs w:val="18"/>
        <w:lang w:val="fr-BE"/>
      </w:rPr>
      <w:t xml:space="preserve"> </w:t>
    </w:r>
    <w:proofErr w:type="spellStart"/>
    <w:r w:rsidRPr="004877DE">
      <w:rPr>
        <w:rFonts w:ascii="Times New Roman" w:hAnsi="Times New Roman"/>
        <w:sz w:val="18"/>
        <w:szCs w:val="18"/>
        <w:lang w:val="fr-BE"/>
      </w:rPr>
      <w:t>Commissie</w:t>
    </w:r>
    <w:proofErr w:type="spellEnd"/>
    <w:r w:rsidRPr="004877DE">
      <w:rPr>
        <w:rFonts w:ascii="Times New Roman" w:hAnsi="Times New Roman"/>
        <w:sz w:val="18"/>
        <w:szCs w:val="18"/>
        <w:lang w:val="fr-BE"/>
      </w:rPr>
      <w:t xml:space="preserve">, 1049 Bruxelles/Brussel, BELGIQUE/BELGIË - Tel. </w:t>
    </w:r>
    <w:r w:rsidRPr="004877DE">
      <w:rPr>
        <w:rFonts w:ascii="Times New Roman" w:hAnsi="Times New Roman"/>
        <w:sz w:val="18"/>
        <w:szCs w:val="18"/>
      </w:rPr>
      <w:t>+32 22991111</w:t>
    </w:r>
    <w:r w:rsidRPr="004877DE">
      <w:rPr>
        <w:rFonts w:ascii="Times New Roman" w:hAnsi="Times New Roman"/>
        <w:noProof/>
        <w:sz w:val="18"/>
        <w:szCs w:val="18"/>
      </w:rPr>
      <w:br/>
      <w:t>Office: BREY - Tel. direct line +32 229-58557</w:t>
    </w:r>
  </w:p>
  <w:p w:rsidR="00E12849" w:rsidRPr="004877DE" w:rsidRDefault="00E12849">
    <w:pPr>
      <w:pStyle w:val="Footer"/>
      <w:rPr>
        <w:rFonts w:ascii="Times New Roman" w:hAnsi="Times New Roman"/>
        <w:sz w:val="18"/>
        <w:szCs w:val="18"/>
      </w:rPr>
    </w:pPr>
  </w:p>
  <w:p w:rsidR="00E12849" w:rsidRPr="004877DE" w:rsidRDefault="00E12849">
    <w:pPr>
      <w:pStyle w:val="Footer"/>
      <w:rPr>
        <w:rFonts w:ascii="Times New Roman" w:hAnsi="Times New Roman"/>
        <w:sz w:val="18"/>
        <w:szCs w:val="18"/>
      </w:rPr>
    </w:pPr>
    <w:r w:rsidRPr="004877DE">
      <w:rPr>
        <w:rFonts w:ascii="Times New Roman" w:hAnsi="Times New Roman"/>
        <w:sz w:val="18"/>
        <w:szCs w:val="18"/>
      </w:rPr>
      <w:t>nikolaus.steininger@ec.europa.eu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16" w:rsidRDefault="00A85F16" w:rsidP="001F3324">
      <w:pPr>
        <w:spacing w:after="0"/>
      </w:pPr>
      <w:r>
        <w:separator/>
      </w:r>
    </w:p>
  </w:footnote>
  <w:footnote w:type="continuationSeparator" w:id="0">
    <w:p w:rsidR="00A85F16" w:rsidRDefault="00A85F16" w:rsidP="001F33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49" w:rsidRDefault="00E12849">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51A0585"/>
    <w:multiLevelType w:val="hybridMultilevel"/>
    <w:tmpl w:val="F9501AB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5408C"/>
    <w:multiLevelType w:val="hybridMultilevel"/>
    <w:tmpl w:val="E908648C"/>
    <w:lvl w:ilvl="0" w:tplc="221284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9">
    <w:nsid w:val="372F3774"/>
    <w:multiLevelType w:val="hybridMultilevel"/>
    <w:tmpl w:val="11F41F5A"/>
    <w:lvl w:ilvl="0" w:tplc="221284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79D3B8D"/>
    <w:multiLevelType w:val="hybridMultilevel"/>
    <w:tmpl w:val="6FF6CC9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9824EEC"/>
    <w:multiLevelType w:val="hybridMultilevel"/>
    <w:tmpl w:val="77C4094A"/>
    <w:lvl w:ilvl="0" w:tplc="221284D6">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7"/>
  </w:num>
  <w:num w:numId="4">
    <w:abstractNumId w:val="18"/>
  </w:num>
  <w:num w:numId="5">
    <w:abstractNumId w:val="11"/>
  </w:num>
  <w:num w:numId="6">
    <w:abstractNumId w:val="8"/>
  </w:num>
  <w:num w:numId="7">
    <w:abstractNumId w:val="4"/>
  </w:num>
  <w:num w:numId="8">
    <w:abstractNumId w:val="3"/>
  </w:num>
  <w:num w:numId="9">
    <w:abstractNumId w:val="19"/>
  </w:num>
  <w:num w:numId="10">
    <w:abstractNumId w:val="21"/>
  </w:num>
  <w:num w:numId="11">
    <w:abstractNumId w:val="20"/>
  </w:num>
  <w:num w:numId="12">
    <w:abstractNumId w:val="22"/>
  </w:num>
  <w:num w:numId="13">
    <w:abstractNumId w:val="5"/>
  </w:num>
  <w:num w:numId="14">
    <w:abstractNumId w:val="12"/>
  </w:num>
  <w:num w:numId="15">
    <w:abstractNumId w:val="14"/>
  </w:num>
  <w:num w:numId="16">
    <w:abstractNumId w:val="13"/>
  </w:num>
  <w:num w:numId="17">
    <w:abstractNumId w:val="2"/>
  </w:num>
  <w:num w:numId="18">
    <w:abstractNumId w:val="15"/>
  </w:num>
  <w:num w:numId="19">
    <w:abstractNumId w:val="10"/>
  </w:num>
  <w:num w:numId="20">
    <w:abstractNumId w:val="16"/>
  </w:num>
  <w:num w:numId="21">
    <w:abstractNumId w:val="6"/>
  </w:num>
  <w:num w:numId="22">
    <w:abstractNumId w:val="9"/>
  </w:num>
  <w:num w:numId="23">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E23C97"/>
    <w:rsid w:val="00002C6B"/>
    <w:rsid w:val="00004E2D"/>
    <w:rsid w:val="00027FB7"/>
    <w:rsid w:val="000642A1"/>
    <w:rsid w:val="0007687D"/>
    <w:rsid w:val="00082CB4"/>
    <w:rsid w:val="000E1188"/>
    <w:rsid w:val="000E416D"/>
    <w:rsid w:val="0011680D"/>
    <w:rsid w:val="0013211E"/>
    <w:rsid w:val="001A4816"/>
    <w:rsid w:val="001E45C4"/>
    <w:rsid w:val="001F3324"/>
    <w:rsid w:val="0020714A"/>
    <w:rsid w:val="00236B9B"/>
    <w:rsid w:val="00244006"/>
    <w:rsid w:val="002935E8"/>
    <w:rsid w:val="00385624"/>
    <w:rsid w:val="003B6DD0"/>
    <w:rsid w:val="004050FE"/>
    <w:rsid w:val="004310B5"/>
    <w:rsid w:val="004742A9"/>
    <w:rsid w:val="004877DE"/>
    <w:rsid w:val="00505359"/>
    <w:rsid w:val="0057282F"/>
    <w:rsid w:val="005829DD"/>
    <w:rsid w:val="00590D5B"/>
    <w:rsid w:val="00596F0D"/>
    <w:rsid w:val="005D0D59"/>
    <w:rsid w:val="005E2391"/>
    <w:rsid w:val="00644AB0"/>
    <w:rsid w:val="00680F3F"/>
    <w:rsid w:val="006875D6"/>
    <w:rsid w:val="006A1078"/>
    <w:rsid w:val="006A393C"/>
    <w:rsid w:val="006C2508"/>
    <w:rsid w:val="0071712D"/>
    <w:rsid w:val="0077683B"/>
    <w:rsid w:val="007C0B3A"/>
    <w:rsid w:val="007C42A7"/>
    <w:rsid w:val="0083588D"/>
    <w:rsid w:val="008433A2"/>
    <w:rsid w:val="008D6828"/>
    <w:rsid w:val="00947EAD"/>
    <w:rsid w:val="00980036"/>
    <w:rsid w:val="009D5637"/>
    <w:rsid w:val="009E1510"/>
    <w:rsid w:val="00A00C5A"/>
    <w:rsid w:val="00A57389"/>
    <w:rsid w:val="00A85F16"/>
    <w:rsid w:val="00B2106F"/>
    <w:rsid w:val="00B23D64"/>
    <w:rsid w:val="00B456B5"/>
    <w:rsid w:val="00BA046B"/>
    <w:rsid w:val="00BB7654"/>
    <w:rsid w:val="00BC710C"/>
    <w:rsid w:val="00BE24DB"/>
    <w:rsid w:val="00BF61E2"/>
    <w:rsid w:val="00C17D6D"/>
    <w:rsid w:val="00C84C2C"/>
    <w:rsid w:val="00D677A2"/>
    <w:rsid w:val="00D7105D"/>
    <w:rsid w:val="00DA2D03"/>
    <w:rsid w:val="00E12849"/>
    <w:rsid w:val="00E23C97"/>
    <w:rsid w:val="00E304B1"/>
    <w:rsid w:val="00E37CFD"/>
    <w:rsid w:val="00E43E16"/>
    <w:rsid w:val="00E47629"/>
    <w:rsid w:val="00E557DB"/>
    <w:rsid w:val="00E854C3"/>
    <w:rsid w:val="00E92B58"/>
    <w:rsid w:val="00EB2BFF"/>
    <w:rsid w:val="00EF2D40"/>
    <w:rsid w:val="00F064F7"/>
    <w:rsid w:val="00F8650B"/>
    <w:rsid w:val="00F9368C"/>
    <w:rsid w:val="00FC41D3"/>
    <w:rsid w:val="00FC4880"/>
    <w:rsid w:val="00FD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val="en-GB"/>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E23C97"/>
    <w:rPr>
      <w:rFonts w:ascii="Arial" w:hAnsi="Arial"/>
      <w:sz w:val="16"/>
      <w:lang w:eastAsia="en-US"/>
    </w:rPr>
  </w:style>
  <w:style w:type="character" w:customStyle="1" w:styleId="DateChar">
    <w:name w:val="Date Char"/>
    <w:link w:val="Date"/>
    <w:uiPriority w:val="99"/>
    <w:rsid w:val="00E23C97"/>
    <w:rPr>
      <w:sz w:val="24"/>
      <w:lang w:eastAsia="en-US"/>
    </w:rPr>
  </w:style>
  <w:style w:type="character" w:customStyle="1" w:styleId="SignatureChar">
    <w:name w:val="Signature Char"/>
    <w:link w:val="Signature"/>
    <w:uiPriority w:val="99"/>
    <w:rsid w:val="00E23C97"/>
    <w:rPr>
      <w:sz w:val="24"/>
      <w:lang w:eastAsia="en-US"/>
    </w:rPr>
  </w:style>
  <w:style w:type="paragraph" w:customStyle="1" w:styleId="ZCom">
    <w:name w:val="Z_Com"/>
    <w:basedOn w:val="Normal"/>
    <w:next w:val="ZDGName"/>
    <w:uiPriority w:val="99"/>
    <w:rsid w:val="00E23C97"/>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E23C97"/>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E23C97"/>
    <w:rPr>
      <w:sz w:val="24"/>
      <w:lang w:eastAsia="en-US"/>
    </w:rPr>
  </w:style>
  <w:style w:type="character" w:styleId="CommentReference">
    <w:name w:val="annotation reference"/>
    <w:uiPriority w:val="99"/>
    <w:semiHidden/>
    <w:unhideWhenUsed/>
    <w:rsid w:val="00E557DB"/>
    <w:rPr>
      <w:sz w:val="16"/>
      <w:szCs w:val="16"/>
    </w:rPr>
  </w:style>
  <w:style w:type="paragraph" w:styleId="CommentSubject">
    <w:name w:val="annotation subject"/>
    <w:basedOn w:val="CommentText"/>
    <w:next w:val="CommentText"/>
    <w:link w:val="CommentSubjectChar"/>
    <w:uiPriority w:val="99"/>
    <w:semiHidden/>
    <w:unhideWhenUsed/>
    <w:rsid w:val="00E557DB"/>
    <w:rPr>
      <w:b/>
      <w:bCs/>
    </w:rPr>
  </w:style>
  <w:style w:type="character" w:customStyle="1" w:styleId="CommentTextChar">
    <w:name w:val="Comment Text Char"/>
    <w:link w:val="CommentText"/>
    <w:semiHidden/>
    <w:rsid w:val="00E557DB"/>
    <w:rPr>
      <w:lang w:eastAsia="en-US"/>
    </w:rPr>
  </w:style>
  <w:style w:type="character" w:customStyle="1" w:styleId="CommentSubjectChar">
    <w:name w:val="Comment Subject Char"/>
    <w:link w:val="CommentSubject"/>
    <w:uiPriority w:val="99"/>
    <w:semiHidden/>
    <w:rsid w:val="00E557DB"/>
    <w:rPr>
      <w:b/>
      <w:bCs/>
      <w:lang w:eastAsia="en-US"/>
    </w:rPr>
  </w:style>
  <w:style w:type="paragraph" w:styleId="BalloonText">
    <w:name w:val="Balloon Text"/>
    <w:basedOn w:val="Normal"/>
    <w:link w:val="BalloonTextChar"/>
    <w:uiPriority w:val="99"/>
    <w:semiHidden/>
    <w:unhideWhenUsed/>
    <w:rsid w:val="00E557DB"/>
    <w:pPr>
      <w:spacing w:after="0"/>
    </w:pPr>
    <w:rPr>
      <w:rFonts w:ascii="Tahoma" w:hAnsi="Tahoma" w:cs="Tahoma"/>
      <w:sz w:val="16"/>
      <w:szCs w:val="16"/>
    </w:rPr>
  </w:style>
  <w:style w:type="character" w:customStyle="1" w:styleId="BalloonTextChar">
    <w:name w:val="Balloon Text Char"/>
    <w:link w:val="BalloonText"/>
    <w:uiPriority w:val="99"/>
    <w:semiHidden/>
    <w:rsid w:val="00E557DB"/>
    <w:rPr>
      <w:rFonts w:ascii="Tahoma" w:hAnsi="Tahoma" w:cs="Tahoma"/>
      <w:sz w:val="16"/>
      <w:szCs w:val="16"/>
      <w:lang w:eastAsia="en-US"/>
    </w:rPr>
  </w:style>
  <w:style w:type="character" w:styleId="FootnoteReference">
    <w:name w:val="footnote reference"/>
    <w:uiPriority w:val="99"/>
    <w:semiHidden/>
    <w:unhideWhenUsed/>
    <w:rsid w:val="001F3324"/>
    <w:rPr>
      <w:vertAlign w:val="superscript"/>
    </w:rPr>
  </w:style>
  <w:style w:type="table" w:styleId="TableGrid">
    <w:name w:val="Table Grid"/>
    <w:basedOn w:val="TableNormal"/>
    <w:uiPriority w:val="59"/>
    <w:rsid w:val="00776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082CB4"/>
    <w:pPr>
      <w:pBdr>
        <w:top w:val="single" w:sz="8" w:space="0" w:color="auto"/>
        <w:right w:val="single" w:sz="8" w:space="0" w:color="auto"/>
      </w:pBdr>
      <w:shd w:val="clear" w:color="auto" w:fill="C0C0C0"/>
      <w:spacing w:before="100" w:beforeAutospacing="1" w:after="100" w:afterAutospacing="1"/>
      <w:jc w:val="left"/>
    </w:pPr>
    <w:rPr>
      <w:rFonts w:ascii="Arial" w:hAnsi="Arial" w:cs="Arial"/>
      <w:b/>
      <w:bCs/>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val="en-GB"/>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E23C97"/>
    <w:rPr>
      <w:rFonts w:ascii="Arial" w:hAnsi="Arial"/>
      <w:sz w:val="16"/>
      <w:lang w:eastAsia="en-US"/>
    </w:rPr>
  </w:style>
  <w:style w:type="character" w:customStyle="1" w:styleId="DateChar">
    <w:name w:val="Date Char"/>
    <w:link w:val="Date"/>
    <w:uiPriority w:val="99"/>
    <w:rsid w:val="00E23C97"/>
    <w:rPr>
      <w:sz w:val="24"/>
      <w:lang w:eastAsia="en-US"/>
    </w:rPr>
  </w:style>
  <w:style w:type="character" w:customStyle="1" w:styleId="SignatureChar">
    <w:name w:val="Signature Char"/>
    <w:link w:val="Signature"/>
    <w:uiPriority w:val="99"/>
    <w:rsid w:val="00E23C97"/>
    <w:rPr>
      <w:sz w:val="24"/>
      <w:lang w:eastAsia="en-US"/>
    </w:rPr>
  </w:style>
  <w:style w:type="paragraph" w:customStyle="1" w:styleId="ZCom">
    <w:name w:val="Z_Com"/>
    <w:basedOn w:val="Normal"/>
    <w:next w:val="ZDGName"/>
    <w:uiPriority w:val="99"/>
    <w:rsid w:val="00E23C97"/>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E23C97"/>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E23C97"/>
    <w:rPr>
      <w:sz w:val="24"/>
      <w:lang w:eastAsia="en-US"/>
    </w:rPr>
  </w:style>
  <w:style w:type="character" w:styleId="CommentReference">
    <w:name w:val="annotation reference"/>
    <w:uiPriority w:val="99"/>
    <w:semiHidden/>
    <w:unhideWhenUsed/>
    <w:rsid w:val="00E557DB"/>
    <w:rPr>
      <w:sz w:val="16"/>
      <w:szCs w:val="16"/>
    </w:rPr>
  </w:style>
  <w:style w:type="paragraph" w:styleId="CommentSubject">
    <w:name w:val="annotation subject"/>
    <w:basedOn w:val="CommentText"/>
    <w:next w:val="CommentText"/>
    <w:link w:val="CommentSubjectChar"/>
    <w:uiPriority w:val="99"/>
    <w:semiHidden/>
    <w:unhideWhenUsed/>
    <w:rsid w:val="00E557DB"/>
    <w:rPr>
      <w:b/>
      <w:bCs/>
    </w:rPr>
  </w:style>
  <w:style w:type="character" w:customStyle="1" w:styleId="CommentTextChar">
    <w:name w:val="Comment Text Char"/>
    <w:link w:val="CommentText"/>
    <w:semiHidden/>
    <w:rsid w:val="00E557DB"/>
    <w:rPr>
      <w:lang w:eastAsia="en-US"/>
    </w:rPr>
  </w:style>
  <w:style w:type="character" w:customStyle="1" w:styleId="CommentSubjectChar">
    <w:name w:val="Comment Subject Char"/>
    <w:link w:val="CommentSubject"/>
    <w:uiPriority w:val="99"/>
    <w:semiHidden/>
    <w:rsid w:val="00E557DB"/>
    <w:rPr>
      <w:b/>
      <w:bCs/>
      <w:lang w:eastAsia="en-US"/>
    </w:rPr>
  </w:style>
  <w:style w:type="paragraph" w:styleId="BalloonText">
    <w:name w:val="Balloon Text"/>
    <w:basedOn w:val="Normal"/>
    <w:link w:val="BalloonTextChar"/>
    <w:uiPriority w:val="99"/>
    <w:semiHidden/>
    <w:unhideWhenUsed/>
    <w:rsid w:val="00E557DB"/>
    <w:pPr>
      <w:spacing w:after="0"/>
    </w:pPr>
    <w:rPr>
      <w:rFonts w:ascii="Tahoma" w:hAnsi="Tahoma" w:cs="Tahoma"/>
      <w:sz w:val="16"/>
      <w:szCs w:val="16"/>
    </w:rPr>
  </w:style>
  <w:style w:type="character" w:customStyle="1" w:styleId="BalloonTextChar">
    <w:name w:val="Balloon Text Char"/>
    <w:link w:val="BalloonText"/>
    <w:uiPriority w:val="99"/>
    <w:semiHidden/>
    <w:rsid w:val="00E557DB"/>
    <w:rPr>
      <w:rFonts w:ascii="Tahoma" w:hAnsi="Tahoma" w:cs="Tahoma"/>
      <w:sz w:val="16"/>
      <w:szCs w:val="16"/>
      <w:lang w:eastAsia="en-US"/>
    </w:rPr>
  </w:style>
  <w:style w:type="character" w:styleId="FootnoteReference">
    <w:name w:val="footnote reference"/>
    <w:uiPriority w:val="99"/>
    <w:semiHidden/>
    <w:unhideWhenUsed/>
    <w:rsid w:val="001F3324"/>
    <w:rPr>
      <w:vertAlign w:val="superscript"/>
    </w:rPr>
  </w:style>
  <w:style w:type="table" w:styleId="TableGrid">
    <w:name w:val="Table Grid"/>
    <w:basedOn w:val="TableNormal"/>
    <w:uiPriority w:val="59"/>
    <w:rsid w:val="00776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082CB4"/>
    <w:pPr>
      <w:pBdr>
        <w:top w:val="single" w:sz="8" w:space="0" w:color="auto"/>
        <w:right w:val="single" w:sz="8" w:space="0" w:color="auto"/>
      </w:pBdr>
      <w:shd w:val="clear" w:color="auto" w:fill="C0C0C0"/>
      <w:spacing w:before="100" w:beforeAutospacing="1" w:after="100" w:afterAutospacing="1"/>
      <w:jc w:val="left"/>
    </w:pPr>
    <w:rPr>
      <w:rFonts w:ascii="Arial" w:hAnsi="Arial" w:cs="Arial"/>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9EE6-36A2-4086-BD40-CB0F02A6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Template>
  <TotalTime>3</TotalTime>
  <Pages>3</Pages>
  <Words>1074</Words>
  <Characters>5692</Characters>
  <Application>Microsoft Office Word</Application>
  <DocSecurity>0</DocSecurity>
  <PresentationFormat>Microsoft Word 14.0</PresentationFormat>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STEININGER</dc:creator>
  <cp:keywords>EL4</cp:keywords>
  <cp:lastModifiedBy>UNECE</cp:lastModifiedBy>
  <cp:revision>3</cp:revision>
  <cp:lastPrinted>2015-01-26T07:02:00Z</cp:lastPrinted>
  <dcterms:created xsi:type="dcterms:W3CDTF">2015-11-05T19:21:00Z</dcterms:created>
  <dcterms:modified xsi:type="dcterms:W3CDTF">2015-11-06T08:48:00Z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34000</vt:lpwstr>
  </property>
  <property fmtid="{D5CDD505-2E9C-101B-9397-08002B2CF9AE}" pid="9" name="EL_Author">
    <vt:lpwstr>STEININGER</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