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CE" w:rsidRPr="00190BDB" w:rsidRDefault="001A1C46" w:rsidP="001A1C46">
      <w:pPr>
        <w:pStyle w:val="HChG"/>
        <w:rPr>
          <w:b w:val="0"/>
        </w:rPr>
      </w:pPr>
      <w:r>
        <w:tab/>
      </w:r>
      <w:r>
        <w:tab/>
      </w:r>
      <w:r w:rsidR="00AC477C" w:rsidRPr="00190BDB">
        <w:t xml:space="preserve">The 1997 Agreement - </w:t>
      </w:r>
      <w:r w:rsidR="00190BDB" w:rsidRPr="00190BDB">
        <w:t xml:space="preserve">Possible </w:t>
      </w:r>
      <w:r w:rsidR="00190BDB" w:rsidRPr="001A1C46">
        <w:rPr>
          <w:lang w:val="en-US"/>
        </w:rPr>
        <w:t>solutions</w:t>
      </w:r>
      <w:r w:rsidR="00190BDB" w:rsidRPr="00190BDB">
        <w:t xml:space="preserve"> and the</w:t>
      </w:r>
      <w:r w:rsidR="00283A3F" w:rsidRPr="00190BDB">
        <w:t xml:space="preserve"> way forward</w:t>
      </w:r>
    </w:p>
    <w:p w:rsidR="00283A3F" w:rsidRPr="00190BDB" w:rsidRDefault="001A1C46" w:rsidP="001A1C46">
      <w:pPr>
        <w:pStyle w:val="H23G"/>
      </w:pPr>
      <w:r>
        <w:tab/>
      </w:r>
      <w:r>
        <w:tab/>
      </w:r>
      <w:r w:rsidR="00283A3F" w:rsidRPr="00190BDB">
        <w:t>Current situation:</w:t>
      </w:r>
    </w:p>
    <w:p w:rsidR="00283A3F" w:rsidRDefault="00283A3F" w:rsidP="001A1C46">
      <w:pPr>
        <w:pStyle w:val="SingleTxtG"/>
        <w:ind w:firstLine="567"/>
      </w:pPr>
      <w:r>
        <w:t xml:space="preserve">The 1997 Agreement concerning periodical technical inspections (PTI) of wheeled vehicles entered into force on </w:t>
      </w:r>
      <w:r w:rsidR="006C3121">
        <w:t>27 January 2001</w:t>
      </w:r>
      <w:r>
        <w:t xml:space="preserve"> following the sixth country becoming a Contracting Party.</w:t>
      </w:r>
      <w:r w:rsidR="006C3121">
        <w:t xml:space="preserve"> Up to now, </w:t>
      </w:r>
      <w:r w:rsidR="0018251B">
        <w:t>12 countries are contracting parties to the agreement (Russian Federation, Estonia, Netherlands, Romania, Hungary, Finland, Bulgaria, Belarus, Albania, Ukraine, Moldova and Kazakhstan) where six of them are members of the European Union.</w:t>
      </w:r>
      <w:r>
        <w:t xml:space="preserve"> Since this date, the agreement has been amended twice and </w:t>
      </w:r>
      <w:r w:rsidR="00AC477C">
        <w:t>R</w:t>
      </w:r>
      <w:r>
        <w:t>ules 1 on PTI on environmental aspects and Rule 2 on</w:t>
      </w:r>
      <w:r w:rsidR="006C3121">
        <w:t xml:space="preserve"> PTI on</w:t>
      </w:r>
      <w:r>
        <w:t xml:space="preserve"> safety related</w:t>
      </w:r>
      <w:r w:rsidR="006C3121">
        <w:t xml:space="preserve"> aspects have been introduced. To follow technical progress, the rules annexed to the agreement follow a continuous process of being amended.</w:t>
      </w:r>
      <w:r w:rsidR="0018251B">
        <w:t xml:space="preserve"> </w:t>
      </w:r>
    </w:p>
    <w:p w:rsidR="00AC477C" w:rsidRDefault="00AC477C" w:rsidP="001A1C46">
      <w:pPr>
        <w:pStyle w:val="SingleTxtG"/>
      </w:pPr>
      <w:r>
        <w:t>During the past decade, several attempts have been made to increase the number of participating countries with focu</w:t>
      </w:r>
      <w:r w:rsidR="00EA28FC">
        <w:t>s on the ECE area, while</w:t>
      </w:r>
      <w:r>
        <w:t xml:space="preserve"> the 1997 agreement is o</w:t>
      </w:r>
      <w:r w:rsidR="00EA28FC">
        <w:t>pen for accession by all member Countries of the United Nations. However progress is slow as the majority of UNECE countries are also members of the European Union where they have to fully comply with European legislation.</w:t>
      </w:r>
    </w:p>
    <w:p w:rsidR="0018251B" w:rsidRDefault="0018251B" w:rsidP="001A1C46">
      <w:pPr>
        <w:pStyle w:val="SingleTxtG"/>
      </w:pPr>
      <w:r>
        <w:t xml:space="preserve">In 2014, the European Union has put in place a revised version of their legislation on PTI, Directive 2014/45/EU on periodic roadworthiness tests for motor vehicles and their trailers. </w:t>
      </w:r>
      <w:r w:rsidR="00AC477C">
        <w:t>With this new directive additional elements</w:t>
      </w:r>
      <w:r w:rsidR="00181BDD">
        <w:t xml:space="preserve"> were</w:t>
      </w:r>
      <w:r w:rsidR="00AC477C">
        <w:t xml:space="preserve"> introduced related to the equipment to be used for PTI, skills and training of personnel performing PTI as well as requirements for supervision and quality control of PTI centers.</w:t>
      </w:r>
    </w:p>
    <w:p w:rsidR="00EA28FC" w:rsidRPr="00190BDB" w:rsidRDefault="001A1C46" w:rsidP="001A1C46">
      <w:pPr>
        <w:pStyle w:val="H23G"/>
      </w:pPr>
      <w:r>
        <w:tab/>
      </w:r>
      <w:r>
        <w:tab/>
      </w:r>
      <w:r w:rsidR="00EA28FC" w:rsidRPr="00190BDB">
        <w:t>Possible solutions:</w:t>
      </w:r>
    </w:p>
    <w:p w:rsidR="00EA28FC" w:rsidRDefault="00EA28FC" w:rsidP="001A1C46">
      <w:pPr>
        <w:pStyle w:val="SingleTxtG"/>
      </w:pPr>
      <w:r>
        <w:t xml:space="preserve">Following the analysis of the current situation, </w:t>
      </w:r>
      <w:r w:rsidR="0005049E">
        <w:t>the following</w:t>
      </w:r>
      <w:r>
        <w:t xml:space="preserve"> areas for future improvements could be identified:</w:t>
      </w:r>
    </w:p>
    <w:p w:rsidR="00EA28FC" w:rsidRDefault="00EA28FC" w:rsidP="001A1C46">
      <w:pPr>
        <w:pStyle w:val="Bullet1G"/>
        <w:numPr>
          <w:ilvl w:val="0"/>
          <w:numId w:val="1"/>
        </w:numPr>
        <w:tabs>
          <w:tab w:val="num" w:pos="1701"/>
        </w:tabs>
        <w:ind w:left="1701" w:hanging="170"/>
      </w:pPr>
      <w:r>
        <w:t>Better alignment of the agreeme</w:t>
      </w:r>
      <w:r w:rsidR="00BE16EF">
        <w:t>nt and the annexed rules with the new European legislation. This will have an effect on the content of the existing rules</w:t>
      </w:r>
      <w:r w:rsidR="00B8706F">
        <w:t xml:space="preserve"> by inter alia including the testing of electronic safety systems into PTI,</w:t>
      </w:r>
      <w:r w:rsidR="00BE16EF">
        <w:t xml:space="preserve"> but also request the consideration of introducing additional elements, preferably by the instruments of new rules namely</w:t>
      </w:r>
    </w:p>
    <w:p w:rsidR="00BE16EF" w:rsidRDefault="0008793E" w:rsidP="001A1C46">
      <w:pPr>
        <w:pStyle w:val="Bullet2G"/>
        <w:numPr>
          <w:ilvl w:val="1"/>
          <w:numId w:val="2"/>
        </w:numPr>
        <w:tabs>
          <w:tab w:val="num" w:pos="2268"/>
        </w:tabs>
        <w:ind w:left="2268" w:hanging="170"/>
      </w:pPr>
      <w:r>
        <w:t xml:space="preserve">new </w:t>
      </w:r>
      <w:r w:rsidR="00BE16EF">
        <w:t>Rule 3 on the equipment to be used for PTI,</w:t>
      </w:r>
    </w:p>
    <w:p w:rsidR="00BE16EF" w:rsidRDefault="0008793E" w:rsidP="001A1C46">
      <w:pPr>
        <w:pStyle w:val="Bullet2G"/>
        <w:numPr>
          <w:ilvl w:val="1"/>
          <w:numId w:val="2"/>
        </w:numPr>
        <w:tabs>
          <w:tab w:val="num" w:pos="2268"/>
        </w:tabs>
        <w:ind w:left="2268" w:hanging="170"/>
      </w:pPr>
      <w:proofErr w:type="gramStart"/>
      <w:r>
        <w:t>new</w:t>
      </w:r>
      <w:proofErr w:type="gramEnd"/>
      <w:r>
        <w:t xml:space="preserve"> </w:t>
      </w:r>
      <w:r w:rsidR="00BE16EF">
        <w:t>Rule 4 on skills and training of staff performing PTI and</w:t>
      </w:r>
    </w:p>
    <w:p w:rsidR="00BE16EF" w:rsidRDefault="0008793E" w:rsidP="001A1C46">
      <w:pPr>
        <w:pStyle w:val="Bullet2G"/>
        <w:numPr>
          <w:ilvl w:val="1"/>
          <w:numId w:val="2"/>
        </w:numPr>
        <w:tabs>
          <w:tab w:val="num" w:pos="2268"/>
        </w:tabs>
        <w:ind w:left="2268" w:hanging="170"/>
      </w:pPr>
      <w:proofErr w:type="gramStart"/>
      <w:r>
        <w:t>new</w:t>
      </w:r>
      <w:proofErr w:type="gramEnd"/>
      <w:r>
        <w:t xml:space="preserve"> </w:t>
      </w:r>
      <w:r w:rsidR="00BE16EF">
        <w:t xml:space="preserve">Rule 5 on supervision and quality control of PTI </w:t>
      </w:r>
      <w:proofErr w:type="spellStart"/>
      <w:r w:rsidR="00BE16EF">
        <w:t>centers</w:t>
      </w:r>
      <w:proofErr w:type="spellEnd"/>
      <w:r w:rsidR="00BE16EF">
        <w:t>.</w:t>
      </w:r>
    </w:p>
    <w:p w:rsidR="00BE16EF" w:rsidRDefault="00BE16EF" w:rsidP="001A1C46">
      <w:pPr>
        <w:pStyle w:val="Bullet1G"/>
        <w:numPr>
          <w:ilvl w:val="0"/>
          <w:numId w:val="1"/>
        </w:numPr>
        <w:tabs>
          <w:tab w:val="num" w:pos="1701"/>
        </w:tabs>
        <w:ind w:left="1701" w:hanging="170"/>
      </w:pPr>
      <w:r>
        <w:t>Furthermore, appendix 2 to the 1997 agreement establishing the international technical inspection certificate shou</w:t>
      </w:r>
      <w:bookmarkStart w:id="0" w:name="_GoBack"/>
      <w:bookmarkEnd w:id="0"/>
      <w:r>
        <w:t>ld be updated and modernized towards the possibility of electronic certificates</w:t>
      </w:r>
      <w:r w:rsidR="00B8706F">
        <w:t>.</w:t>
      </w:r>
    </w:p>
    <w:p w:rsidR="004930CD" w:rsidRPr="00190BDB" w:rsidRDefault="001A1C46" w:rsidP="001A1C46">
      <w:pPr>
        <w:pStyle w:val="H23G"/>
      </w:pPr>
      <w:r>
        <w:lastRenderedPageBreak/>
        <w:tab/>
      </w:r>
      <w:r>
        <w:tab/>
      </w:r>
      <w:r w:rsidR="004930CD" w:rsidRPr="00190BDB">
        <w:t>The way forward:</w:t>
      </w:r>
    </w:p>
    <w:p w:rsidR="004930CD" w:rsidRDefault="004930CD" w:rsidP="001A1C46">
      <w:pPr>
        <w:pStyle w:val="SingleTxtG"/>
        <w:keepNext/>
        <w:keepLines/>
      </w:pPr>
      <w:r>
        <w:t>To provide for a proper preparation of the alignment with European legislation, it is deemed necessary to install an informal working group</w:t>
      </w:r>
      <w:r w:rsidR="00FE5945">
        <w:t xml:space="preserve"> (IWG)</w:t>
      </w:r>
      <w:r>
        <w:t xml:space="preserve"> on PTI as these new elements might not be covered by the work of the current existing</w:t>
      </w:r>
      <w:r w:rsidR="00FE5945">
        <w:t xml:space="preserve"> GRs. Furthermore such an IWG would allow PTI experts to participate</w:t>
      </w:r>
      <w:r w:rsidR="00190BDB">
        <w:t>,</w:t>
      </w:r>
      <w:r w:rsidR="00FE5945">
        <w:t xml:space="preserve"> as usually they are not</w:t>
      </w:r>
      <w:r w:rsidR="00190BDB">
        <w:t xml:space="preserve"> well</w:t>
      </w:r>
      <w:r w:rsidR="00FE5945">
        <w:t xml:space="preserve"> represented in any of the groups dealing with type-approval issues. In addition, providing a platform for discussions on PTI </w:t>
      </w:r>
      <w:r w:rsidR="00190BDB">
        <w:t>which</w:t>
      </w:r>
      <w:r w:rsidR="00FE5945">
        <w:t xml:space="preserve"> should result in a consensus on possible amendments to existing rules and on the envisaged new rules would smooth the decision making process within WP.29 and AC.4.</w:t>
      </w:r>
    </w:p>
    <w:p w:rsidR="001A1C46" w:rsidRPr="001A1C46" w:rsidRDefault="001A1C46" w:rsidP="001A1C46">
      <w:pPr>
        <w:pStyle w:val="SingleTxtG"/>
        <w:spacing w:before="240" w:after="0"/>
        <w:jc w:val="center"/>
        <w:rPr>
          <w:u w:val="single"/>
        </w:rPr>
      </w:pPr>
      <w:r>
        <w:rPr>
          <w:u w:val="single"/>
        </w:rPr>
        <w:tab/>
      </w:r>
      <w:r>
        <w:rPr>
          <w:u w:val="single"/>
        </w:rPr>
        <w:tab/>
      </w:r>
      <w:r>
        <w:rPr>
          <w:u w:val="single"/>
        </w:rPr>
        <w:tab/>
      </w:r>
    </w:p>
    <w:sectPr w:rsidR="001A1C46" w:rsidRPr="001A1C46" w:rsidSect="001A1C46">
      <w:footerReference w:type="default" r:id="rId9"/>
      <w:headerReference w:type="first" r:id="rId10"/>
      <w:footerReference w:type="first" r:id="rId11"/>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AC" w:rsidRDefault="00180CAC" w:rsidP="00180CAC">
      <w:pPr>
        <w:spacing w:after="0" w:line="240" w:lineRule="auto"/>
      </w:pPr>
      <w:r>
        <w:separator/>
      </w:r>
    </w:p>
  </w:endnote>
  <w:endnote w:type="continuationSeparator" w:id="0">
    <w:p w:rsidR="00180CAC" w:rsidRDefault="00180CAC" w:rsidP="0018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46" w:rsidRPr="001A1C46" w:rsidRDefault="001A1C46">
    <w:pPr>
      <w:pStyle w:val="Footer"/>
      <w:rPr>
        <w:rFonts w:ascii="Times New Roman" w:hAnsi="Times New Roman" w:cs="Times New Roman"/>
      </w:rPr>
    </w:pPr>
    <w:r w:rsidRPr="001A1C46">
      <w:rPr>
        <w:rFonts w:ascii="Times New Roman" w:hAnsi="Times New Roman" w:cs="Times New Roman"/>
        <w:b/>
        <w:sz w:val="18"/>
      </w:rPr>
      <w:fldChar w:fldCharType="begin"/>
    </w:r>
    <w:r w:rsidRPr="001A1C46">
      <w:rPr>
        <w:rFonts w:ascii="Times New Roman" w:hAnsi="Times New Roman" w:cs="Times New Roman"/>
        <w:b/>
        <w:sz w:val="18"/>
      </w:rPr>
      <w:instrText xml:space="preserve"> PAGE  \* MERGEFORMAT </w:instrText>
    </w:r>
    <w:r w:rsidRPr="001A1C46">
      <w:rPr>
        <w:rFonts w:ascii="Times New Roman" w:hAnsi="Times New Roman" w:cs="Times New Roman"/>
        <w:b/>
        <w:sz w:val="18"/>
      </w:rPr>
      <w:fldChar w:fldCharType="separate"/>
    </w:r>
    <w:r>
      <w:rPr>
        <w:rFonts w:ascii="Times New Roman" w:hAnsi="Times New Roman" w:cs="Times New Roman"/>
        <w:b/>
        <w:noProof/>
        <w:sz w:val="18"/>
      </w:rPr>
      <w:t>2</w:t>
    </w:r>
    <w:r w:rsidRPr="001A1C46">
      <w:rPr>
        <w:rFonts w:ascii="Times New Roman" w:hAnsi="Times New Roman" w:cs="Times New Roman"/>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46" w:rsidRPr="001A1C46" w:rsidRDefault="001A1C46" w:rsidP="001A1C46">
    <w:pPr>
      <w:pStyle w:val="Footer"/>
      <w:jc w:val="right"/>
      <w:rPr>
        <w:rFonts w:ascii="Times New Roman" w:hAnsi="Times New Roman" w:cs="Times New Roman"/>
      </w:rPr>
    </w:pPr>
    <w:r w:rsidRPr="001A1C46">
      <w:rPr>
        <w:rFonts w:ascii="Times New Roman" w:hAnsi="Times New Roman" w:cs="Times New Roman"/>
        <w:b/>
        <w:sz w:val="18"/>
      </w:rPr>
      <w:fldChar w:fldCharType="begin"/>
    </w:r>
    <w:r w:rsidRPr="001A1C46">
      <w:rPr>
        <w:rFonts w:ascii="Times New Roman" w:hAnsi="Times New Roman" w:cs="Times New Roman"/>
        <w:b/>
        <w:sz w:val="18"/>
      </w:rPr>
      <w:instrText xml:space="preserve"> PAGE  \* MERGEFORMAT </w:instrText>
    </w:r>
    <w:r w:rsidRPr="001A1C46">
      <w:rPr>
        <w:rFonts w:ascii="Times New Roman" w:hAnsi="Times New Roman" w:cs="Times New Roman"/>
        <w:b/>
        <w:sz w:val="18"/>
      </w:rPr>
      <w:fldChar w:fldCharType="separate"/>
    </w:r>
    <w:r>
      <w:rPr>
        <w:rFonts w:ascii="Times New Roman" w:hAnsi="Times New Roman" w:cs="Times New Roman"/>
        <w:b/>
        <w:noProof/>
        <w:sz w:val="18"/>
      </w:rPr>
      <w:t>1</w:t>
    </w:r>
    <w:r w:rsidRPr="001A1C46">
      <w:rPr>
        <w:rFonts w:ascii="Times New Roman" w:hAnsi="Times New Roman" w:cs="Times New Roman"/>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AC" w:rsidRDefault="00180CAC" w:rsidP="00180CAC">
      <w:pPr>
        <w:spacing w:after="0" w:line="240" w:lineRule="auto"/>
      </w:pPr>
      <w:r>
        <w:separator/>
      </w:r>
    </w:p>
  </w:footnote>
  <w:footnote w:type="continuationSeparator" w:id="0">
    <w:p w:rsidR="00180CAC" w:rsidRDefault="00180CAC" w:rsidP="0018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8" w:type="dxa"/>
      <w:tblInd w:w="250" w:type="dxa"/>
      <w:tblLook w:val="0000" w:firstRow="0" w:lastRow="0" w:firstColumn="0" w:lastColumn="0" w:noHBand="0" w:noVBand="0"/>
    </w:tblPr>
    <w:tblGrid>
      <w:gridCol w:w="4820"/>
      <w:gridCol w:w="4778"/>
    </w:tblGrid>
    <w:tr w:rsidR="001A1C46" w:rsidRPr="003B276D" w:rsidTr="003E12FC">
      <w:trPr>
        <w:trHeight w:val="570"/>
      </w:trPr>
      <w:tc>
        <w:tcPr>
          <w:tcW w:w="4820" w:type="dxa"/>
          <w:tcBorders>
            <w:left w:val="nil"/>
          </w:tcBorders>
        </w:tcPr>
        <w:p w:rsidR="001A1C46" w:rsidRPr="003B276D" w:rsidRDefault="001A1C46" w:rsidP="003E12FC">
          <w:pPr>
            <w:suppressAutoHyphens/>
            <w:spacing w:after="0" w:line="240" w:lineRule="atLeast"/>
            <w:rPr>
              <w:rFonts w:ascii="Times New Roman" w:eastAsia="Times New Roman" w:hAnsi="Times New Roman" w:cs="Times New Roman"/>
              <w:sz w:val="20"/>
              <w:szCs w:val="20"/>
              <w:lang w:val="en-GB"/>
            </w:rPr>
          </w:pPr>
          <w:r w:rsidRPr="003B276D">
            <w:rPr>
              <w:rFonts w:ascii="Times New Roman" w:eastAsia="Times New Roman" w:hAnsi="Times New Roman" w:cs="Times New Roman"/>
              <w:sz w:val="20"/>
              <w:szCs w:val="20"/>
              <w:lang w:val="en-GB"/>
            </w:rPr>
            <w:t>Note by the secretariat</w:t>
          </w:r>
        </w:p>
      </w:tc>
      <w:tc>
        <w:tcPr>
          <w:tcW w:w="4778" w:type="dxa"/>
          <w:tcBorders>
            <w:left w:val="nil"/>
          </w:tcBorders>
        </w:tcPr>
        <w:p w:rsidR="001A1C46" w:rsidRPr="003B276D" w:rsidRDefault="001A1C46" w:rsidP="003E12FC">
          <w:pPr>
            <w:suppressAutoHyphens/>
            <w:spacing w:after="0" w:line="240" w:lineRule="auto"/>
            <w:ind w:left="176"/>
            <w:jc w:val="right"/>
            <w:rPr>
              <w:rFonts w:ascii="Times New Roman" w:eastAsia="Times New Roman" w:hAnsi="Times New Roman" w:cs="Times New Roman"/>
              <w:b/>
              <w:bCs/>
              <w:sz w:val="20"/>
              <w:szCs w:val="20"/>
            </w:rPr>
          </w:pPr>
          <w:r w:rsidRPr="003B276D">
            <w:rPr>
              <w:rFonts w:ascii="Times New Roman" w:eastAsia="Times New Roman" w:hAnsi="Times New Roman" w:cs="Times New Roman"/>
              <w:bCs/>
              <w:sz w:val="20"/>
              <w:szCs w:val="20"/>
            </w:rPr>
            <w:t xml:space="preserve">Informal document </w:t>
          </w:r>
          <w:r>
            <w:rPr>
              <w:rFonts w:ascii="Times New Roman" w:eastAsia="Times New Roman" w:hAnsi="Times New Roman" w:cs="Times New Roman"/>
              <w:b/>
              <w:bCs/>
              <w:sz w:val="20"/>
              <w:szCs w:val="20"/>
            </w:rPr>
            <w:t>WP.29</w:t>
          </w:r>
          <w:r w:rsidRPr="003B276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165</w:t>
          </w:r>
          <w:r w:rsidRPr="003B276D">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3</w:t>
          </w:r>
        </w:p>
        <w:p w:rsidR="001A1C46" w:rsidRPr="003B276D" w:rsidRDefault="001A1C46" w:rsidP="003E12FC">
          <w:pPr>
            <w:suppressAutoHyphens/>
            <w:spacing w:after="0" w:line="240" w:lineRule="auto"/>
            <w:ind w:left="176"/>
            <w:jc w:val="right"/>
            <w:rPr>
              <w:rFonts w:ascii="Times New Roman" w:eastAsia="Times New Roman" w:hAnsi="Times New Roman" w:cs="Times New Roman"/>
              <w:bCs/>
              <w:sz w:val="20"/>
              <w:szCs w:val="20"/>
            </w:rPr>
          </w:pPr>
          <w:r w:rsidRPr="008132BE">
            <w:rPr>
              <w:rFonts w:ascii="Times New Roman" w:eastAsia="Times New Roman" w:hAnsi="Times New Roman" w:cs="Times New Roman"/>
              <w:bCs/>
              <w:sz w:val="20"/>
              <w:szCs w:val="20"/>
              <w:lang w:val="pt-BR"/>
            </w:rPr>
            <w:t>(165</w:t>
          </w:r>
          <w:r w:rsidRPr="008132BE">
            <w:rPr>
              <w:rFonts w:ascii="Times New Roman" w:eastAsia="Times New Roman" w:hAnsi="Times New Roman" w:cs="Times New Roman"/>
              <w:bCs/>
              <w:sz w:val="20"/>
              <w:szCs w:val="20"/>
              <w:vertAlign w:val="superscript"/>
              <w:lang w:val="pt-BR"/>
            </w:rPr>
            <w:t>th</w:t>
          </w:r>
          <w:r w:rsidRPr="008132BE">
            <w:rPr>
              <w:rFonts w:ascii="Times New Roman" w:eastAsia="Times New Roman" w:hAnsi="Times New Roman" w:cs="Times New Roman"/>
              <w:bCs/>
              <w:sz w:val="20"/>
              <w:szCs w:val="20"/>
              <w:lang w:val="pt-BR"/>
            </w:rPr>
            <w:t xml:space="preserve"> WP.29, 10-13 March 2015,</w:t>
          </w:r>
          <w:r w:rsidRPr="008132BE">
            <w:rPr>
              <w:rFonts w:ascii="Times New Roman" w:eastAsia="Times New Roman" w:hAnsi="Times New Roman" w:cs="Times New Roman"/>
              <w:bCs/>
              <w:sz w:val="20"/>
              <w:szCs w:val="20"/>
              <w:lang w:val="pt-BR"/>
            </w:rPr>
            <w:br/>
            <w:t xml:space="preserve">agenda item </w:t>
          </w:r>
          <w:r>
            <w:rPr>
              <w:rFonts w:ascii="Times New Roman" w:eastAsia="Times New Roman" w:hAnsi="Times New Roman" w:cs="Times New Roman"/>
              <w:bCs/>
              <w:sz w:val="20"/>
              <w:szCs w:val="20"/>
              <w:lang w:val="pt-BR"/>
            </w:rPr>
            <w:t>7</w:t>
          </w:r>
          <w:r w:rsidRPr="008132BE">
            <w:rPr>
              <w:rFonts w:ascii="Times New Roman" w:eastAsia="Times New Roman" w:hAnsi="Times New Roman" w:cs="Times New Roman"/>
              <w:bCs/>
              <w:sz w:val="20"/>
              <w:szCs w:val="20"/>
              <w:lang w:val="pt-BR"/>
            </w:rPr>
            <w:t>.</w:t>
          </w:r>
          <w:r>
            <w:rPr>
              <w:rFonts w:ascii="Times New Roman" w:eastAsia="Times New Roman" w:hAnsi="Times New Roman" w:cs="Times New Roman"/>
              <w:bCs/>
              <w:sz w:val="20"/>
              <w:szCs w:val="20"/>
              <w:lang w:val="pt-BR"/>
            </w:rPr>
            <w:t>1</w:t>
          </w:r>
          <w:r w:rsidRPr="008132BE">
            <w:rPr>
              <w:rFonts w:ascii="Times New Roman" w:eastAsia="Times New Roman" w:hAnsi="Times New Roman" w:cs="Times New Roman"/>
              <w:bCs/>
              <w:sz w:val="20"/>
              <w:szCs w:val="20"/>
              <w:lang w:val="pt-BR"/>
            </w:rPr>
            <w:t>.)</w:t>
          </w:r>
        </w:p>
        <w:p w:rsidR="001A1C46" w:rsidRPr="008132BE" w:rsidRDefault="001A1C46" w:rsidP="003E12FC">
          <w:pPr>
            <w:suppressAutoHyphens/>
            <w:spacing w:after="0" w:line="240" w:lineRule="auto"/>
            <w:ind w:left="176"/>
            <w:jc w:val="center"/>
            <w:rPr>
              <w:rFonts w:ascii="Times New Roman" w:eastAsia="Times New Roman" w:hAnsi="Times New Roman" w:cs="Times New Roman"/>
              <w:bCs/>
              <w:sz w:val="20"/>
              <w:szCs w:val="20"/>
            </w:rPr>
          </w:pPr>
        </w:p>
      </w:tc>
    </w:tr>
  </w:tbl>
  <w:p w:rsidR="001A1C46" w:rsidRDefault="001A1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4A1"/>
    <w:multiLevelType w:val="hybridMultilevel"/>
    <w:tmpl w:val="EEC22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121C7"/>
    <w:multiLevelType w:val="hybridMultilevel"/>
    <w:tmpl w:val="AFBC5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3F"/>
    <w:rsid w:val="00023F21"/>
    <w:rsid w:val="0005049E"/>
    <w:rsid w:val="0008793E"/>
    <w:rsid w:val="000B31B9"/>
    <w:rsid w:val="000F39CE"/>
    <w:rsid w:val="00180CAC"/>
    <w:rsid w:val="00181BDD"/>
    <w:rsid w:val="0018251B"/>
    <w:rsid w:val="00190BDB"/>
    <w:rsid w:val="001A1C46"/>
    <w:rsid w:val="00273D35"/>
    <w:rsid w:val="00283A3F"/>
    <w:rsid w:val="003B276D"/>
    <w:rsid w:val="004930CD"/>
    <w:rsid w:val="006C3121"/>
    <w:rsid w:val="00706D89"/>
    <w:rsid w:val="00787399"/>
    <w:rsid w:val="007F51DD"/>
    <w:rsid w:val="008132BE"/>
    <w:rsid w:val="008878D3"/>
    <w:rsid w:val="00AC477C"/>
    <w:rsid w:val="00B13629"/>
    <w:rsid w:val="00B8706F"/>
    <w:rsid w:val="00BE16EF"/>
    <w:rsid w:val="00EA28FC"/>
    <w:rsid w:val="00F20D7C"/>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FC"/>
    <w:pPr>
      <w:ind w:left="720"/>
      <w:contextualSpacing/>
    </w:pPr>
  </w:style>
  <w:style w:type="paragraph" w:styleId="FootnoteText">
    <w:name w:val="footnote text"/>
    <w:basedOn w:val="Normal"/>
    <w:link w:val="FootnoteTextChar"/>
    <w:uiPriority w:val="99"/>
    <w:semiHidden/>
    <w:unhideWhenUsed/>
    <w:rsid w:val="00180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CAC"/>
    <w:rPr>
      <w:sz w:val="20"/>
      <w:szCs w:val="20"/>
    </w:rPr>
  </w:style>
  <w:style w:type="character" w:styleId="FootnoteReference">
    <w:name w:val="footnote reference"/>
    <w:basedOn w:val="DefaultParagraphFont"/>
    <w:uiPriority w:val="99"/>
    <w:semiHidden/>
    <w:unhideWhenUsed/>
    <w:rsid w:val="00180CAC"/>
    <w:rPr>
      <w:vertAlign w:val="superscript"/>
    </w:rPr>
  </w:style>
  <w:style w:type="paragraph" w:styleId="Header">
    <w:name w:val="header"/>
    <w:basedOn w:val="Normal"/>
    <w:link w:val="HeaderChar"/>
    <w:unhideWhenUsed/>
    <w:rsid w:val="0005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E"/>
  </w:style>
  <w:style w:type="paragraph" w:styleId="Footer">
    <w:name w:val="footer"/>
    <w:basedOn w:val="Normal"/>
    <w:link w:val="FooterChar"/>
    <w:uiPriority w:val="99"/>
    <w:unhideWhenUsed/>
    <w:rsid w:val="0005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E"/>
  </w:style>
  <w:style w:type="paragraph" w:styleId="BalloonText">
    <w:name w:val="Balloon Text"/>
    <w:basedOn w:val="Normal"/>
    <w:link w:val="BalloonTextChar"/>
    <w:uiPriority w:val="99"/>
    <w:semiHidden/>
    <w:unhideWhenUsed/>
    <w:rsid w:val="0005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9E"/>
    <w:rPr>
      <w:rFonts w:ascii="Tahoma" w:hAnsi="Tahoma" w:cs="Tahoma"/>
      <w:sz w:val="16"/>
      <w:szCs w:val="16"/>
    </w:rPr>
  </w:style>
  <w:style w:type="paragraph" w:customStyle="1" w:styleId="H1G">
    <w:name w:val="_ H_1_G"/>
    <w:basedOn w:val="Normal"/>
    <w:next w:val="Normal"/>
    <w:link w:val="H1GChar"/>
    <w:qFormat/>
    <w:rsid w:val="001A1C4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rsid w:val="001A1C46"/>
    <w:rPr>
      <w:rFonts w:ascii="Times New Roman" w:eastAsia="Times New Roman" w:hAnsi="Times New Roman" w:cs="Times New Roman"/>
      <w:b/>
      <w:sz w:val="24"/>
      <w:szCs w:val="20"/>
      <w:lang w:val="en-GB"/>
    </w:rPr>
  </w:style>
  <w:style w:type="paragraph" w:customStyle="1" w:styleId="HChG">
    <w:name w:val="_ H _Ch_G"/>
    <w:basedOn w:val="Normal"/>
    <w:next w:val="Normal"/>
    <w:link w:val="HChGChar"/>
    <w:qFormat/>
    <w:rsid w:val="001A1C4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1A1C46"/>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qFormat/>
    <w:rsid w:val="001A1C4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A1C46"/>
    <w:rPr>
      <w:rFonts w:ascii="Times New Roman" w:eastAsia="Times New Roman" w:hAnsi="Times New Roman" w:cs="Times New Roman"/>
      <w:sz w:val="20"/>
      <w:szCs w:val="20"/>
      <w:lang w:val="en-GB"/>
    </w:rPr>
  </w:style>
  <w:style w:type="paragraph" w:customStyle="1" w:styleId="Bullet1G">
    <w:name w:val="_Bullet 1_G"/>
    <w:basedOn w:val="Normal"/>
    <w:qFormat/>
    <w:rsid w:val="001A1C46"/>
    <w:p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qFormat/>
    <w:rsid w:val="001A1C46"/>
    <w:p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link w:val="H23GChar"/>
    <w:qFormat/>
    <w:rsid w:val="001A1C4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link w:val="H23G"/>
    <w:locked/>
    <w:rsid w:val="001A1C46"/>
    <w:rPr>
      <w:rFonts w:ascii="Times New Roman" w:eastAsia="Times New Roman" w:hAnsi="Times New Roman" w:cs="Times New Roman"/>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FC"/>
    <w:pPr>
      <w:ind w:left="720"/>
      <w:contextualSpacing/>
    </w:pPr>
  </w:style>
  <w:style w:type="paragraph" w:styleId="FootnoteText">
    <w:name w:val="footnote text"/>
    <w:basedOn w:val="Normal"/>
    <w:link w:val="FootnoteTextChar"/>
    <w:uiPriority w:val="99"/>
    <w:semiHidden/>
    <w:unhideWhenUsed/>
    <w:rsid w:val="00180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CAC"/>
    <w:rPr>
      <w:sz w:val="20"/>
      <w:szCs w:val="20"/>
    </w:rPr>
  </w:style>
  <w:style w:type="character" w:styleId="FootnoteReference">
    <w:name w:val="footnote reference"/>
    <w:basedOn w:val="DefaultParagraphFont"/>
    <w:uiPriority w:val="99"/>
    <w:semiHidden/>
    <w:unhideWhenUsed/>
    <w:rsid w:val="00180CAC"/>
    <w:rPr>
      <w:vertAlign w:val="superscript"/>
    </w:rPr>
  </w:style>
  <w:style w:type="paragraph" w:styleId="Header">
    <w:name w:val="header"/>
    <w:basedOn w:val="Normal"/>
    <w:link w:val="HeaderChar"/>
    <w:unhideWhenUsed/>
    <w:rsid w:val="0005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E"/>
  </w:style>
  <w:style w:type="paragraph" w:styleId="Footer">
    <w:name w:val="footer"/>
    <w:basedOn w:val="Normal"/>
    <w:link w:val="FooterChar"/>
    <w:uiPriority w:val="99"/>
    <w:unhideWhenUsed/>
    <w:rsid w:val="0005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E"/>
  </w:style>
  <w:style w:type="paragraph" w:styleId="BalloonText">
    <w:name w:val="Balloon Text"/>
    <w:basedOn w:val="Normal"/>
    <w:link w:val="BalloonTextChar"/>
    <w:uiPriority w:val="99"/>
    <w:semiHidden/>
    <w:unhideWhenUsed/>
    <w:rsid w:val="0005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9E"/>
    <w:rPr>
      <w:rFonts w:ascii="Tahoma" w:hAnsi="Tahoma" w:cs="Tahoma"/>
      <w:sz w:val="16"/>
      <w:szCs w:val="16"/>
    </w:rPr>
  </w:style>
  <w:style w:type="paragraph" w:customStyle="1" w:styleId="H1G">
    <w:name w:val="_ H_1_G"/>
    <w:basedOn w:val="Normal"/>
    <w:next w:val="Normal"/>
    <w:link w:val="H1GChar"/>
    <w:qFormat/>
    <w:rsid w:val="001A1C4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rsid w:val="001A1C46"/>
    <w:rPr>
      <w:rFonts w:ascii="Times New Roman" w:eastAsia="Times New Roman" w:hAnsi="Times New Roman" w:cs="Times New Roman"/>
      <w:b/>
      <w:sz w:val="24"/>
      <w:szCs w:val="20"/>
      <w:lang w:val="en-GB"/>
    </w:rPr>
  </w:style>
  <w:style w:type="paragraph" w:customStyle="1" w:styleId="HChG">
    <w:name w:val="_ H _Ch_G"/>
    <w:basedOn w:val="Normal"/>
    <w:next w:val="Normal"/>
    <w:link w:val="HChGChar"/>
    <w:qFormat/>
    <w:rsid w:val="001A1C4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1A1C46"/>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qFormat/>
    <w:rsid w:val="001A1C4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A1C46"/>
    <w:rPr>
      <w:rFonts w:ascii="Times New Roman" w:eastAsia="Times New Roman" w:hAnsi="Times New Roman" w:cs="Times New Roman"/>
      <w:sz w:val="20"/>
      <w:szCs w:val="20"/>
      <w:lang w:val="en-GB"/>
    </w:rPr>
  </w:style>
  <w:style w:type="paragraph" w:customStyle="1" w:styleId="Bullet1G">
    <w:name w:val="_Bullet 1_G"/>
    <w:basedOn w:val="Normal"/>
    <w:qFormat/>
    <w:rsid w:val="001A1C46"/>
    <w:p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qFormat/>
    <w:rsid w:val="001A1C46"/>
    <w:p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link w:val="H23GChar"/>
    <w:qFormat/>
    <w:rsid w:val="001A1C4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link w:val="H23G"/>
    <w:locked/>
    <w:rsid w:val="001A1C46"/>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A2F8-144D-4E27-9626-2CB56B57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Caillot</cp:lastModifiedBy>
  <cp:revision>7</cp:revision>
  <dcterms:created xsi:type="dcterms:W3CDTF">2015-02-09T17:49:00Z</dcterms:created>
  <dcterms:modified xsi:type="dcterms:W3CDTF">2015-03-04T14:14:00Z</dcterms:modified>
</cp:coreProperties>
</file>