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0" w:rsidRPr="00F106C8" w:rsidRDefault="001944E0" w:rsidP="001944E0">
      <w:pPr>
        <w:spacing w:line="60" w:lineRule="exact"/>
        <w:rPr>
          <w:color w:val="010000"/>
          <w:sz w:val="6"/>
        </w:rPr>
        <w:sectPr w:rsidR="001944E0" w:rsidRPr="00F106C8" w:rsidSect="001944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106C8" w:rsidRPr="00F106C8" w:rsidRDefault="00F106C8" w:rsidP="00F106C8">
      <w:pPr>
        <w:pStyle w:val="SingleTxt"/>
        <w:spacing w:after="0"/>
        <w:ind w:left="0"/>
        <w:rPr>
          <w:b/>
          <w:sz w:val="28"/>
          <w:szCs w:val="28"/>
        </w:rPr>
      </w:pPr>
      <w:r w:rsidRPr="00F106C8">
        <w:rPr>
          <w:b/>
          <w:sz w:val="28"/>
          <w:szCs w:val="28"/>
        </w:rPr>
        <w:lastRenderedPageBreak/>
        <w:t>Европейская экономическая комиссия</w:t>
      </w:r>
    </w:p>
    <w:p w:rsidR="00F106C8" w:rsidRPr="00F106C8" w:rsidRDefault="00F106C8" w:rsidP="00F106C8">
      <w:pPr>
        <w:pStyle w:val="SingleTxt"/>
        <w:spacing w:after="0" w:line="120" w:lineRule="exact"/>
        <w:ind w:left="0"/>
        <w:rPr>
          <w:sz w:val="10"/>
          <w:szCs w:val="28"/>
        </w:rPr>
      </w:pPr>
    </w:p>
    <w:p w:rsidR="00F106C8" w:rsidRPr="00F106C8" w:rsidRDefault="00F106C8" w:rsidP="00F106C8">
      <w:pPr>
        <w:pStyle w:val="SingleTxt"/>
        <w:spacing w:after="0"/>
        <w:ind w:left="0"/>
        <w:rPr>
          <w:sz w:val="28"/>
          <w:szCs w:val="28"/>
        </w:rPr>
      </w:pPr>
      <w:r w:rsidRPr="00F106C8">
        <w:rPr>
          <w:sz w:val="28"/>
          <w:szCs w:val="28"/>
        </w:rPr>
        <w:t>Комитет по внутреннему транспорту</w:t>
      </w:r>
    </w:p>
    <w:p w:rsidR="00F106C8" w:rsidRPr="00F106C8" w:rsidRDefault="00F106C8" w:rsidP="00F106C8">
      <w:pPr>
        <w:pStyle w:val="SingleTxt"/>
        <w:spacing w:after="0" w:line="120" w:lineRule="exact"/>
        <w:ind w:left="0"/>
        <w:rPr>
          <w:b/>
          <w:sz w:val="10"/>
        </w:rPr>
      </w:pPr>
    </w:p>
    <w:p w:rsidR="00F106C8" w:rsidRPr="00F106C8" w:rsidRDefault="00F106C8" w:rsidP="00F106C8">
      <w:pPr>
        <w:pStyle w:val="SingleTxt"/>
        <w:spacing w:after="0"/>
        <w:ind w:left="0"/>
        <w:jc w:val="left"/>
        <w:rPr>
          <w:b/>
          <w:sz w:val="24"/>
          <w:szCs w:val="24"/>
        </w:rPr>
      </w:pPr>
      <w:r w:rsidRPr="00F106C8">
        <w:rPr>
          <w:b/>
          <w:sz w:val="24"/>
          <w:szCs w:val="24"/>
        </w:rPr>
        <w:t>Всемирный форум для согласования правил</w:t>
      </w:r>
      <w:r w:rsidRPr="00F106C8">
        <w:rPr>
          <w:b/>
          <w:sz w:val="24"/>
          <w:szCs w:val="24"/>
        </w:rPr>
        <w:br/>
        <w:t>в области транспортных средств</w:t>
      </w:r>
    </w:p>
    <w:p w:rsidR="00F106C8" w:rsidRPr="00F106C8" w:rsidRDefault="00F106C8" w:rsidP="00F106C8">
      <w:pPr>
        <w:pStyle w:val="SingleTxt"/>
        <w:spacing w:after="0" w:line="120" w:lineRule="exact"/>
        <w:ind w:left="0"/>
        <w:rPr>
          <w:b/>
          <w:sz w:val="10"/>
          <w:szCs w:val="24"/>
        </w:rPr>
      </w:pPr>
    </w:p>
    <w:p w:rsidR="00F106C8" w:rsidRPr="00F106C8" w:rsidRDefault="00F106C8" w:rsidP="00F106C8">
      <w:pPr>
        <w:pStyle w:val="SingleTxt"/>
        <w:spacing w:after="0"/>
        <w:ind w:left="0"/>
        <w:rPr>
          <w:b/>
        </w:rPr>
      </w:pPr>
      <w:r w:rsidRPr="00F106C8">
        <w:rPr>
          <w:b/>
        </w:rPr>
        <w:t>167-я сессия</w:t>
      </w:r>
    </w:p>
    <w:p w:rsidR="00F106C8" w:rsidRPr="00F106C8" w:rsidRDefault="00F106C8" w:rsidP="00F106C8">
      <w:pPr>
        <w:pStyle w:val="SingleTxt"/>
        <w:spacing w:after="0"/>
        <w:ind w:left="0"/>
      </w:pPr>
      <w:r w:rsidRPr="00F106C8">
        <w:t>Женева, 10−13 ноября 2015 года</w:t>
      </w:r>
    </w:p>
    <w:p w:rsidR="00F106C8" w:rsidRPr="00F106C8" w:rsidRDefault="00F106C8" w:rsidP="00F106C8">
      <w:pPr>
        <w:pStyle w:val="SingleTxt"/>
        <w:spacing w:after="0"/>
        <w:ind w:left="0"/>
      </w:pPr>
      <w:r w:rsidRPr="00F106C8">
        <w:t>Пункт 4.8.2 предварительной повестки дня</w:t>
      </w:r>
    </w:p>
    <w:p w:rsidR="00F106C8" w:rsidRPr="00F106C8" w:rsidRDefault="00F106C8" w:rsidP="00F106C8">
      <w:pPr>
        <w:pStyle w:val="SingleTxt"/>
        <w:spacing w:after="0"/>
        <w:ind w:left="0"/>
        <w:rPr>
          <w:b/>
        </w:rPr>
      </w:pPr>
      <w:r w:rsidRPr="00F106C8">
        <w:rPr>
          <w:b/>
        </w:rPr>
        <w:t>Соглашение 1958 года − Рассмотрение проектов поправок</w:t>
      </w:r>
    </w:p>
    <w:p w:rsidR="00F106C8" w:rsidRPr="00F106C8" w:rsidRDefault="00F106C8" w:rsidP="00F106C8">
      <w:pPr>
        <w:pStyle w:val="SingleTxt"/>
        <w:spacing w:after="0"/>
        <w:ind w:left="0"/>
        <w:rPr>
          <w:b/>
        </w:rPr>
      </w:pPr>
      <w:r w:rsidRPr="00F106C8">
        <w:rPr>
          <w:b/>
        </w:rPr>
        <w:t xml:space="preserve">к существующим правилам, </w:t>
      </w:r>
      <w:proofErr w:type="gramStart"/>
      <w:r w:rsidRPr="00F106C8">
        <w:rPr>
          <w:b/>
        </w:rPr>
        <w:t>представленных</w:t>
      </w:r>
      <w:proofErr w:type="gramEnd"/>
      <w:r w:rsidRPr="00F106C8">
        <w:rPr>
          <w:b/>
        </w:rPr>
        <w:t xml:space="preserve"> GRS</w:t>
      </w:r>
      <w:r w:rsidRPr="00F106C8">
        <w:rPr>
          <w:b/>
          <w:lang w:val="en-US"/>
        </w:rPr>
        <w:t>P</w:t>
      </w:r>
    </w:p>
    <w:p w:rsidR="00F106C8" w:rsidRPr="00F106C8" w:rsidRDefault="00F106C8" w:rsidP="00F106C8">
      <w:pPr>
        <w:pStyle w:val="SingleTxt"/>
        <w:spacing w:after="0" w:line="120" w:lineRule="exact"/>
        <w:rPr>
          <w:b/>
          <w:sz w:val="10"/>
        </w:rPr>
      </w:pPr>
    </w:p>
    <w:p w:rsidR="00F106C8" w:rsidRPr="00F106C8" w:rsidRDefault="00F106C8" w:rsidP="00F106C8">
      <w:pPr>
        <w:pStyle w:val="SingleTxt"/>
        <w:spacing w:after="0" w:line="120" w:lineRule="exact"/>
        <w:rPr>
          <w:b/>
          <w:sz w:val="10"/>
        </w:rPr>
      </w:pPr>
    </w:p>
    <w:p w:rsidR="00F106C8" w:rsidRPr="00F106C8" w:rsidRDefault="00F106C8" w:rsidP="00F106C8">
      <w:pPr>
        <w:pStyle w:val="SingleTxt"/>
        <w:spacing w:after="0" w:line="120" w:lineRule="exact"/>
        <w:rPr>
          <w:b/>
          <w:sz w:val="10"/>
        </w:rPr>
      </w:pPr>
    </w:p>
    <w:p w:rsidR="00F106C8" w:rsidRPr="00F106C8" w:rsidRDefault="00F106C8" w:rsidP="00F106C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06C8">
        <w:tab/>
      </w:r>
      <w:r w:rsidRPr="00F106C8">
        <w:tab/>
        <w:t xml:space="preserve">Предложение по дополнению 6 к поправкам серии 06 </w:t>
      </w:r>
      <w:r w:rsidR="008E7C99" w:rsidRPr="008E7C99">
        <w:br/>
      </w:r>
      <w:r w:rsidRPr="00F106C8">
        <w:t>к Правилам № 16 (ремни безопасности)</w:t>
      </w:r>
    </w:p>
    <w:p w:rsidR="00F106C8" w:rsidRPr="00F106C8" w:rsidRDefault="00F106C8" w:rsidP="00F106C8">
      <w:pPr>
        <w:pStyle w:val="SingleTxt"/>
        <w:spacing w:after="0" w:line="120" w:lineRule="exact"/>
        <w:rPr>
          <w:b/>
          <w:sz w:val="10"/>
        </w:rPr>
      </w:pPr>
    </w:p>
    <w:p w:rsidR="00F106C8" w:rsidRPr="00F106C8" w:rsidRDefault="00F106C8" w:rsidP="00F106C8">
      <w:pPr>
        <w:pStyle w:val="SingleTxt"/>
        <w:spacing w:after="0" w:line="120" w:lineRule="exact"/>
        <w:rPr>
          <w:b/>
          <w:sz w:val="10"/>
        </w:rPr>
      </w:pPr>
    </w:p>
    <w:p w:rsidR="00F106C8" w:rsidRPr="00F106C8" w:rsidRDefault="00F106C8" w:rsidP="00F106C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06C8">
        <w:tab/>
      </w:r>
      <w:r w:rsidRPr="00F106C8">
        <w:tab/>
        <w:t>Представлено Рабочей группой по пассивной безопасности</w:t>
      </w:r>
      <w:r w:rsidRPr="00F106C8">
        <w:rPr>
          <w:b w:val="0"/>
          <w:color w:val="C00000"/>
          <w:sz w:val="20"/>
        </w:rPr>
        <w:footnoteReference w:customMarkFollows="1" w:id="1"/>
        <w:t>*</w:t>
      </w:r>
    </w:p>
    <w:p w:rsidR="00F106C8" w:rsidRPr="00F106C8" w:rsidRDefault="00F106C8" w:rsidP="00F106C8">
      <w:pPr>
        <w:pStyle w:val="SingleTxt"/>
        <w:spacing w:after="0" w:line="120" w:lineRule="exact"/>
        <w:rPr>
          <w:sz w:val="10"/>
        </w:rPr>
      </w:pPr>
    </w:p>
    <w:p w:rsidR="00F106C8" w:rsidRPr="00F106C8" w:rsidRDefault="00F106C8" w:rsidP="00F106C8">
      <w:pPr>
        <w:pStyle w:val="SingleTxt"/>
        <w:spacing w:after="0" w:line="120" w:lineRule="exact"/>
        <w:rPr>
          <w:sz w:val="10"/>
        </w:rPr>
      </w:pPr>
    </w:p>
    <w:p w:rsidR="00F106C8" w:rsidRPr="00F106C8" w:rsidRDefault="00F106C8" w:rsidP="00F106C8">
      <w:pPr>
        <w:pStyle w:val="SingleTxt"/>
      </w:pPr>
      <w:r w:rsidRPr="00F106C8">
        <w:tab/>
        <w:t>Воспроизведенный ниже текст был принят Рабочей группой по пассивной безопасности (GRSP) на ее пятьдесят седьмой сессии (ECE/TRANS/WP.29/ GRS</w:t>
      </w:r>
      <w:r w:rsidRPr="00F106C8">
        <w:rPr>
          <w:lang w:val="en-US"/>
        </w:rPr>
        <w:t>P</w:t>
      </w:r>
      <w:r w:rsidRPr="00F106C8">
        <w:t>/57, пункт 14). В его основу положены документы ECE/TRANS/WP.29/ GRSP/2015/13 и ECE/TRANS/WP.29/GRSP/2015/15 с поправками, содержащим</w:t>
      </w:r>
      <w:r w:rsidRPr="00F106C8">
        <w:t>и</w:t>
      </w:r>
      <w:r w:rsidRPr="00F106C8">
        <w:t>ся в приложении II к докладу. Он представляется Всемирному форуму для согл</w:t>
      </w:r>
      <w:r w:rsidRPr="00F106C8">
        <w:t>а</w:t>
      </w:r>
      <w:r w:rsidRPr="00F106C8">
        <w:t>сования правил в области транспортных средств (WP.29) и Административному комитету АС.1 для рассмотрения.</w:t>
      </w:r>
    </w:p>
    <w:p w:rsidR="00F106C8" w:rsidRPr="00F106C8" w:rsidRDefault="00F106C8" w:rsidP="00F106C8">
      <w:pPr>
        <w:pStyle w:val="SingleTxt"/>
        <w:ind w:left="2218" w:hanging="951"/>
        <w:rPr>
          <w:i/>
        </w:rPr>
      </w:pPr>
      <w:r>
        <w:rPr>
          <w:i/>
        </w:rPr>
        <w:br w:type="page"/>
      </w:r>
      <w:r w:rsidRPr="00F106C8">
        <w:rPr>
          <w:i/>
        </w:rPr>
        <w:lastRenderedPageBreak/>
        <w:t>Пункт 6.2.2.2</w:t>
      </w:r>
      <w:r w:rsidRPr="00F106C8">
        <w:t xml:space="preserve"> изменить следующим образом:</w:t>
      </w:r>
    </w:p>
    <w:p w:rsidR="00F106C8" w:rsidRPr="00F106C8" w:rsidRDefault="00F106C8" w:rsidP="00F106C8">
      <w:pPr>
        <w:pStyle w:val="SingleTxt"/>
        <w:ind w:left="2218" w:hanging="951"/>
        <w:rPr>
          <w:b/>
        </w:rPr>
      </w:pPr>
      <w:r w:rsidRPr="00F106C8">
        <w:t>«6.2.2.2</w:t>
      </w:r>
      <w:proofErr w:type="gramStart"/>
      <w:r w:rsidRPr="00F106C8">
        <w:tab/>
        <w:t>Д</w:t>
      </w:r>
      <w:proofErr w:type="gramEnd"/>
      <w:r w:rsidRPr="00F106C8">
        <w:t xml:space="preserve">аже если лямка не натянута… Поверхность размыкающего элемента пряжки должна быть окрашена в красный цвет. В этот цвет не должны быть окрашены никакие другие части пряжки. Когда сиденье занято, на пряжке допускается использование красного предупреждающего сигнала подсветки, если он отключается </w:t>
      </w:r>
      <w:r w:rsidRPr="00F106C8">
        <w:rPr>
          <w:bCs/>
        </w:rPr>
        <w:t>при пристегивании ремня безопасности. Отключения подсветки иного цвета, помимо красного, при пристегивании ремня безопасности не требуется. Подобная по</w:t>
      </w:r>
      <w:r w:rsidRPr="00F106C8">
        <w:rPr>
          <w:bCs/>
        </w:rPr>
        <w:t>д</w:t>
      </w:r>
      <w:r w:rsidRPr="00F106C8">
        <w:rPr>
          <w:bCs/>
        </w:rPr>
        <w:t>светка не должна освещать пряжку таким образом, чтобы это влияло на правильное восприятие красного цвета размыкающего элемента пряжки либо красного предупреждающего сигнала».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rPr>
          <w:i/>
        </w:rPr>
        <w:t>Пункт 7.7.1</w:t>
      </w:r>
      <w:r w:rsidRPr="00F106C8">
        <w:t xml:space="preserve"> изменить следующим образом: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t>«7.7.1</w:t>
      </w:r>
      <w:r w:rsidRPr="00F106C8">
        <w:tab/>
        <w:t xml:space="preserve">Комплект ремней устанавливается на тележке, имеющей сиденье и общие приспособления для крепления ремня, как это определено </w:t>
      </w:r>
      <w:r w:rsidRPr="00F106C8">
        <w:rPr>
          <w:bCs/>
        </w:rPr>
        <w:t>на рис. 1</w:t>
      </w:r>
      <w:r w:rsidRPr="00F106C8">
        <w:rPr>
          <w:b/>
        </w:rPr>
        <w:t xml:space="preserve"> </w:t>
      </w:r>
      <w:r w:rsidRPr="00F106C8">
        <w:t xml:space="preserve">в приложении 6 к настоящим Правилам. Однако если комплект предназначен </w:t>
      </w:r>
      <w:proofErr w:type="gramStart"/>
      <w:r w:rsidRPr="00F106C8">
        <w:t>для</w:t>
      </w:r>
      <w:proofErr w:type="gramEnd"/>
      <w:r w:rsidRPr="00F106C8">
        <w:t xml:space="preserve">… </w:t>
      </w:r>
      <w:proofErr w:type="gramStart"/>
      <w:r w:rsidRPr="00F106C8">
        <w:t>максимальное</w:t>
      </w:r>
      <w:proofErr w:type="gramEnd"/>
      <w:r w:rsidRPr="00F106C8">
        <w:t xml:space="preserve"> возможное число реальных точек крепления». 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rPr>
          <w:i/>
          <w:iCs/>
        </w:rPr>
        <w:t>Приложение 1</w:t>
      </w:r>
      <w:r w:rsidRPr="00F106C8">
        <w:rPr>
          <w:i/>
          <w:iCs/>
          <w:lang w:val="en-GB"/>
        </w:rPr>
        <w:t>B</w:t>
      </w:r>
      <w:r w:rsidRPr="00F106C8">
        <w:rPr>
          <w:i/>
          <w:iCs/>
        </w:rPr>
        <w:t>, пункт 12</w:t>
      </w:r>
      <w:r w:rsidRPr="00F106C8">
        <w:t xml:space="preserve"> изменить следующим образом: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t>«1</w:t>
      </w:r>
      <w:r w:rsidRPr="00F106C8">
        <w:rPr>
          <w:bCs/>
        </w:rPr>
        <w:t>2</w:t>
      </w:r>
      <w:r w:rsidRPr="00F106C8">
        <w:t>.</w:t>
      </w:r>
      <w:r w:rsidRPr="00F106C8">
        <w:tab/>
      </w:r>
      <w:r w:rsidRPr="00F106C8">
        <w:tab/>
        <w:t>Официальное утверждение предоставлено/официальное утверждение распространено/официальное утверждение отменено/в официальном утверждении отказано</w:t>
      </w:r>
      <w:proofErr w:type="gramStart"/>
      <w:r w:rsidRPr="00F106C8">
        <w:rPr>
          <w:vertAlign w:val="superscript"/>
        </w:rPr>
        <w:t>2</w:t>
      </w:r>
      <w:proofErr w:type="gramEnd"/>
      <w:r w:rsidRPr="00F106C8">
        <w:t xml:space="preserve"> на установку общих точек крепления, как это определено </w:t>
      </w:r>
      <w:r w:rsidRPr="00F106C8">
        <w:rPr>
          <w:bCs/>
        </w:rPr>
        <w:t>на рис. 1</w:t>
      </w:r>
      <w:r w:rsidRPr="00F106C8">
        <w:rPr>
          <w:b/>
        </w:rPr>
        <w:t xml:space="preserve"> </w:t>
      </w:r>
      <w:r w:rsidRPr="00F106C8">
        <w:t>в приложении 6 к настоящим Правилам/для и</w:t>
      </w:r>
      <w:r w:rsidRPr="00F106C8">
        <w:t>с</w:t>
      </w:r>
      <w:r w:rsidRPr="00F106C8">
        <w:t>пользования на конкретном транспортном средстве или на конкретных типах транспортных средств</w:t>
      </w:r>
      <w:r w:rsidRPr="00F106C8">
        <w:rPr>
          <w:vertAlign w:val="superscript"/>
        </w:rPr>
        <w:t>2, 4</w:t>
      </w:r>
      <w:r w:rsidRPr="00F106C8">
        <w:t>».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rPr>
          <w:i/>
        </w:rPr>
        <w:t>Приложение 6, пункт 3.2</w:t>
      </w:r>
      <w:r w:rsidRPr="00F106C8">
        <w:t xml:space="preserve"> изменить следующим образом:</w:t>
      </w:r>
    </w:p>
    <w:p w:rsidR="00F106C8" w:rsidRPr="00F106C8" w:rsidRDefault="00F106C8" w:rsidP="00F106C8">
      <w:pPr>
        <w:pStyle w:val="SingleTxt"/>
        <w:ind w:left="2218" w:hanging="951"/>
      </w:pPr>
      <w:r w:rsidRPr="00F106C8">
        <w:t>«3.2</w:t>
      </w:r>
      <w:r w:rsidRPr="00F106C8">
        <w:tab/>
      </w:r>
      <w:r w:rsidRPr="00F106C8">
        <w:tab/>
      </w:r>
      <w:r w:rsidRPr="00F106C8">
        <w:rPr>
          <w:bCs/>
        </w:rPr>
        <w:t>Общие</w:t>
      </w:r>
      <w:r w:rsidRPr="00F106C8">
        <w:rPr>
          <w:b/>
        </w:rPr>
        <w:t xml:space="preserve"> </w:t>
      </w:r>
      <w:r w:rsidRPr="00F106C8">
        <w:t>крепления должны…»</w:t>
      </w:r>
    </w:p>
    <w:p w:rsidR="001944E0" w:rsidRPr="00F106C8" w:rsidRDefault="00F106C8" w:rsidP="00F106C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944E0" w:rsidRPr="00F106C8" w:rsidSect="001944E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12" w:rsidRDefault="00F81A12" w:rsidP="008A1A7A">
      <w:pPr>
        <w:spacing w:line="240" w:lineRule="auto"/>
      </w:pPr>
      <w:r>
        <w:separator/>
      </w:r>
    </w:p>
  </w:endnote>
  <w:endnote w:type="continuationSeparator" w:id="0">
    <w:p w:rsidR="00F81A12" w:rsidRDefault="00F81A1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44E0" w:rsidTr="001944E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08A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508A8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08A8">
            <w:rPr>
              <w:b w:val="0"/>
              <w:color w:val="000000"/>
              <w:sz w:val="14"/>
            </w:rPr>
            <w:t>GE.15-14291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944E0" w:rsidRPr="001944E0" w:rsidRDefault="001944E0" w:rsidP="00194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44E0" w:rsidTr="001944E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508A8">
            <w:rPr>
              <w:b w:val="0"/>
              <w:color w:val="000000"/>
              <w:sz w:val="14"/>
            </w:rPr>
            <w:t>GE.15-14291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928E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0508A8">
              <w:rPr>
                <w:noProof/>
              </w:rPr>
              <w:t>2</w:t>
            </w:r>
          </w:fldSimple>
        </w:p>
      </w:tc>
    </w:tr>
  </w:tbl>
  <w:p w:rsidR="001944E0" w:rsidRPr="001944E0" w:rsidRDefault="001944E0" w:rsidP="00194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944E0" w:rsidTr="001944E0">
      <w:tc>
        <w:tcPr>
          <w:tcW w:w="3873" w:type="dxa"/>
        </w:tcPr>
        <w:p w:rsidR="001944E0" w:rsidRDefault="001944E0" w:rsidP="001944E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AFB3676" wp14:editId="3264FEE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9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9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GE.15-14291 (R)</w:t>
          </w:r>
          <w:r>
            <w:rPr>
              <w:color w:val="010000"/>
            </w:rPr>
            <w:t xml:space="preserve">    2</w:t>
          </w:r>
          <w:r w:rsidR="008E7C99">
            <w:rPr>
              <w:color w:val="010000"/>
              <w:lang w:val="en-US"/>
            </w:rPr>
            <w:t>1</w:t>
          </w:r>
          <w:r>
            <w:rPr>
              <w:color w:val="010000"/>
            </w:rPr>
            <w:t>0915    250915</w:t>
          </w:r>
        </w:p>
        <w:p w:rsidR="001944E0" w:rsidRPr="001944E0" w:rsidRDefault="001944E0" w:rsidP="001944E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*1514291*</w:t>
          </w:r>
        </w:p>
      </w:tc>
      <w:tc>
        <w:tcPr>
          <w:tcW w:w="5127" w:type="dxa"/>
        </w:tcPr>
        <w:p w:rsidR="001944E0" w:rsidRDefault="001944E0" w:rsidP="001944E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7946418" wp14:editId="42D0EE0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44E0" w:rsidRPr="001944E0" w:rsidRDefault="001944E0" w:rsidP="001944E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12" w:rsidRPr="00F106C8" w:rsidRDefault="00F106C8" w:rsidP="00F106C8">
      <w:pPr>
        <w:pStyle w:val="Footer"/>
        <w:spacing w:after="80"/>
        <w:ind w:left="792"/>
        <w:rPr>
          <w:sz w:val="16"/>
        </w:rPr>
      </w:pPr>
      <w:r w:rsidRPr="00F106C8">
        <w:rPr>
          <w:sz w:val="16"/>
        </w:rPr>
        <w:t>__________________</w:t>
      </w:r>
    </w:p>
  </w:footnote>
  <w:footnote w:type="continuationSeparator" w:id="0">
    <w:p w:rsidR="00F81A12" w:rsidRPr="00F106C8" w:rsidRDefault="00F106C8" w:rsidP="00F106C8">
      <w:pPr>
        <w:pStyle w:val="Footer"/>
        <w:spacing w:after="80"/>
        <w:ind w:left="792"/>
        <w:rPr>
          <w:sz w:val="16"/>
        </w:rPr>
      </w:pPr>
      <w:r w:rsidRPr="00F106C8">
        <w:rPr>
          <w:sz w:val="16"/>
        </w:rPr>
        <w:t>__________________</w:t>
      </w:r>
    </w:p>
  </w:footnote>
  <w:footnote w:id="1">
    <w:p w:rsidR="00F106C8" w:rsidRDefault="00F106C8" w:rsidP="00F106C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sz w:val="20"/>
          <w:lang w:val="en-US"/>
        </w:rPr>
        <w:tab/>
      </w:r>
      <w:r w:rsidRPr="00F106C8">
        <w:rPr>
          <w:rStyle w:val="FootnoteReference"/>
          <w:color w:val="C00000"/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F106C8">
        <w:br/>
      </w:r>
      <w:r>
        <w:t>на 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44E0" w:rsidTr="001944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08A8">
            <w:rPr>
              <w:b/>
            </w:rPr>
            <w:t>ECE/TRANS/WP.29/2015/93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44E0" w:rsidRDefault="001944E0" w:rsidP="001944E0">
          <w:pPr>
            <w:pStyle w:val="Header"/>
          </w:pPr>
        </w:p>
      </w:tc>
    </w:tr>
  </w:tbl>
  <w:p w:rsidR="001944E0" w:rsidRPr="001944E0" w:rsidRDefault="001944E0" w:rsidP="00194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44E0" w:rsidTr="001944E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44E0" w:rsidRDefault="001944E0" w:rsidP="001944E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944E0" w:rsidRPr="001944E0" w:rsidRDefault="001944E0" w:rsidP="001944E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508A8">
            <w:rPr>
              <w:b/>
            </w:rPr>
            <w:t>ECE/TRANS/WP.29/2015/93</w:t>
          </w:r>
          <w:r>
            <w:rPr>
              <w:b/>
            </w:rPr>
            <w:fldChar w:fldCharType="end"/>
          </w:r>
        </w:p>
      </w:tc>
    </w:tr>
  </w:tbl>
  <w:p w:rsidR="001944E0" w:rsidRPr="001944E0" w:rsidRDefault="001944E0" w:rsidP="00194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944E0" w:rsidTr="001944E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944E0" w:rsidRPr="001944E0" w:rsidRDefault="001944E0" w:rsidP="001944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44E0" w:rsidRDefault="001944E0" w:rsidP="001944E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944E0" w:rsidRPr="001944E0" w:rsidRDefault="001944E0" w:rsidP="001944E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/TRANS/WP.29/2015/93</w:t>
          </w:r>
        </w:p>
      </w:tc>
    </w:tr>
    <w:tr w:rsidR="001944E0" w:rsidRPr="00F106C8" w:rsidTr="001944E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4E0" w:rsidRPr="001944E0" w:rsidRDefault="001944E0" w:rsidP="001944E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4A0AA3D" wp14:editId="32AFBD3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4E0" w:rsidRPr="001944E0" w:rsidRDefault="001944E0" w:rsidP="001944E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4E0" w:rsidRPr="001944E0" w:rsidRDefault="001944E0" w:rsidP="001944E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44E0" w:rsidRPr="00F106C8" w:rsidRDefault="001944E0" w:rsidP="001944E0">
          <w:pPr>
            <w:pStyle w:val="Distribution"/>
            <w:rPr>
              <w:color w:val="000000"/>
              <w:lang w:val="en-US"/>
            </w:rPr>
          </w:pPr>
          <w:r w:rsidRPr="00F106C8">
            <w:rPr>
              <w:color w:val="000000"/>
              <w:lang w:val="en-US"/>
            </w:rPr>
            <w:t>Distr.: General</w:t>
          </w:r>
        </w:p>
        <w:p w:rsidR="001944E0" w:rsidRPr="00F106C8" w:rsidRDefault="001944E0" w:rsidP="001944E0">
          <w:pPr>
            <w:pStyle w:val="Publication"/>
            <w:rPr>
              <w:color w:val="000000"/>
              <w:lang w:val="en-US"/>
            </w:rPr>
          </w:pPr>
          <w:r w:rsidRPr="00F106C8">
            <w:rPr>
              <w:color w:val="000000"/>
              <w:lang w:val="en-US"/>
            </w:rPr>
            <w:t>24 August 2015</w:t>
          </w:r>
        </w:p>
        <w:p w:rsidR="001944E0" w:rsidRPr="00F106C8" w:rsidRDefault="001944E0" w:rsidP="001944E0">
          <w:pPr>
            <w:rPr>
              <w:color w:val="000000"/>
              <w:lang w:val="en-US"/>
            </w:rPr>
          </w:pPr>
          <w:r w:rsidRPr="00F106C8">
            <w:rPr>
              <w:color w:val="000000"/>
              <w:lang w:val="en-US"/>
            </w:rPr>
            <w:t>Russian</w:t>
          </w:r>
        </w:p>
        <w:p w:rsidR="001944E0" w:rsidRPr="00F106C8" w:rsidRDefault="001944E0" w:rsidP="001944E0">
          <w:pPr>
            <w:pStyle w:val="Original"/>
            <w:rPr>
              <w:color w:val="000000"/>
              <w:lang w:val="en-US"/>
            </w:rPr>
          </w:pPr>
          <w:r w:rsidRPr="00F106C8">
            <w:rPr>
              <w:color w:val="000000"/>
              <w:lang w:val="en-US"/>
            </w:rPr>
            <w:t>Original: English</w:t>
          </w:r>
        </w:p>
        <w:p w:rsidR="001944E0" w:rsidRPr="00F106C8" w:rsidRDefault="001944E0" w:rsidP="001944E0">
          <w:pPr>
            <w:rPr>
              <w:lang w:val="en-US"/>
            </w:rPr>
          </w:pPr>
        </w:p>
      </w:tc>
    </w:tr>
  </w:tbl>
  <w:p w:rsidR="001944E0" w:rsidRPr="00F106C8" w:rsidRDefault="001944E0" w:rsidP="001944E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91*"/>
    <w:docVar w:name="CreationDt" w:val="9/25/2015 4:30: PM"/>
    <w:docVar w:name="DocCategory" w:val="Doc"/>
    <w:docVar w:name="DocType" w:val="Final"/>
    <w:docVar w:name="DutyStation" w:val="Geneva"/>
    <w:docVar w:name="FooterJN" w:val="GE.15-14291"/>
    <w:docVar w:name="jobn" w:val="GE.15-14291 (R)"/>
    <w:docVar w:name="jobnDT" w:val="GE.15-14291 (R)   250915"/>
    <w:docVar w:name="jobnDTDT" w:val="GE.15-14291 (R)   250915   250915"/>
    <w:docVar w:name="JobNo" w:val="GE.1514291R"/>
    <w:docVar w:name="JobNo2" w:val="1518981R"/>
    <w:docVar w:name="LocalDrive" w:val="0"/>
    <w:docVar w:name="OandT" w:val=" "/>
    <w:docVar w:name="PaperSize" w:val="A4"/>
    <w:docVar w:name="sss1" w:val="ECE/TRANS/WP.29/2015/93"/>
    <w:docVar w:name="sss2" w:val="-"/>
    <w:docVar w:name="Symbol1" w:val="ECE/TRANS/WP.29/2015/93"/>
    <w:docVar w:name="Symbol2" w:val="-"/>
  </w:docVars>
  <w:rsids>
    <w:rsidRoot w:val="00F81A1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08A8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44E0"/>
    <w:rsid w:val="0019704E"/>
    <w:rsid w:val="001A0D31"/>
    <w:rsid w:val="001A39EE"/>
    <w:rsid w:val="001A4338"/>
    <w:rsid w:val="001A6777"/>
    <w:rsid w:val="001A76E4"/>
    <w:rsid w:val="001C54CE"/>
    <w:rsid w:val="001C5BA2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2B9E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6610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28EE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44C3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E7C99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7334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2D88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06C8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1A12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9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E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E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1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94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E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E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1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F317-CBE9-4C0D-8DE0-08D0098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Caillot</cp:lastModifiedBy>
  <cp:revision>3</cp:revision>
  <cp:lastPrinted>2015-10-02T09:50:00Z</cp:lastPrinted>
  <dcterms:created xsi:type="dcterms:W3CDTF">2015-10-02T09:50:00Z</dcterms:created>
  <dcterms:modified xsi:type="dcterms:W3CDTF">2015-10-02T09:50:00Z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1514291R</vt:lpwstr>
  </property>
  <property fmtid="{D5CDD505-2E9C-101B-9397-08002B2CF9AE}" pid="3" name="ODSRefJobNo">
    <vt:lpwstr>1518981R</vt:lpwstr>
  </property>
  <property fmtid="{D5CDD505-2E9C-101B-9397-08002B2CF9AE}" pid="4" name="Symbol1">
    <vt:lpwstr>ECE/TRANS/WP.29/2015/93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