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8C" w:rsidRPr="008C3534" w:rsidRDefault="001F4F8C" w:rsidP="001F4F8C">
      <w:pPr>
        <w:spacing w:line="60" w:lineRule="exact"/>
        <w:rPr>
          <w:color w:val="010000"/>
          <w:sz w:val="6"/>
        </w:rPr>
        <w:sectPr w:rsidR="001F4F8C" w:rsidRPr="008C3534" w:rsidSect="001F4F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8C3534" w:rsidRPr="00921AF4" w:rsidRDefault="008C3534" w:rsidP="008C353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C3534">
        <w:lastRenderedPageBreak/>
        <w:t>Европейская экономическая комиссия</w:t>
      </w:r>
    </w:p>
    <w:p w:rsidR="008C3534" w:rsidRPr="00921AF4" w:rsidRDefault="008C3534" w:rsidP="008C3534">
      <w:pPr>
        <w:spacing w:line="120" w:lineRule="exact"/>
        <w:rPr>
          <w:sz w:val="10"/>
        </w:rPr>
      </w:pPr>
    </w:p>
    <w:p w:rsidR="008C3534" w:rsidRPr="00921AF4" w:rsidRDefault="008C3534" w:rsidP="008C353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r w:rsidRPr="008C3534">
        <w:rPr>
          <w:b w:val="0"/>
        </w:rPr>
        <w:t>Комитет по внутреннему транспорту</w:t>
      </w:r>
    </w:p>
    <w:p w:rsidR="008C3534" w:rsidRPr="00921AF4" w:rsidRDefault="008C3534" w:rsidP="008C3534">
      <w:pPr>
        <w:spacing w:line="120" w:lineRule="exact"/>
        <w:rPr>
          <w:sz w:val="10"/>
        </w:rPr>
      </w:pPr>
    </w:p>
    <w:p w:rsidR="008C3534" w:rsidRPr="00921AF4" w:rsidRDefault="008C3534" w:rsidP="008C3534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8C3534">
        <w:t>Всемирны</w:t>
      </w:r>
      <w:r>
        <w:t>й форум для согласования правил</w:t>
      </w:r>
      <w:r w:rsidRPr="008C3534">
        <w:br/>
        <w:t>в области транспортных средств</w:t>
      </w:r>
    </w:p>
    <w:p w:rsidR="008C3534" w:rsidRPr="00921AF4" w:rsidRDefault="008C3534" w:rsidP="008C3534">
      <w:pPr>
        <w:spacing w:line="120" w:lineRule="exact"/>
        <w:rPr>
          <w:sz w:val="10"/>
        </w:rPr>
      </w:pPr>
    </w:p>
    <w:p w:rsidR="008C3534" w:rsidRPr="008C3534" w:rsidRDefault="008C3534" w:rsidP="008C3534">
      <w:pPr>
        <w:rPr>
          <w:b/>
        </w:rPr>
      </w:pPr>
      <w:r w:rsidRPr="008C3534">
        <w:rPr>
          <w:b/>
        </w:rPr>
        <w:t>167-я сессия</w:t>
      </w:r>
    </w:p>
    <w:p w:rsidR="008C3534" w:rsidRPr="008C3534" w:rsidRDefault="008C3534" w:rsidP="008C3534">
      <w:r w:rsidRPr="008C3534">
        <w:t>Женева, 10−13 ноября 2015 года</w:t>
      </w:r>
    </w:p>
    <w:p w:rsidR="008C3534" w:rsidRPr="008C3534" w:rsidRDefault="008C3534" w:rsidP="008C3534">
      <w:r w:rsidRPr="008C3534">
        <w:t>Пункт 18.8 предварительной повестки дня</w:t>
      </w:r>
    </w:p>
    <w:p w:rsidR="008C3534" w:rsidRPr="008C3534" w:rsidRDefault="008C3534" w:rsidP="008C3534">
      <w:pPr>
        <w:rPr>
          <w:b/>
        </w:rPr>
      </w:pPr>
      <w:r w:rsidRPr="008C3534">
        <w:rPr>
          <w:b/>
        </w:rPr>
        <w:t>Ход разработки новых ГТП ООН</w:t>
      </w:r>
      <w:r w:rsidRPr="008C3534">
        <w:rPr>
          <w:b/>
        </w:rPr>
        <w:br/>
        <w:t xml:space="preserve">и поправок к </w:t>
      </w:r>
      <w:proofErr w:type="gramStart"/>
      <w:r w:rsidRPr="008C3534">
        <w:rPr>
          <w:b/>
        </w:rPr>
        <w:t>введенным</w:t>
      </w:r>
      <w:proofErr w:type="gramEnd"/>
      <w:r w:rsidRPr="008C3534">
        <w:rPr>
          <w:b/>
        </w:rPr>
        <w:t xml:space="preserve"> ГТП ООН – </w:t>
      </w:r>
    </w:p>
    <w:p w:rsidR="008C3534" w:rsidRPr="00921AF4" w:rsidRDefault="008C3534" w:rsidP="008C3534">
      <w:pPr>
        <w:rPr>
          <w:b/>
        </w:rPr>
      </w:pPr>
      <w:r w:rsidRPr="008C3534">
        <w:rPr>
          <w:b/>
        </w:rPr>
        <w:t>Проект ГТП, касающихся безопасности</w:t>
      </w:r>
      <w:r w:rsidRPr="008C3534">
        <w:rPr>
          <w:b/>
        </w:rPr>
        <w:br/>
        <w:t>электромобилей (БЭМ)</w:t>
      </w:r>
    </w:p>
    <w:p w:rsidR="008C3534" w:rsidRPr="00921AF4" w:rsidRDefault="008C3534" w:rsidP="008C3534">
      <w:pPr>
        <w:spacing w:line="120" w:lineRule="exact"/>
        <w:rPr>
          <w:b/>
          <w:sz w:val="10"/>
        </w:rPr>
      </w:pPr>
    </w:p>
    <w:p w:rsidR="008C3534" w:rsidRPr="00921AF4" w:rsidRDefault="008C3534" w:rsidP="008C3534">
      <w:pPr>
        <w:spacing w:line="120" w:lineRule="exact"/>
        <w:rPr>
          <w:b/>
          <w:sz w:val="10"/>
        </w:rPr>
      </w:pPr>
    </w:p>
    <w:p w:rsidR="008C3534" w:rsidRPr="00921AF4" w:rsidRDefault="008C3534" w:rsidP="008C3534">
      <w:pPr>
        <w:spacing w:line="120" w:lineRule="exact"/>
        <w:rPr>
          <w:b/>
          <w:sz w:val="10"/>
        </w:rPr>
      </w:pPr>
    </w:p>
    <w:p w:rsidR="008C3534" w:rsidRPr="00921AF4" w:rsidRDefault="008C3534" w:rsidP="008C353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3534">
        <w:tab/>
      </w:r>
      <w:r w:rsidRPr="008C3534">
        <w:tab/>
        <w:t>Третий доклад о ходе работы неофициальной рабочей группы по безопасности электромобилей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sz w:val="20"/>
          <w:szCs w:val="20"/>
        </w:rPr>
      </w:pPr>
      <w:r w:rsidRPr="008C3534">
        <w:tab/>
      </w:r>
      <w:r w:rsidRPr="008C3534">
        <w:tab/>
        <w:t>Передано представителями Китая, Соединенных Штатов Америки, Японии и Европейского союза</w:t>
      </w:r>
      <w:r w:rsidRPr="008C3534">
        <w:rPr>
          <w:b w:val="0"/>
          <w:sz w:val="20"/>
          <w:szCs w:val="20"/>
        </w:rPr>
        <w:footnoteReference w:customMarkFollows="1" w:id="1"/>
        <w:t>*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</w:pPr>
      <w:r w:rsidRPr="00921AF4">
        <w:tab/>
      </w:r>
      <w:r w:rsidRPr="008C3534">
        <w:t>Воспроизведенный ниже текст был подготовлен представителями Китая, Соединенных Штатов Америки, Японии и Е</w:t>
      </w:r>
      <w:r>
        <w:t>вропейского союза. В его основу</w:t>
      </w:r>
      <w:r w:rsidR="003871D8">
        <w:br/>
      </w:r>
      <w:r w:rsidRPr="008C3534">
        <w:t>положен неофициальный документ WP.29-</w:t>
      </w:r>
      <w:r>
        <w:t>166-19, распространенный в ходе</w:t>
      </w:r>
      <w:r w:rsidR="003871D8">
        <w:br/>
      </w:r>
      <w:r w:rsidRPr="008C3534">
        <w:t>166-й сессии (ECE/TRANS/WP.29/1116, пункт 116). Этот документ, в случае его принятия, будет приложен к ГТП в соответствии с положениями пунктов 6.3.4.2, 6.3.7 и 6.4 Соглашения 1998 года.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8C3534">
        <w:lastRenderedPageBreak/>
        <w:tab/>
      </w:r>
      <w:r w:rsidRPr="008C3534">
        <w:tab/>
        <w:t>Третий доклад о ходе работы неофициальной рабочей группы по безопасности электромобилей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3534">
        <w:tab/>
        <w:t>I.</w:t>
      </w:r>
      <w:r w:rsidRPr="008C3534">
        <w:tab/>
        <w:t>Введение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8C3534" w:rsidRDefault="008C3534" w:rsidP="008C3534">
      <w:pPr>
        <w:pStyle w:val="SingleTxt"/>
      </w:pPr>
      <w:r w:rsidRPr="008C3534">
        <w:t>1.</w:t>
      </w:r>
      <w:r w:rsidRPr="008C3534">
        <w:tab/>
        <w:t>В настоящем докладе содержится обновленная информация о ходе работы по ключевым техническим вопросам, проделанной неофициальной рабочей группой (НРГ) и ее девятью целевыми группами. Последние изменения связаны с выводами по итогам восьмого совещания</w:t>
      </w:r>
      <w:r>
        <w:t xml:space="preserve"> НРГ, которое состоялось в июне</w:t>
      </w:r>
      <w:r w:rsidRPr="008C3534">
        <w:br/>
        <w:t>2015 года в Вашингтоне, округ Колумбия.</w:t>
      </w:r>
    </w:p>
    <w:p w:rsidR="008C3534" w:rsidRPr="008C353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8C353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3534">
        <w:tab/>
        <w:t>II.</w:t>
      </w:r>
      <w:r w:rsidRPr="008C3534">
        <w:tab/>
        <w:t>Цели, область применения и мандат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8C3534" w:rsidRDefault="008C3534" w:rsidP="008C3534">
      <w:pPr>
        <w:pStyle w:val="SingleTxt"/>
      </w:pPr>
      <w:r w:rsidRPr="008C3534">
        <w:t>2.</w:t>
      </w:r>
      <w:r w:rsidRPr="008C3534">
        <w:tab/>
        <w:t>ГТП будут касаться специфических факторов риска в сфере безопасности, связанных с электромобилями (ЭМ) и их компонентами. Для того чтобы ГТП не ограничивали будущее развитие технологий, они будут основываться, насколько это возможно, на эксплуатационных характеристиках. Их разработке должен предшествовать обмен информацией о нынешних и планируемых на будущее национальных нормативных требованиях безопасности в отношении электром</w:t>
      </w:r>
      <w:r w:rsidRPr="008C3534">
        <w:t>о</w:t>
      </w:r>
      <w:r w:rsidRPr="008C3534">
        <w:t>билей на основе раздела</w:t>
      </w:r>
      <w:proofErr w:type="gramStart"/>
      <w:r w:rsidRPr="008C3534">
        <w:t xml:space="preserve"> С</w:t>
      </w:r>
      <w:proofErr w:type="gramEnd"/>
      <w:r w:rsidRPr="008C3534">
        <w:t xml:space="preserve"> официального предложения (ECE/TRANS/WP.29/ 2012/36 и </w:t>
      </w:r>
      <w:proofErr w:type="spellStart"/>
      <w:r w:rsidRPr="008C3534">
        <w:t>Corr</w:t>
      </w:r>
      <w:proofErr w:type="spellEnd"/>
      <w:r w:rsidRPr="008C3534">
        <w:t>. 1), в том числе о научно-технической базе и исследованиях.</w:t>
      </w:r>
    </w:p>
    <w:p w:rsidR="008C3534" w:rsidRPr="008C3534" w:rsidRDefault="008C3534" w:rsidP="008C3534">
      <w:pPr>
        <w:pStyle w:val="SingleTxt"/>
      </w:pPr>
      <w:r w:rsidRPr="008C3534">
        <w:t>3.</w:t>
      </w:r>
      <w:r w:rsidRPr="008C3534">
        <w:tab/>
        <w:t>В ГТП будут установлены также предписания и протоколы испытаний для обеспечения того, чтобы система транспортного средства и/или электрические компоненты функционировали безопасно, были надлежащим образом защищены и имели электрическое управление при подзарядке из внешних источников эле</w:t>
      </w:r>
      <w:r w:rsidRPr="008C3534">
        <w:t>к</w:t>
      </w:r>
      <w:r w:rsidRPr="008C3534">
        <w:t>тричества по месту проживания пользователя или в другом месте подзарядки.</w:t>
      </w:r>
    </w:p>
    <w:p w:rsidR="008C3534" w:rsidRPr="00921AF4" w:rsidRDefault="008C3534" w:rsidP="008C3534">
      <w:pPr>
        <w:pStyle w:val="SingleTxt"/>
      </w:pPr>
      <w:r w:rsidRPr="008C3534">
        <w:t>4.</w:t>
      </w:r>
      <w:r w:rsidRPr="008C3534">
        <w:tab/>
        <w:t>ГТП будут охватывать аспекты безопасности высоковольтной электрической системы, такие электрические компоненты, как входные соединительные устро</w:t>
      </w:r>
      <w:r w:rsidRPr="008C3534">
        <w:t>й</w:t>
      </w:r>
      <w:r w:rsidRPr="008C3534">
        <w:t>ства, а также перезаряжаемые системы</w:t>
      </w:r>
      <w:r w:rsidR="003871D8">
        <w:t xml:space="preserve"> хранения электрической эне</w:t>
      </w:r>
      <w:r w:rsidR="003871D8">
        <w:t>р</w:t>
      </w:r>
      <w:r w:rsidR="003871D8">
        <w:t>гии </w:t>
      </w:r>
      <w:r w:rsidRPr="008C3534">
        <w:t>(ПСХЭЭ), в частности системы, содержащие легковоспламеняющийся эле</w:t>
      </w:r>
      <w:r w:rsidRPr="008C3534">
        <w:t>к</w:t>
      </w:r>
      <w:r w:rsidRPr="008C3534">
        <w:t xml:space="preserve">тролит. Предписания будут охватывать аспекты безопасности </w:t>
      </w:r>
      <w:proofErr w:type="gramStart"/>
      <w:r w:rsidRPr="008C3534">
        <w:t>электромобилей</w:t>
      </w:r>
      <w:proofErr w:type="gramEnd"/>
      <w:r w:rsidRPr="008C3534">
        <w:t xml:space="preserve"> как в условиях эксплуатации, так и после дор</w:t>
      </w:r>
      <w:r>
        <w:t>ожно-транспортных происшествий.</w:t>
      </w:r>
      <w:r w:rsidRPr="008C3534">
        <w:br/>
        <w:t>НРГ может рассматривать другие вопросы в области безопасности в той мере, насколько они являются актуальными в контексте разрабатываемых технических требований. Исходя из нынешнего мандата (до конца 2015 года), ожидается, что ГТП будут приняты в ноябре 2016 года в ходе 170-й сессии WP.29.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3534">
        <w:tab/>
        <w:t>III.</w:t>
      </w:r>
      <w:r w:rsidRPr="008C3534">
        <w:tab/>
        <w:t>Организация работы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</w:pPr>
      <w:r w:rsidRPr="008C3534">
        <w:t>5.</w:t>
      </w:r>
      <w:r w:rsidRPr="008C3534">
        <w:tab/>
        <w:t>Формат совещаний НРГ был изменен в 2015 году, когда было принято р</w:t>
      </w:r>
      <w:r w:rsidRPr="008C3534">
        <w:t>е</w:t>
      </w:r>
      <w:r w:rsidRPr="008C3534">
        <w:t xml:space="preserve">шение о проведении на ежегодной основе дополнительного третьего совещания НРГ. В октябре 2013 года НРГ решила сформировать восемь целевых групп (ЦГ) для рассмотрения конкретных технических вопросов. Таким </w:t>
      </w:r>
      <w:proofErr w:type="gramStart"/>
      <w:r w:rsidRPr="008C3534">
        <w:t>образом</w:t>
      </w:r>
      <w:proofErr w:type="gramEnd"/>
      <w:r w:rsidRPr="008C3534">
        <w:t xml:space="preserve"> будет обе</w:t>
      </w:r>
      <w:r w:rsidRPr="008C3534">
        <w:t>с</w:t>
      </w:r>
      <w:r w:rsidRPr="008C3534">
        <w:t>печен более эффективный подход к решению технических вопросов. Девятая ЦГ была создана с целью рассмотрения вопр</w:t>
      </w:r>
      <w:r w:rsidR="003871D8">
        <w:t>оса о предупредительном сигн</w:t>
      </w:r>
      <w:r w:rsidR="003871D8">
        <w:t>а</w:t>
      </w:r>
      <w:r w:rsidR="003871D8">
        <w:t>ле </w:t>
      </w:r>
      <w:r w:rsidRPr="008C3534">
        <w:t>ПСХЭЭ. Ниже приводится информация о ходе работы этих ЦГ.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HCh"/>
        <w:pageBreakBefore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 w:rsidRPr="008C3534">
        <w:lastRenderedPageBreak/>
        <w:tab/>
        <w:t>IV.</w:t>
      </w:r>
      <w:r w:rsidRPr="008C3534">
        <w:tab/>
        <w:t>Обновленная информация о текущих и планируемых исследованиях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AC4C22">
      <w:pPr>
        <w:pStyle w:val="SingleTxt"/>
        <w:spacing w:line="236" w:lineRule="exact"/>
      </w:pPr>
      <w:r w:rsidRPr="008C3534">
        <w:t>6.</w:t>
      </w:r>
      <w:r w:rsidRPr="008C3534">
        <w:tab/>
        <w:t>В ходе восьмого совещания НРГ эксперт от Соединенных Штатов Америки представил обновленную информацию о проводимых его страной исследованиях, включая их краткосрочные и долгосрочные задачи.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3534">
        <w:tab/>
        <w:t>V.</w:t>
      </w:r>
      <w:r w:rsidRPr="008C3534">
        <w:tab/>
        <w:t>Доклады целевых групп и ключевые вопросы</w:t>
      </w:r>
    </w:p>
    <w:p w:rsidR="008C3534" w:rsidRPr="00921AF4" w:rsidRDefault="008C3534" w:rsidP="00AC4C22">
      <w:pPr>
        <w:pStyle w:val="SingleTxt"/>
        <w:spacing w:after="0" w:line="120" w:lineRule="exact"/>
        <w:rPr>
          <w:sz w:val="10"/>
        </w:rPr>
      </w:pPr>
    </w:p>
    <w:p w:rsidR="00AC4C22" w:rsidRPr="00921AF4" w:rsidRDefault="00AC4C22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3534">
        <w:tab/>
        <w:t>A.</w:t>
      </w:r>
      <w:r w:rsidRPr="008C3534">
        <w:tab/>
        <w:t>Целевая группа 1 – Защита от проникновения воды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AC4C22">
      <w:pPr>
        <w:pStyle w:val="SingleTxt"/>
        <w:spacing w:line="236" w:lineRule="exact"/>
      </w:pPr>
      <w:r w:rsidRPr="008C3534">
        <w:t>7.</w:t>
      </w:r>
      <w:r w:rsidRPr="008C3534">
        <w:tab/>
        <w:t>ЦГ</w:t>
      </w:r>
      <w:proofErr w:type="gramStart"/>
      <w:r w:rsidRPr="008C3534">
        <w:t>1</w:t>
      </w:r>
      <w:proofErr w:type="gramEnd"/>
      <w:r w:rsidRPr="008C3534">
        <w:t xml:space="preserve"> достигла широкого согласия в отношении содержания и проекта пр</w:t>
      </w:r>
      <w:r w:rsidRPr="008C3534">
        <w:t>о</w:t>
      </w:r>
      <w:r w:rsidRPr="008C3534">
        <w:t>цедур испытания. ЦГ</w:t>
      </w:r>
      <w:proofErr w:type="gramStart"/>
      <w:r w:rsidRPr="008C3534">
        <w:t>1</w:t>
      </w:r>
      <w:proofErr w:type="gramEnd"/>
      <w:r w:rsidRPr="008C3534">
        <w:t xml:space="preserve"> решила исключить испытание на воздействие проливного дождя, но сохранить испытание струей воды из шлан</w:t>
      </w:r>
      <w:r w:rsidR="003871D8">
        <w:t>га и испытание на проезжем водое</w:t>
      </w:r>
      <w:r w:rsidRPr="008C3534">
        <w:t>ме для определения уровня, при котором сохраняется водонепроницаемость транспортного средства. На время рассмотрения предложения членами группы предлагаемые параметры испытания заключены в квадратные скобки. Члены группы продолжат обсуждение на следующем совещании НРГ.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3534">
        <w:tab/>
        <w:t>B.</w:t>
      </w:r>
      <w:r w:rsidRPr="008C3534">
        <w:tab/>
        <w:t>Целевая группа 2 – Вариант системы с низким уровнем электрической энергии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8C3534" w:rsidRDefault="008C3534" w:rsidP="00AC4C22">
      <w:pPr>
        <w:pStyle w:val="SingleTxt"/>
        <w:spacing w:line="236" w:lineRule="exact"/>
      </w:pPr>
      <w:r w:rsidRPr="008C3534">
        <w:t>8.</w:t>
      </w:r>
      <w:r w:rsidRPr="008C3534">
        <w:tab/>
        <w:t>ЦГ</w:t>
      </w:r>
      <w:proofErr w:type="gramStart"/>
      <w:r w:rsidRPr="008C3534">
        <w:t>2</w:t>
      </w:r>
      <w:proofErr w:type="gramEnd"/>
      <w:r w:rsidRPr="008C3534">
        <w:t xml:space="preserve"> собрала все соответствующие материалы, а также рассмотрела инфо</w:t>
      </w:r>
      <w:r w:rsidRPr="008C3534">
        <w:t>р</w:t>
      </w:r>
      <w:r w:rsidRPr="008C3534">
        <w:t>мацию, представленную участвующими экспертами.</w:t>
      </w:r>
    </w:p>
    <w:p w:rsidR="008C3534" w:rsidRPr="008C3534" w:rsidRDefault="008C3534" w:rsidP="00AC4C22">
      <w:pPr>
        <w:pStyle w:val="SingleTxt"/>
        <w:spacing w:line="236" w:lineRule="exact"/>
      </w:pPr>
      <w:r w:rsidRPr="008C3534">
        <w:t>9.</w:t>
      </w:r>
      <w:r w:rsidRPr="008C3534">
        <w:tab/>
        <w:t>Одним из важнейших вопросов, которыми занимается ЦГ</w:t>
      </w:r>
      <w:proofErr w:type="gramStart"/>
      <w:r w:rsidRPr="008C3534">
        <w:t>2</w:t>
      </w:r>
      <w:proofErr w:type="gramEnd"/>
      <w:r w:rsidRPr="008C3534">
        <w:t xml:space="preserve">, является вопрос о </w:t>
      </w:r>
      <w:r w:rsidR="00AC4C22">
        <w:t>«</w:t>
      </w:r>
      <w:r w:rsidRPr="008C3534">
        <w:t>защитном барьере</w:t>
      </w:r>
      <w:r w:rsidR="00AC4C22">
        <w:t>»</w:t>
      </w:r>
      <w:r w:rsidRPr="008C3534">
        <w:t>, однако продолжать обсуждения целесообразно после т</w:t>
      </w:r>
      <w:r w:rsidRPr="008C3534">
        <w:t>о</w:t>
      </w:r>
      <w:r w:rsidRPr="008C3534">
        <w:t xml:space="preserve">го, как Национальная администрация </w:t>
      </w:r>
      <w:r w:rsidR="003871D8">
        <w:t>безопасности дорожного движ</w:t>
      </w:r>
      <w:r w:rsidR="003871D8">
        <w:t>е</w:t>
      </w:r>
      <w:r w:rsidR="003871D8">
        <w:t>ния </w:t>
      </w:r>
      <w:r w:rsidRPr="008C3534">
        <w:t>(НАБДД) завершит рассмотрение ходатайства, направленного представит</w:t>
      </w:r>
      <w:r w:rsidRPr="008C3534">
        <w:t>е</w:t>
      </w:r>
      <w:r w:rsidRPr="008C3534">
        <w:t>лями автомобильной отрасли, поскольку это крайне важно, в частности, для се</w:t>
      </w:r>
      <w:r w:rsidRPr="008C3534">
        <w:t>р</w:t>
      </w:r>
      <w:r w:rsidRPr="008C3534">
        <w:t>тификации транспортных средств на топливных элементах.</w:t>
      </w:r>
    </w:p>
    <w:p w:rsidR="008C3534" w:rsidRPr="00921AF4" w:rsidRDefault="008C3534" w:rsidP="00AC4C22">
      <w:pPr>
        <w:pStyle w:val="SingleTxt"/>
        <w:spacing w:line="236" w:lineRule="exact"/>
      </w:pPr>
      <w:r w:rsidRPr="008C3534">
        <w:t>10.</w:t>
      </w:r>
      <w:r w:rsidRPr="008C3534">
        <w:tab/>
        <w:t>Эксперт от Соединенных Штатов Америки представил аргументы в обосн</w:t>
      </w:r>
      <w:r w:rsidRPr="008C3534">
        <w:t>о</w:t>
      </w:r>
      <w:r w:rsidRPr="008C3534">
        <w:t>вание отказа от принятия варианта с низким уровнем энергии. Основная пробл</w:t>
      </w:r>
      <w:r w:rsidRPr="008C3534">
        <w:t>е</w:t>
      </w:r>
      <w:r w:rsidRPr="008C3534">
        <w:t>ма заключается в том, что этот вариант не обеспечивает тот же уровень безопа</w:t>
      </w:r>
      <w:r w:rsidRPr="008C3534">
        <w:t>с</w:t>
      </w:r>
      <w:r w:rsidRPr="008C3534">
        <w:t>ности по сравнению с другими вариантами. ЦГ</w:t>
      </w:r>
      <w:proofErr w:type="gramStart"/>
      <w:r w:rsidRPr="008C3534">
        <w:t>2</w:t>
      </w:r>
      <w:proofErr w:type="gramEnd"/>
      <w:r w:rsidRPr="008C3534">
        <w:t xml:space="preserve"> изучит представленные арг</w:t>
      </w:r>
      <w:r w:rsidRPr="008C3534">
        <w:t>у</w:t>
      </w:r>
      <w:r w:rsidRPr="008C3534">
        <w:t>менты и вернется к рассмотрению этого вопроса на следующем совещании НРГ.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3534">
        <w:tab/>
        <w:t>C.</w:t>
      </w:r>
      <w:r w:rsidRPr="008C3534">
        <w:tab/>
        <w:t>Целевая группа 3 – Утечка электролита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8C3534" w:rsidRDefault="008C3534" w:rsidP="00AC4C22">
      <w:pPr>
        <w:pStyle w:val="SingleTxt"/>
        <w:spacing w:line="236" w:lineRule="exact"/>
      </w:pPr>
      <w:r w:rsidRPr="008C3534">
        <w:t>11.</w:t>
      </w:r>
      <w:r w:rsidRPr="008C3534">
        <w:tab/>
        <w:t xml:space="preserve">Этой целевой группе предстоит рассмотреть вопросы, связанные с утечкой безводного </w:t>
      </w:r>
      <w:proofErr w:type="gramStart"/>
      <w:r w:rsidRPr="008C3534">
        <w:t>электролита</w:t>
      </w:r>
      <w:proofErr w:type="gramEnd"/>
      <w:r w:rsidRPr="008C3534">
        <w:t xml:space="preserve"> как в условиях эксплуатации, так и после дорожно-транспортных происшествий, временем наблюдения и выбросами в результате испарения. ЦГ3 достигла принципиального согласия по поводу того, что треб</w:t>
      </w:r>
      <w:r w:rsidRPr="008C3534">
        <w:t>о</w:t>
      </w:r>
      <w:r w:rsidRPr="008C3534">
        <w:t>вания в отношении безводных аккумуляторов в условиях после дорожно-транспортного происшествия, при которых не допускается утечка в пассажи</w:t>
      </w:r>
      <w:r w:rsidRPr="008C3534">
        <w:t>р</w:t>
      </w:r>
      <w:r w:rsidRPr="008C3534">
        <w:t>ский салон, следует ужесточить.</w:t>
      </w:r>
    </w:p>
    <w:p w:rsidR="008C3534" w:rsidRPr="008C3534" w:rsidRDefault="008C3534" w:rsidP="00AC4C22">
      <w:pPr>
        <w:pStyle w:val="SingleTxt"/>
        <w:spacing w:line="236" w:lineRule="exact"/>
      </w:pPr>
      <w:r w:rsidRPr="008C3534">
        <w:t>12.</w:t>
      </w:r>
      <w:r w:rsidRPr="008C3534">
        <w:tab/>
        <w:t>Объединенный исследовательский центр (ОИЦ) представил результаты эк</w:t>
      </w:r>
      <w:r w:rsidRPr="008C3534">
        <w:t>с</w:t>
      </w:r>
      <w:r w:rsidRPr="008C3534">
        <w:t>перимента, в ходе которого измерялся объем утечки электролита из поврежде</w:t>
      </w:r>
      <w:r w:rsidRPr="008C3534">
        <w:t>н</w:t>
      </w:r>
      <w:r w:rsidRPr="008C3534">
        <w:t>ных элементов аккумуляторов различного типа. Хотя НАБДД признала важность работы ОИЦ, эксперт от МОПАП поставил под сомнение значимость этого эк</w:t>
      </w:r>
      <w:r w:rsidRPr="008C3534">
        <w:t>с</w:t>
      </w:r>
      <w:r w:rsidRPr="008C3534">
        <w:t xml:space="preserve">перимента, поскольку он не </w:t>
      </w:r>
      <w:proofErr w:type="gramStart"/>
      <w:r w:rsidRPr="008C3534">
        <w:t>проводился на уровне системы и полученные резул</w:t>
      </w:r>
      <w:r w:rsidRPr="008C3534">
        <w:t>ь</w:t>
      </w:r>
      <w:r w:rsidRPr="008C3534">
        <w:t>таты не будут отвечать</w:t>
      </w:r>
      <w:proofErr w:type="gramEnd"/>
      <w:r w:rsidRPr="008C3534">
        <w:t xml:space="preserve"> реальным условиям.</w:t>
      </w:r>
    </w:p>
    <w:p w:rsidR="008C3534" w:rsidRPr="00921AF4" w:rsidRDefault="008C3534" w:rsidP="008C3534">
      <w:pPr>
        <w:pStyle w:val="SingleTxt"/>
        <w:spacing w:line="236" w:lineRule="exact"/>
      </w:pPr>
      <w:r w:rsidRPr="008C3534">
        <w:lastRenderedPageBreak/>
        <w:t>13.</w:t>
      </w:r>
      <w:r w:rsidRPr="008C3534">
        <w:tab/>
        <w:t>Было решено, что ЦГ3 займется обсуждением вопроса о контроле газов и их выбросе в атмосферу и заблаговременно представит конкретное предложение до следующего совещания НРГ.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8C3534" w:rsidRDefault="008C3534" w:rsidP="008C353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3534">
        <w:tab/>
        <w:t>D.</w:t>
      </w:r>
      <w:r w:rsidRPr="008C3534">
        <w:tab/>
        <w:t xml:space="preserve">Целевая группа 4 – Испытание </w:t>
      </w:r>
      <w:r>
        <w:t>ПСХЭЭ в условиях эксплуатации</w:t>
      </w:r>
    </w:p>
    <w:p w:rsidR="008C3534" w:rsidRPr="008C353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8C353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8C3534" w:rsidRDefault="008C3534" w:rsidP="008C3534">
      <w:pPr>
        <w:pStyle w:val="SingleTxt"/>
        <w:spacing w:line="236" w:lineRule="exact"/>
      </w:pPr>
      <w:r w:rsidRPr="008C3534">
        <w:t>14.</w:t>
      </w:r>
      <w:r w:rsidRPr="008C3534">
        <w:tab/>
        <w:t>ЦГ</w:t>
      </w:r>
      <w:proofErr w:type="gramStart"/>
      <w:r w:rsidRPr="008C3534">
        <w:t>4</w:t>
      </w:r>
      <w:proofErr w:type="gramEnd"/>
      <w:r w:rsidRPr="008C3534">
        <w:t xml:space="preserve"> продолжила обсуждение положений, касающихся транспортных средств с 48-вольтовыми аккумуляторами. Эти транспортные средства имеют определенные компоненты переменного тока, которые превышают предел ма</w:t>
      </w:r>
      <w:r w:rsidRPr="008C3534">
        <w:t>к</w:t>
      </w:r>
      <w:r w:rsidRPr="008C3534">
        <w:t>симального напряжения (30 В), что обусловливает необходимость в положениях, направленных на обеспечение безопасной эксплуатации в условиях нормальной работы и после дорожно-транспортного происшествия. МОПАП подготовит предложение для рассмотрения на следующем совещании.</w:t>
      </w:r>
    </w:p>
    <w:p w:rsidR="008C3534" w:rsidRPr="008C3534" w:rsidRDefault="008C3534" w:rsidP="008C3534">
      <w:pPr>
        <w:pStyle w:val="SingleTxt"/>
        <w:spacing w:line="236" w:lineRule="exact"/>
      </w:pPr>
      <w:r w:rsidRPr="008C3534">
        <w:t>15.</w:t>
      </w:r>
      <w:r w:rsidRPr="008C3534">
        <w:tab/>
        <w:t>Эксперт от Соединенных Штатов Америки представил предложение, кас</w:t>
      </w:r>
      <w:r w:rsidRPr="008C3534">
        <w:t>а</w:t>
      </w:r>
      <w:r w:rsidRPr="008C3534">
        <w:t>ющееся требований в отношении функциональности систем управления аккум</w:t>
      </w:r>
      <w:r w:rsidRPr="008C3534">
        <w:t>у</w:t>
      </w:r>
      <w:r w:rsidRPr="008C3534">
        <w:t>лятором (СУА) в условиях нормальной эксплуатации и охватывающее случаи и</w:t>
      </w:r>
      <w:r w:rsidRPr="008C3534">
        <w:t>з</w:t>
      </w:r>
      <w:r w:rsidRPr="008C3534">
        <w:t>быточной зарядки, перегрузки по току, перегрева и чрезмерной разрядки. Проц</w:t>
      </w:r>
      <w:r w:rsidRPr="008C3534">
        <w:t>е</w:t>
      </w:r>
      <w:r w:rsidRPr="008C3534">
        <w:t xml:space="preserve">дуры испытания, содержащиеся в этом предложении, аналогичны </w:t>
      </w:r>
      <w:proofErr w:type="gramStart"/>
      <w:r w:rsidRPr="008C3534">
        <w:t>предложенным</w:t>
      </w:r>
      <w:proofErr w:type="gramEnd"/>
      <w:r w:rsidRPr="008C3534">
        <w:t xml:space="preserve"> МОПАП с небольшими различиями граничных условий. Эксперт от Соедине</w:t>
      </w:r>
      <w:r w:rsidRPr="008C3534">
        <w:t>н</w:t>
      </w:r>
      <w:r w:rsidRPr="008C3534">
        <w:t>ных Штатов Америки подготовит нормативные положения для обсуждения на следующем совещании НРГ.</w:t>
      </w:r>
    </w:p>
    <w:p w:rsidR="008C3534" w:rsidRPr="008C3534" w:rsidRDefault="008C3534" w:rsidP="008C3534">
      <w:pPr>
        <w:pStyle w:val="SingleTxt"/>
        <w:spacing w:line="236" w:lineRule="exact"/>
      </w:pPr>
      <w:r w:rsidRPr="008C3534">
        <w:t>16.</w:t>
      </w:r>
      <w:r w:rsidRPr="008C3534">
        <w:tab/>
        <w:t>Кроме того, эксперт от США представил рекомендацию в отношении исп</w:t>
      </w:r>
      <w:r w:rsidRPr="008C3534">
        <w:t>ы</w:t>
      </w:r>
      <w:r w:rsidRPr="008C3534">
        <w:t xml:space="preserve">таний на </w:t>
      </w:r>
      <w:proofErr w:type="spellStart"/>
      <w:r w:rsidRPr="008C3534">
        <w:t>ударопрочность</w:t>
      </w:r>
      <w:proofErr w:type="spellEnd"/>
      <w:r w:rsidRPr="008C3534">
        <w:t xml:space="preserve">, </w:t>
      </w:r>
      <w:proofErr w:type="spellStart"/>
      <w:r w:rsidRPr="008C3534">
        <w:t>виброустойчивость</w:t>
      </w:r>
      <w:proofErr w:type="spellEnd"/>
      <w:r w:rsidRPr="008C3534">
        <w:t xml:space="preserve"> и циклические тепловые нагрузки, а также критерии прохождения/</w:t>
      </w:r>
      <w:proofErr w:type="spellStart"/>
      <w:r w:rsidRPr="008C3534">
        <w:t>непрохождения</w:t>
      </w:r>
      <w:proofErr w:type="spellEnd"/>
      <w:r w:rsidRPr="008C3534">
        <w:t xml:space="preserve"> испытания. Эта рекомендация была сформулирована на основе анализа результатов исследований и вынесена на рассмотрение. Эксперт подготовит текст нормативных положений, необход</w:t>
      </w:r>
      <w:r w:rsidRPr="008C3534">
        <w:t>и</w:t>
      </w:r>
      <w:r w:rsidRPr="008C3534">
        <w:t>мый для проведения обсуждения на следующем совещании, проводя параллели с нынешним текстом ГТП. Эксперт от Китая также внес предложение, касающееся положения о случайных вибрациях, и представит соответствующий текст и да</w:t>
      </w:r>
      <w:r w:rsidRPr="008C3534">
        <w:t>н</w:t>
      </w:r>
      <w:r w:rsidRPr="008C3534">
        <w:t>ные на следующем совещании.</w:t>
      </w:r>
    </w:p>
    <w:p w:rsidR="008C3534" w:rsidRPr="008C353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8C353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3534">
        <w:tab/>
        <w:t>E.</w:t>
      </w:r>
      <w:r w:rsidRPr="008C3534">
        <w:tab/>
        <w:t>Целевая группа 5 – Тепловое рассеяние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8C3534" w:rsidRDefault="008C3534" w:rsidP="008C3534">
      <w:pPr>
        <w:pStyle w:val="SingleTxt"/>
        <w:spacing w:line="236" w:lineRule="exact"/>
      </w:pPr>
      <w:r w:rsidRPr="008C3534">
        <w:t>17.</w:t>
      </w:r>
      <w:r w:rsidRPr="008C3534">
        <w:tab/>
        <w:t>ЦГ5 продолжила обсуждение вопроса о тепловом рассеянии топливного элемента до уровня всего пакета.</w:t>
      </w:r>
    </w:p>
    <w:p w:rsidR="008C3534" w:rsidRPr="008C3534" w:rsidRDefault="008C3534" w:rsidP="008C3534">
      <w:pPr>
        <w:pStyle w:val="SingleTxt"/>
        <w:spacing w:line="236" w:lineRule="exact"/>
      </w:pPr>
      <w:r w:rsidRPr="008C3534">
        <w:t>18.</w:t>
      </w:r>
      <w:r w:rsidRPr="008C3534">
        <w:tab/>
        <w:t>Эксперт от Соединенных Штатов Америки представил информацию о пр</w:t>
      </w:r>
      <w:r w:rsidRPr="008C3534">
        <w:t>о</w:t>
      </w:r>
      <w:r w:rsidRPr="008C3534">
        <w:t>веденных в стране исследованиях этого явления. После завершения исследов</w:t>
      </w:r>
      <w:r w:rsidRPr="008C3534">
        <w:t>а</w:t>
      </w:r>
      <w:r w:rsidRPr="008C3534">
        <w:t>ния по разработке подходящего источника зажигания для моделирования вероя</w:t>
      </w:r>
      <w:r w:rsidRPr="008C3534">
        <w:t>т</w:t>
      </w:r>
      <w:r w:rsidRPr="008C3534">
        <w:t>ного случая теплового убегания топливного элемента, который был бы воспрои</w:t>
      </w:r>
      <w:r w:rsidRPr="008C3534">
        <w:t>з</w:t>
      </w:r>
      <w:r w:rsidRPr="008C3534">
        <w:t>водимым, будет представлено соответствующее предложение. Ожидается, что это исследование будет завершено к лету 2016 года. Эксперт от Соединенных Шт</w:t>
      </w:r>
      <w:r w:rsidRPr="008C3534">
        <w:t>а</w:t>
      </w:r>
      <w:r w:rsidRPr="008C3534">
        <w:t>тов Америки подготовит нормативный текст с указанием некоторых открытых вопросов для обсуждения на следующем совещании.</w:t>
      </w:r>
    </w:p>
    <w:p w:rsidR="008C3534" w:rsidRPr="008C3534" w:rsidRDefault="008C3534" w:rsidP="008C3534">
      <w:pPr>
        <w:pStyle w:val="SingleTxt"/>
        <w:spacing w:line="236" w:lineRule="exact"/>
      </w:pPr>
      <w:r w:rsidRPr="008C3534">
        <w:t>19.</w:t>
      </w:r>
      <w:r w:rsidRPr="008C3534">
        <w:tab/>
        <w:t>Эксперты от Японии и МОПАП поста</w:t>
      </w:r>
      <w:r>
        <w:t>вили под сомнение необходимость</w:t>
      </w:r>
      <w:r w:rsidRPr="008C3534">
        <w:br/>
        <w:t>в многоточечном инициировании с учетом ограниченной вероятности множ</w:t>
      </w:r>
      <w:r w:rsidRPr="008C3534">
        <w:t>е</w:t>
      </w:r>
      <w:r w:rsidRPr="008C3534">
        <w:t>ственных сбоев, вызванных внутренним коротким замыканием.</w:t>
      </w:r>
    </w:p>
    <w:p w:rsidR="008C3534" w:rsidRPr="008C3534" w:rsidRDefault="008C3534" w:rsidP="008C3534">
      <w:pPr>
        <w:pStyle w:val="SingleTxt"/>
        <w:spacing w:line="236" w:lineRule="exact"/>
      </w:pPr>
      <w:r w:rsidRPr="008C3534">
        <w:t>20.</w:t>
      </w:r>
      <w:r w:rsidRPr="008C3534">
        <w:tab/>
        <w:t>Эксперт от Японии представит определение теплового рассеяния к следу</w:t>
      </w:r>
      <w:r w:rsidRPr="008C3534">
        <w:t>ю</w:t>
      </w:r>
      <w:r w:rsidRPr="008C3534">
        <w:t>щему совещанию ЦГ.</w:t>
      </w:r>
    </w:p>
    <w:p w:rsidR="008C3534" w:rsidRDefault="008C3534" w:rsidP="008C3534">
      <w:pPr>
        <w:pStyle w:val="SingleTxt"/>
        <w:spacing w:line="236" w:lineRule="exact"/>
        <w:rPr>
          <w:lang w:val="en-US"/>
        </w:rPr>
      </w:pPr>
      <w:r w:rsidRPr="008C3534">
        <w:t>21.</w:t>
      </w:r>
      <w:r w:rsidRPr="008C3534">
        <w:tab/>
        <w:t>ЦГ5 выступит координатором двух совещаний, предшествующих совещ</w:t>
      </w:r>
      <w:r w:rsidRPr="008C3534">
        <w:t>а</w:t>
      </w:r>
      <w:r w:rsidR="003871D8">
        <w:t>нию НРГ в сентябре</w:t>
      </w:r>
      <w:r w:rsidRPr="008C3534">
        <w:t xml:space="preserve"> 2015 года.</w:t>
      </w:r>
    </w:p>
    <w:p w:rsidR="008C3534" w:rsidRPr="00921AF4" w:rsidRDefault="008C3534" w:rsidP="008C353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3534">
        <w:lastRenderedPageBreak/>
        <w:tab/>
        <w:t>F.</w:t>
      </w:r>
      <w:r w:rsidRPr="008C3534">
        <w:tab/>
        <w:t>Целевая группа 6 – Состояние заряда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8C3534" w:rsidRDefault="008C3534" w:rsidP="008C3534">
      <w:pPr>
        <w:pStyle w:val="SingleTxt"/>
        <w:spacing w:line="236" w:lineRule="exact"/>
      </w:pPr>
      <w:r w:rsidRPr="008C3534">
        <w:t>22.</w:t>
      </w:r>
      <w:r w:rsidRPr="008C3534">
        <w:tab/>
        <w:t>Эксперт от Соединенных Штатов Америки представил рекомендации отн</w:t>
      </w:r>
      <w:r w:rsidRPr="008C3534">
        <w:t>о</w:t>
      </w:r>
      <w:r w:rsidRPr="008C3534">
        <w:t>сительно повышения уровня заряда (У</w:t>
      </w:r>
      <w:r w:rsidR="003871D8">
        <w:t>З) до 97</w:t>
      </w:r>
      <w:r w:rsidRPr="008C3534">
        <w:t>% для испытаний в условиях эк</w:t>
      </w:r>
      <w:r w:rsidRPr="008C3534">
        <w:t>с</w:t>
      </w:r>
      <w:r w:rsidRPr="008C3534">
        <w:t>плуатации и после дорожно-транспортных происшествий. Эксперт от МОПАП высказал мнение о том, что поддержание заряда на таком уровне может быть с</w:t>
      </w:r>
      <w:r w:rsidRPr="008C3534">
        <w:t>о</w:t>
      </w:r>
      <w:r w:rsidRPr="008C3534">
        <w:t>пряжено с трудностями. НАБДД пересмотрит свою рекомендацию с учетом мн</w:t>
      </w:r>
      <w:r w:rsidRPr="008C3534">
        <w:t>е</w:t>
      </w:r>
      <w:r w:rsidRPr="008C3534">
        <w:t>ний участников НРГ к следующему совещанию группы.</w:t>
      </w:r>
    </w:p>
    <w:p w:rsidR="008C3534" w:rsidRPr="00921AF4" w:rsidRDefault="008C3534" w:rsidP="008C3534">
      <w:pPr>
        <w:pStyle w:val="SingleTxt"/>
        <w:spacing w:line="236" w:lineRule="exact"/>
      </w:pPr>
      <w:r w:rsidRPr="008C3534">
        <w:t>23.</w:t>
      </w:r>
      <w:r w:rsidRPr="008C3534">
        <w:tab/>
        <w:t>НРГ согласилась с предложенными температурными условиями.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3534">
        <w:tab/>
        <w:t>G.</w:t>
      </w:r>
      <w:r w:rsidRPr="008C3534">
        <w:tab/>
        <w:t>Целевая группа 7 – Огнестойкость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8C3534" w:rsidRDefault="008C3534" w:rsidP="008C3534">
      <w:pPr>
        <w:pStyle w:val="SingleTxt"/>
        <w:spacing w:line="236" w:lineRule="exact"/>
      </w:pPr>
      <w:r w:rsidRPr="008C3534">
        <w:t>24.</w:t>
      </w:r>
      <w:r w:rsidRPr="008C3534">
        <w:tab/>
        <w:t>ЦГ</w:t>
      </w:r>
      <w:proofErr w:type="gramStart"/>
      <w:r w:rsidRPr="008C3534">
        <w:t>7</w:t>
      </w:r>
      <w:proofErr w:type="gramEnd"/>
      <w:r w:rsidRPr="008C3534">
        <w:t xml:space="preserve"> продолжила обсуждение вопроса об испытаниях на кратковременное и долговременное воздействие огня. Открытые вопросы, относящиеся к испытан</w:t>
      </w:r>
      <w:r w:rsidRPr="008C3534">
        <w:t>и</w:t>
      </w:r>
      <w:r w:rsidRPr="008C3534">
        <w:t>ям на долговременное воздействие, включ</w:t>
      </w:r>
      <w:r>
        <w:t>ают определение цели испытания,</w:t>
      </w:r>
      <w:r w:rsidRPr="008C3534">
        <w:br/>
        <w:t>а также установление продолжительности долговременного воздействия.</w:t>
      </w:r>
    </w:p>
    <w:p w:rsidR="008C3534" w:rsidRPr="008C3534" w:rsidRDefault="008C3534" w:rsidP="008C3534">
      <w:pPr>
        <w:pStyle w:val="SingleTxt"/>
        <w:spacing w:line="236" w:lineRule="exact"/>
      </w:pPr>
      <w:r w:rsidRPr="008C3534">
        <w:t>25.</w:t>
      </w:r>
      <w:r w:rsidRPr="008C3534">
        <w:tab/>
      </w:r>
      <w:proofErr w:type="gramStart"/>
      <w:r w:rsidRPr="008C3534">
        <w:t>В соответствии с существующим предложением допускается использование д</w:t>
      </w:r>
      <w:r w:rsidR="003871D8">
        <w:t>вух различных типов горелок: i) </w:t>
      </w:r>
      <w:r w:rsidRPr="008C3534">
        <w:t>с применением сжиженного нефтяного газа</w:t>
      </w:r>
      <w:r w:rsidR="00AC4C22">
        <w:t>;</w:t>
      </w:r>
      <w:r w:rsidR="00AC4C22" w:rsidRPr="00AC4C22">
        <w:br/>
      </w:r>
      <w:r w:rsidR="003871D8">
        <w:t xml:space="preserve">и </w:t>
      </w:r>
      <w:proofErr w:type="spellStart"/>
      <w:r w:rsidR="003871D8">
        <w:t>ii</w:t>
      </w:r>
      <w:proofErr w:type="spellEnd"/>
      <w:r w:rsidR="003871D8">
        <w:t>) </w:t>
      </w:r>
      <w:r w:rsidRPr="008C3534">
        <w:t>с разливом горящего бензина.</w:t>
      </w:r>
      <w:proofErr w:type="gramEnd"/>
      <w:r w:rsidRPr="008C3534">
        <w:t xml:space="preserve"> Участники группы высказали мнение о том, что в качестве главного параметра испытания следует использовать не тип горе</w:t>
      </w:r>
      <w:r w:rsidRPr="008C3534">
        <w:t>л</w:t>
      </w:r>
      <w:r w:rsidRPr="008C3534">
        <w:t>ки, а температурный профиль. Согласие в отношении продолжительности долг</w:t>
      </w:r>
      <w:r w:rsidRPr="008C3534">
        <w:t>о</w:t>
      </w:r>
      <w:r w:rsidRPr="008C3534">
        <w:t>временного испытания на огнестойкость не было достигнуто, и этот вопрос предстоит обсудить на будущих совещаниях ЦГ</w:t>
      </w:r>
      <w:proofErr w:type="gramStart"/>
      <w:r w:rsidRPr="008C3534">
        <w:t>7</w:t>
      </w:r>
      <w:proofErr w:type="gramEnd"/>
      <w:r w:rsidRPr="008C3534">
        <w:t>.</w:t>
      </w:r>
    </w:p>
    <w:p w:rsidR="008C3534" w:rsidRPr="008C3534" w:rsidRDefault="008C3534" w:rsidP="008C3534">
      <w:pPr>
        <w:pStyle w:val="SingleTxt"/>
        <w:spacing w:line="236" w:lineRule="exact"/>
      </w:pPr>
      <w:r w:rsidRPr="008C3534">
        <w:t>26.</w:t>
      </w:r>
      <w:r w:rsidRPr="008C3534">
        <w:tab/>
        <w:t>Эксперт от Канады представил результаты проведенных в его стране иссл</w:t>
      </w:r>
      <w:r w:rsidRPr="008C3534">
        <w:t>е</w:t>
      </w:r>
      <w:r w:rsidRPr="008C3534">
        <w:t>дований воздействия огня на транспортное средство в целом. Испытаниям на о</w:t>
      </w:r>
      <w:r w:rsidRPr="008C3534">
        <w:t>г</w:t>
      </w:r>
      <w:r w:rsidRPr="008C3534">
        <w:t>нестойкость были подвергнуты электромобили и обычные транспортные сре</w:t>
      </w:r>
      <w:r w:rsidRPr="008C3534">
        <w:t>д</w:t>
      </w:r>
      <w:r w:rsidRPr="008C3534">
        <w:t>ства, работающие на бензине. Результаты испытаний показали, что электромоб</w:t>
      </w:r>
      <w:r w:rsidRPr="008C3534">
        <w:t>и</w:t>
      </w:r>
      <w:r w:rsidRPr="008C3534">
        <w:t>ли не представляют большей угрозы по сравнению с обычными транспортными средствами, работающими на бензине.</w:t>
      </w:r>
    </w:p>
    <w:p w:rsidR="008C3534" w:rsidRPr="008C3534" w:rsidRDefault="008C3534" w:rsidP="008C3534">
      <w:pPr>
        <w:pStyle w:val="SingleTxt"/>
        <w:spacing w:line="236" w:lineRule="exact"/>
      </w:pPr>
      <w:r w:rsidRPr="008C3534">
        <w:t>27.</w:t>
      </w:r>
      <w:r w:rsidRPr="008C3534">
        <w:tab/>
        <w:t>Этот вывод не совпадает с точкой зрения эксперта от МОПАП, по мнению которого цель испытания заключается в том, чтобы определить, следует ли его проводить на уровне транспортного средства или элемента оборудования.</w:t>
      </w:r>
    </w:p>
    <w:p w:rsidR="008C3534" w:rsidRPr="00921AF4" w:rsidRDefault="008C3534" w:rsidP="008C3534">
      <w:pPr>
        <w:pStyle w:val="SingleTxt"/>
        <w:spacing w:line="236" w:lineRule="exact"/>
      </w:pPr>
      <w:r w:rsidRPr="008C3534">
        <w:t>28.</w:t>
      </w:r>
      <w:r w:rsidRPr="008C3534">
        <w:tab/>
        <w:t>Эксперт от Японии напомнил НРГ, что эти требования в отношении долг</w:t>
      </w:r>
      <w:r w:rsidRPr="008C3534">
        <w:t>о</w:t>
      </w:r>
      <w:r w:rsidRPr="008C3534">
        <w:t>временного воздействия огня не следует путать с требованиями, приведенными в руководстве для служб экстренного реагирования.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8C3534" w:rsidRDefault="008C3534" w:rsidP="008C353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3534">
        <w:tab/>
        <w:t>H.</w:t>
      </w:r>
      <w:r w:rsidRPr="008C3534">
        <w:tab/>
        <w:t>Целевая группа 8 – И</w:t>
      </w:r>
      <w:r>
        <w:t>сследование вопроса о включении</w:t>
      </w:r>
      <w:r w:rsidRPr="008C3534">
        <w:br/>
        <w:t>в область применения ГТП автобусов и грузовых автомобилей</w:t>
      </w:r>
    </w:p>
    <w:p w:rsidR="008C3534" w:rsidRPr="008C353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8C353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8C3534" w:rsidRDefault="008C3534" w:rsidP="008C3534">
      <w:pPr>
        <w:pStyle w:val="SingleTxt"/>
        <w:spacing w:line="236" w:lineRule="exact"/>
      </w:pPr>
      <w:r w:rsidRPr="008C3534">
        <w:t>29.</w:t>
      </w:r>
      <w:r w:rsidRPr="008C3534">
        <w:tab/>
        <w:t>Члены ЦГ8 продолжили обсуждение вопроса о сфере применения ГТП и включении в нее автобусов и коммерческих транспортных средств большой гр</w:t>
      </w:r>
      <w:r w:rsidRPr="008C3534">
        <w:t>у</w:t>
      </w:r>
      <w:r w:rsidRPr="008C3534">
        <w:t>зоподъемности. Некоторые члены группы полагали, что весьма сложно объед</w:t>
      </w:r>
      <w:r w:rsidRPr="008C3534">
        <w:t>и</w:t>
      </w:r>
      <w:r w:rsidRPr="008C3534">
        <w:t>нить положения для коммерческих транспортных средств большой грузоподъе</w:t>
      </w:r>
      <w:r w:rsidRPr="008C3534">
        <w:t>м</w:t>
      </w:r>
      <w:r w:rsidRPr="008C3534">
        <w:t>ности и пассажирских транспортных средств.</w:t>
      </w:r>
    </w:p>
    <w:p w:rsidR="008C3534" w:rsidRPr="008C3534" w:rsidRDefault="008C3534" w:rsidP="008C3534">
      <w:pPr>
        <w:pStyle w:val="SingleTxt"/>
        <w:spacing w:line="236" w:lineRule="exact"/>
      </w:pPr>
      <w:r w:rsidRPr="008C3534">
        <w:t>30.</w:t>
      </w:r>
      <w:r w:rsidRPr="008C3534">
        <w:tab/>
        <w:t>Эксперт от НАБДД отметил, что</w:t>
      </w:r>
      <w:r w:rsidR="003871D8">
        <w:t>,</w:t>
      </w:r>
      <w:r w:rsidRPr="008C3534">
        <w:t xml:space="preserve"> по всей вероятности</w:t>
      </w:r>
      <w:r w:rsidR="003871D8">
        <w:t>,</w:t>
      </w:r>
      <w:r w:rsidRPr="008C3534">
        <w:t xml:space="preserve"> в Соединенных Шт</w:t>
      </w:r>
      <w:r w:rsidRPr="008C3534">
        <w:t>а</w:t>
      </w:r>
      <w:r w:rsidRPr="008C3534">
        <w:t>тах Америки требования в отношении коммерческих транспортных средств и а</w:t>
      </w:r>
      <w:r w:rsidRPr="008C3534">
        <w:t>в</w:t>
      </w:r>
      <w:r w:rsidRPr="008C3534">
        <w:t>тобусов будут факультативными.</w:t>
      </w:r>
    </w:p>
    <w:p w:rsidR="008C3534" w:rsidRPr="008C3534" w:rsidRDefault="008C3534" w:rsidP="008C3534">
      <w:pPr>
        <w:pStyle w:val="SingleTxt"/>
        <w:spacing w:line="236" w:lineRule="exact"/>
      </w:pPr>
      <w:r w:rsidRPr="008C3534">
        <w:t>31.</w:t>
      </w:r>
      <w:r w:rsidRPr="008C3534">
        <w:tab/>
        <w:t>Эксперт от МОПАП предложил провести консультации с WP.29 для получ</w:t>
      </w:r>
      <w:r w:rsidRPr="008C3534">
        <w:t>е</w:t>
      </w:r>
      <w:r w:rsidRPr="008C3534">
        <w:t>ния указаний по этому вопросу.</w:t>
      </w:r>
    </w:p>
    <w:p w:rsidR="008C3534" w:rsidRPr="00921AF4" w:rsidRDefault="008C3534" w:rsidP="008C3534">
      <w:pPr>
        <w:pStyle w:val="SingleTxt"/>
        <w:spacing w:line="236" w:lineRule="exact"/>
      </w:pPr>
      <w:r w:rsidRPr="008C3534">
        <w:t>32.</w:t>
      </w:r>
      <w:r w:rsidRPr="008C3534">
        <w:tab/>
        <w:t>Группа продолжит обсуждения на следующих совещаниях.</w:t>
      </w:r>
    </w:p>
    <w:p w:rsidR="008C3534" w:rsidRPr="00921AF4" w:rsidRDefault="008C3534" w:rsidP="008C353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3534">
        <w:lastRenderedPageBreak/>
        <w:tab/>
        <w:t>I.</w:t>
      </w:r>
      <w:r w:rsidRPr="008C3534">
        <w:tab/>
        <w:t>Целевая группа 9 – Предупредительный сигнал ПСХЭЭ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8C3534" w:rsidRDefault="008C3534" w:rsidP="008C3534">
      <w:pPr>
        <w:pStyle w:val="SingleTxt"/>
      </w:pPr>
      <w:r w:rsidRPr="008C3534">
        <w:t>33.</w:t>
      </w:r>
      <w:r w:rsidRPr="008C3534">
        <w:tab/>
        <w:t>Члены ЦГ</w:t>
      </w:r>
      <w:proofErr w:type="gramStart"/>
      <w:r w:rsidRPr="008C3534">
        <w:t>9</w:t>
      </w:r>
      <w:proofErr w:type="gramEnd"/>
      <w:r w:rsidRPr="008C3534">
        <w:t xml:space="preserve"> достигли договоренности по плану</w:t>
      </w:r>
      <w:r>
        <w:t xml:space="preserve"> действий и приступят </w:t>
      </w:r>
      <w:r w:rsidRPr="008C3534">
        <w:t>к ра</w:t>
      </w:r>
      <w:r w:rsidRPr="008C3534">
        <w:t>з</w:t>
      </w:r>
      <w:r w:rsidRPr="008C3534">
        <w:t>работке параметров предупредительного сигнала. Будет проведено обследование существующих систем предупреждения, установленных на электромоби</w:t>
      </w:r>
      <w:r>
        <w:t>лях.</w:t>
      </w:r>
      <w:r w:rsidRPr="008C3534">
        <w:br/>
        <w:t>ЦГ</w:t>
      </w:r>
      <w:proofErr w:type="gramStart"/>
      <w:r w:rsidRPr="008C3534">
        <w:t>9</w:t>
      </w:r>
      <w:proofErr w:type="gramEnd"/>
      <w:r w:rsidRPr="008C3534">
        <w:t xml:space="preserve"> выступит координатором телеконференции, которая состоится до следующ</w:t>
      </w:r>
      <w:r w:rsidRPr="008C3534">
        <w:t>е</w:t>
      </w:r>
      <w:r w:rsidRPr="008C3534">
        <w:t>го совещания НРГ.</w:t>
      </w:r>
    </w:p>
    <w:p w:rsidR="008C3534" w:rsidRPr="008C353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8C3534" w:rsidRDefault="008C3534" w:rsidP="008C3534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3534">
        <w:tab/>
        <w:t>1.</w:t>
      </w:r>
      <w:r w:rsidRPr="008C3534">
        <w:tab/>
        <w:t>Сброс газов аккумулятора</w:t>
      </w:r>
    </w:p>
    <w:p w:rsidR="008C3534" w:rsidRPr="008C353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8C3534" w:rsidRDefault="008C3534" w:rsidP="008C3534">
      <w:pPr>
        <w:pStyle w:val="SingleTxt"/>
      </w:pPr>
      <w:r w:rsidRPr="008C3534">
        <w:t>34.</w:t>
      </w:r>
      <w:r w:rsidRPr="008C3534">
        <w:tab/>
        <w:t>Бесспорно, что сброс газов важен не только сам по себе, но и для предо</w:t>
      </w:r>
      <w:r w:rsidRPr="008C3534">
        <w:t>т</w:t>
      </w:r>
      <w:r w:rsidRPr="008C3534">
        <w:t>вращения возможного разрыва или взрыва в ПСХЭЭ, поэтому вопрос, каса</w:t>
      </w:r>
      <w:r w:rsidRPr="008C3534">
        <w:t>ю</w:t>
      </w:r>
      <w:r w:rsidRPr="008C3534">
        <w:t>щийся управления вентилированием, т.е. к</w:t>
      </w:r>
      <w:r>
        <w:t>онтроля сброса газов, нуждается</w:t>
      </w:r>
      <w:r w:rsidRPr="008C3534">
        <w:br/>
        <w:t>в дальнейшем рассмотрении в рамках НРГ.</w:t>
      </w:r>
    </w:p>
    <w:p w:rsidR="008C3534" w:rsidRPr="008C3534" w:rsidRDefault="008C3534" w:rsidP="008C3534">
      <w:pPr>
        <w:pStyle w:val="SingleTxt"/>
      </w:pPr>
      <w:r w:rsidRPr="008C3534">
        <w:t>35.</w:t>
      </w:r>
      <w:r w:rsidRPr="008C3534">
        <w:tab/>
      </w:r>
      <w:proofErr w:type="gramStart"/>
      <w:r w:rsidRPr="008C3534">
        <w:t>Основные пункты для обсуждения: следует ли считать сброс газов критер</w:t>
      </w:r>
      <w:r w:rsidRPr="008C3534">
        <w:t>и</w:t>
      </w:r>
      <w:r w:rsidRPr="008C3534">
        <w:t>ем прохождения/</w:t>
      </w:r>
      <w:proofErr w:type="spellStart"/>
      <w:r w:rsidRPr="008C3534">
        <w:t>непрохождения</w:t>
      </w:r>
      <w:proofErr w:type="spellEnd"/>
      <w:r w:rsidRPr="008C3534">
        <w:t xml:space="preserve"> испытания ПСХЭЭ при эксплуатации в но</w:t>
      </w:r>
      <w:r w:rsidRPr="008C3534">
        <w:t>р</w:t>
      </w:r>
      <w:r w:rsidRPr="008C3534">
        <w:t>мальных условиях (в отличие от анормальных); какие испытания в контексте ГТП следует считать относящимися к нормальным/аномальным условиям и к</w:t>
      </w:r>
      <w:r w:rsidRPr="008C3534">
        <w:t>а</w:t>
      </w:r>
      <w:r w:rsidRPr="008C3534">
        <w:t>ким образом проводить проверки на предмет того, что концентрация сброше</w:t>
      </w:r>
      <w:r w:rsidRPr="008C3534">
        <w:t>н</w:t>
      </w:r>
      <w:r w:rsidRPr="008C3534">
        <w:t>ных газов не достигает опасных уровней внутри кабины транспортного средства.</w:t>
      </w:r>
      <w:proofErr w:type="gramEnd"/>
    </w:p>
    <w:p w:rsidR="008C3534" w:rsidRPr="008C3534" w:rsidRDefault="008C3534" w:rsidP="008C3534">
      <w:pPr>
        <w:pStyle w:val="SingleTxt"/>
      </w:pPr>
      <w:r w:rsidRPr="008C3534">
        <w:t>36.</w:t>
      </w:r>
      <w:r w:rsidRPr="008C3534">
        <w:tab/>
        <w:t>Участники ознакомились с мнением испытательного центра Европейского союза (ЕС) в отношении толкования Правил № 100 с поправками серии 02 и н</w:t>
      </w:r>
      <w:r w:rsidRPr="008C3534">
        <w:t>е</w:t>
      </w:r>
      <w:r w:rsidRPr="008C3534">
        <w:t>давним предложением эксперта от Японии о контроле сброса газов. С точки зр</w:t>
      </w:r>
      <w:r w:rsidRPr="008C3534">
        <w:t>е</w:t>
      </w:r>
      <w:r w:rsidRPr="008C3534">
        <w:t>ния испытательных центров ЕС, с которыми консультировался СИЦ, сброс газа из ПСХЭЭ в ходе некоторых или – в отдельных случаях – в ходе всех испытаний означает, что испытание не было пройдено, однако представленные этими це</w:t>
      </w:r>
      <w:r w:rsidRPr="008C3534">
        <w:t>н</w:t>
      </w:r>
      <w:r w:rsidRPr="008C3534">
        <w:t>трами обоснования несколько различаются.</w:t>
      </w:r>
    </w:p>
    <w:p w:rsidR="008C3534" w:rsidRPr="008C3534" w:rsidRDefault="008C3534" w:rsidP="008C3534">
      <w:pPr>
        <w:pStyle w:val="SingleTxt"/>
      </w:pPr>
      <w:r w:rsidRPr="008C3534">
        <w:t>37.</w:t>
      </w:r>
      <w:r w:rsidRPr="008C3534">
        <w:tab/>
      </w:r>
      <w:proofErr w:type="gramStart"/>
      <w:r w:rsidRPr="008C3534">
        <w:t>Эксперт от Европейской комиссии (ЕК) согласился с тем, что механизм сброса газов должен признаваться в качестве устройства безопасности, однако он по-прежнему считает, что в условиях нормальной эксплуатации сброса газов не должно происходить не только из-за высокого уровня токсичности компонентов сбрасываемых газов, но в равной степени и потому, что такой сброс является свидетельством протекания нежелательных термических процессов внутри ПСХЭЭ.</w:t>
      </w:r>
      <w:proofErr w:type="gramEnd"/>
    </w:p>
    <w:p w:rsidR="008C3534" w:rsidRPr="008C3534" w:rsidRDefault="008C3534" w:rsidP="008C3534">
      <w:pPr>
        <w:pStyle w:val="SingleTxt"/>
      </w:pPr>
      <w:r w:rsidRPr="008C3534">
        <w:t>38.</w:t>
      </w:r>
      <w:r w:rsidRPr="008C3534">
        <w:tab/>
        <w:t>По твердому убеждению эксперта от Японии, проблему сброса газов в кач</w:t>
      </w:r>
      <w:r w:rsidRPr="008C3534">
        <w:t>е</w:t>
      </w:r>
      <w:r w:rsidRPr="008C3534">
        <w:t>стве предохранительной функции следует обсуждать отдельно от вопроса то</w:t>
      </w:r>
      <w:r w:rsidRPr="008C3534">
        <w:t>к</w:t>
      </w:r>
      <w:r w:rsidRPr="008C3534">
        <w:t>сичности сбрасываемых газов.</w:t>
      </w:r>
    </w:p>
    <w:p w:rsidR="008C3534" w:rsidRPr="008C3534" w:rsidRDefault="008C3534" w:rsidP="008C3534">
      <w:pPr>
        <w:pStyle w:val="SingleTxt"/>
      </w:pPr>
      <w:r w:rsidRPr="008C3534">
        <w:t>39.</w:t>
      </w:r>
      <w:r w:rsidRPr="008C3534">
        <w:tab/>
        <w:t xml:space="preserve">Эксперты от Соединенных Штатов Америки и ЕС полагали, что </w:t>
      </w:r>
      <w:r w:rsidR="00AC4C22">
        <w:t>вопрос</w:t>
      </w:r>
      <w:r w:rsidR="00AC4C22">
        <w:br/>
      </w:r>
      <w:r w:rsidRPr="008C3534">
        <w:t>о токсичности сбрасываемых газов как о факторе опасности, имеющем отнош</w:t>
      </w:r>
      <w:r w:rsidRPr="008C3534">
        <w:t>е</w:t>
      </w:r>
      <w:r w:rsidRPr="008C3534">
        <w:t>ние к ПСХЭЭ, следует включить в сферу действия ГТП.</w:t>
      </w:r>
    </w:p>
    <w:p w:rsidR="008C3534" w:rsidRPr="008C3534" w:rsidRDefault="008C3534" w:rsidP="008C3534">
      <w:pPr>
        <w:pStyle w:val="SingleTxt"/>
      </w:pPr>
      <w:r w:rsidRPr="008C3534">
        <w:t>40.</w:t>
      </w:r>
      <w:r w:rsidRPr="008C3534">
        <w:tab/>
        <w:t>Было решено, что эта тема будет дополнительно обсуждена в рамках ЦГ3.</w:t>
      </w:r>
    </w:p>
    <w:p w:rsidR="008C3534" w:rsidRPr="008C353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8C353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3534">
        <w:tab/>
        <w:t>VI.</w:t>
      </w:r>
      <w:r w:rsidRPr="008C3534">
        <w:tab/>
        <w:t>Разработка проекта ГТП и график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8C3534" w:rsidRDefault="008C3534" w:rsidP="008C3534">
      <w:pPr>
        <w:pStyle w:val="SingleTxt"/>
      </w:pPr>
      <w:r w:rsidRPr="008C3534">
        <w:t>41.</w:t>
      </w:r>
      <w:r w:rsidRPr="008C3534">
        <w:tab/>
        <w:t>НРГ решила разрабатывать ГТП в два этапа при условии окончательного с</w:t>
      </w:r>
      <w:r w:rsidRPr="008C3534">
        <w:t>о</w:t>
      </w:r>
      <w:r w:rsidRPr="008C3534">
        <w:t>гласия эксперта от Китая.</w:t>
      </w:r>
    </w:p>
    <w:p w:rsidR="008C3534" w:rsidRPr="00921AF4" w:rsidRDefault="008C3534" w:rsidP="008C3534">
      <w:pPr>
        <w:pStyle w:val="SingleTxt"/>
      </w:pPr>
      <w:r w:rsidRPr="008C3534">
        <w:t>42.</w:t>
      </w:r>
      <w:r w:rsidRPr="008C3534">
        <w:tab/>
        <w:t>НРГ обсудила и обновила сводную таблицу по проекту ГТП. Соответств</w:t>
      </w:r>
      <w:r w:rsidRPr="008C3534">
        <w:t>у</w:t>
      </w:r>
      <w:r w:rsidRPr="008C3534">
        <w:t>ющие позиции были распределены между этапами 1 и 2. Группа обсудила также возможную просьбу о продлении мандата НРГ. Такая просьба может быть выск</w:t>
      </w:r>
      <w:r w:rsidRPr="008C3534">
        <w:t>а</w:t>
      </w:r>
      <w:r w:rsidRPr="008C3534">
        <w:t>зана на сессии WP.29 в ноябре 2015 года в зависимости от хода работы НРГ.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8C3534">
        <w:lastRenderedPageBreak/>
        <w:tab/>
        <w:t>VII.</w:t>
      </w:r>
      <w:r w:rsidRPr="008C3534">
        <w:tab/>
        <w:t>Будущие совещания</w:t>
      </w: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921AF4" w:rsidRDefault="008C3534" w:rsidP="008C3534">
      <w:pPr>
        <w:pStyle w:val="SingleTxt"/>
        <w:spacing w:after="0" w:line="120" w:lineRule="exact"/>
        <w:rPr>
          <w:sz w:val="10"/>
        </w:rPr>
      </w:pPr>
    </w:p>
    <w:p w:rsidR="008C3534" w:rsidRPr="008C3534" w:rsidRDefault="008C3534" w:rsidP="008C3534">
      <w:pPr>
        <w:pStyle w:val="SingleTxt"/>
      </w:pPr>
      <w:r w:rsidRPr="00921AF4">
        <w:tab/>
      </w:r>
      <w:r w:rsidRPr="008C3534">
        <w:t>a)</w:t>
      </w:r>
      <w:r w:rsidRPr="008C3534">
        <w:tab/>
        <w:t>Девятое совещание НРГ: 14–18 сентября 2015 года в Китае</w:t>
      </w:r>
      <w:r w:rsidR="00AC4C22">
        <w:t>.</w:t>
      </w:r>
    </w:p>
    <w:p w:rsidR="008C3534" w:rsidRPr="008C3534" w:rsidRDefault="008C3534" w:rsidP="008C3534">
      <w:pPr>
        <w:pStyle w:val="SingleTxt"/>
      </w:pPr>
      <w:r w:rsidRPr="008C3534">
        <w:t>В случае продления мандата:</w:t>
      </w:r>
    </w:p>
    <w:p w:rsidR="008C3534" w:rsidRPr="008C3534" w:rsidRDefault="008C3534" w:rsidP="008C3534">
      <w:pPr>
        <w:pStyle w:val="SingleTxt"/>
      </w:pPr>
      <w:r w:rsidRPr="00921AF4">
        <w:tab/>
      </w:r>
      <w:r w:rsidRPr="008C3534">
        <w:t>b)</w:t>
      </w:r>
      <w:r w:rsidRPr="008C3534">
        <w:tab/>
        <w:t>Десятое совещание НРГ: 29 февраля – 4 марта 2016 года в Японии</w:t>
      </w:r>
      <w:r w:rsidR="00AC4C22">
        <w:t>.</w:t>
      </w:r>
    </w:p>
    <w:p w:rsidR="008C3534" w:rsidRPr="008C3534" w:rsidRDefault="008C3534" w:rsidP="008C3534">
      <w:pPr>
        <w:pStyle w:val="SingleTxt"/>
      </w:pPr>
      <w:r w:rsidRPr="00AC4C22">
        <w:tab/>
      </w:r>
      <w:r w:rsidRPr="008C3534">
        <w:t>c)</w:t>
      </w:r>
      <w:r w:rsidRPr="008C3534">
        <w:tab/>
        <w:t>Одиннадцатое совещание НРГ: июнь 2016 года в Северной Америке</w:t>
      </w:r>
      <w:r w:rsidR="00AC4C22">
        <w:t>.</w:t>
      </w:r>
    </w:p>
    <w:p w:rsidR="001F4F8C" w:rsidRPr="00AC4C22" w:rsidRDefault="008C3534" w:rsidP="008C3534">
      <w:pPr>
        <w:pStyle w:val="SingleTxt"/>
      </w:pPr>
      <w:r w:rsidRPr="00AC4C22">
        <w:tab/>
      </w:r>
      <w:r w:rsidRPr="008C3534">
        <w:t>d)</w:t>
      </w:r>
      <w:r w:rsidRPr="008C3534">
        <w:tab/>
        <w:t>Двенадцатое совещание НРГ: октябрь 2016 года в Европе</w:t>
      </w:r>
      <w:r w:rsidR="00AC4C22">
        <w:t>.</w:t>
      </w:r>
    </w:p>
    <w:p w:rsidR="008C3534" w:rsidRPr="008C3534" w:rsidRDefault="008C3534" w:rsidP="008C3534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8C3534" w:rsidRPr="008C3534" w:rsidSect="001F4F8C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D2" w:rsidRDefault="008D63D2" w:rsidP="008A1A7A">
      <w:pPr>
        <w:spacing w:line="240" w:lineRule="auto"/>
      </w:pPr>
      <w:r>
        <w:separator/>
      </w:r>
    </w:p>
  </w:endnote>
  <w:endnote w:type="continuationSeparator" w:id="0">
    <w:p w:rsidR="008D63D2" w:rsidRDefault="008D63D2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F4F8C" w:rsidTr="001F4F8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F4F8C" w:rsidRPr="001F4F8C" w:rsidRDefault="001F4F8C" w:rsidP="001F4F8C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80B7E">
            <w:rPr>
              <w:noProof/>
            </w:rPr>
            <w:t>6</w:t>
          </w:r>
          <w:r>
            <w:fldChar w:fldCharType="end"/>
          </w:r>
          <w:r>
            <w:t>/</w:t>
          </w:r>
          <w:fldSimple w:instr=" NUMPAGES  \* Arabic  \* MERGEFORMAT ">
            <w:r w:rsidR="00C80B7E">
              <w:rPr>
                <w:noProof/>
              </w:rPr>
              <w:t>6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1F4F8C" w:rsidRPr="001F4F8C" w:rsidRDefault="001F4F8C" w:rsidP="001F4F8C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21AF4">
            <w:rPr>
              <w:b w:val="0"/>
              <w:color w:val="000000"/>
              <w:sz w:val="14"/>
            </w:rPr>
            <w:t>GE.15-14282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1F4F8C" w:rsidRPr="001F4F8C" w:rsidRDefault="001F4F8C" w:rsidP="001F4F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1F4F8C" w:rsidTr="001F4F8C">
      <w:trPr>
        <w:jc w:val="center"/>
      </w:trPr>
      <w:tc>
        <w:tcPr>
          <w:tcW w:w="5126" w:type="dxa"/>
          <w:shd w:val="clear" w:color="auto" w:fill="auto"/>
          <w:vAlign w:val="bottom"/>
        </w:tcPr>
        <w:p w:rsidR="001F4F8C" w:rsidRPr="001F4F8C" w:rsidRDefault="001F4F8C" w:rsidP="001F4F8C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21AF4">
            <w:rPr>
              <w:b w:val="0"/>
              <w:color w:val="000000"/>
              <w:sz w:val="14"/>
            </w:rPr>
            <w:t>GE.15-14282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F4F8C" w:rsidRPr="001F4F8C" w:rsidRDefault="001F4F8C" w:rsidP="001F4F8C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80B7E">
            <w:rPr>
              <w:noProof/>
            </w:rPr>
            <w:t>7</w:t>
          </w:r>
          <w:r>
            <w:fldChar w:fldCharType="end"/>
          </w:r>
          <w:r>
            <w:t>/</w:t>
          </w:r>
          <w:fldSimple w:instr=" NUMPAGES  \* Arabic  \* MERGEFORMAT ">
            <w:r w:rsidR="00C80B7E">
              <w:rPr>
                <w:noProof/>
              </w:rPr>
              <w:t>7</w:t>
            </w:r>
          </w:fldSimple>
        </w:p>
      </w:tc>
    </w:tr>
  </w:tbl>
  <w:p w:rsidR="001F4F8C" w:rsidRPr="001F4F8C" w:rsidRDefault="001F4F8C" w:rsidP="001F4F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1F4F8C" w:rsidTr="001F4F8C">
      <w:tc>
        <w:tcPr>
          <w:tcW w:w="3873" w:type="dxa"/>
        </w:tcPr>
        <w:p w:rsidR="001F4F8C" w:rsidRDefault="001F4F8C" w:rsidP="001F4F8C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54985E1" wp14:editId="60A1E666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10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10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GE.15-14282 (R)</w:t>
          </w:r>
          <w:r>
            <w:rPr>
              <w:color w:val="010000"/>
            </w:rPr>
            <w:t xml:space="preserve">    211015    211015</w:t>
          </w:r>
        </w:p>
        <w:p w:rsidR="001F4F8C" w:rsidRPr="001F4F8C" w:rsidRDefault="001F4F8C" w:rsidP="001F4F8C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*1514282*</w:t>
          </w:r>
        </w:p>
      </w:tc>
      <w:tc>
        <w:tcPr>
          <w:tcW w:w="5127" w:type="dxa"/>
        </w:tcPr>
        <w:p w:rsidR="001F4F8C" w:rsidRDefault="001F4F8C" w:rsidP="001F4F8C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E10B2D8" wp14:editId="21A9CF8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4F8C" w:rsidRPr="001F4F8C" w:rsidRDefault="001F4F8C" w:rsidP="001F4F8C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D2" w:rsidRPr="008C3534" w:rsidRDefault="008C3534" w:rsidP="008C3534">
      <w:pPr>
        <w:pStyle w:val="Footer"/>
        <w:spacing w:after="80"/>
        <w:ind w:left="792"/>
        <w:rPr>
          <w:sz w:val="16"/>
        </w:rPr>
      </w:pPr>
      <w:r w:rsidRPr="008C3534">
        <w:rPr>
          <w:sz w:val="16"/>
        </w:rPr>
        <w:t>__________________</w:t>
      </w:r>
    </w:p>
  </w:footnote>
  <w:footnote w:type="continuationSeparator" w:id="0">
    <w:p w:rsidR="008D63D2" w:rsidRPr="008C3534" w:rsidRDefault="008C3534" w:rsidP="008C3534">
      <w:pPr>
        <w:pStyle w:val="Footer"/>
        <w:spacing w:after="80"/>
        <w:ind w:left="792"/>
        <w:rPr>
          <w:sz w:val="16"/>
        </w:rPr>
      </w:pPr>
      <w:r w:rsidRPr="008C3534">
        <w:rPr>
          <w:sz w:val="16"/>
        </w:rPr>
        <w:t>__________________</w:t>
      </w:r>
    </w:p>
  </w:footnote>
  <w:footnote w:id="1">
    <w:p w:rsidR="008C3534" w:rsidRPr="00A84D55" w:rsidRDefault="008C3534" w:rsidP="008C353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  <w:t>*</w:t>
      </w:r>
      <w:r>
        <w:tab/>
        <w:t>В соответствии с программой работы Комитета по внутреннему транспорту</w:t>
      </w:r>
      <w:r w:rsidRPr="008C3534">
        <w:br/>
      </w:r>
      <w:r>
        <w:t>на 2012−2016 годы (ECE/TRANS/224, пункт 94, и ECE/TRANS/2012/12, подпрограмма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</w:t>
      </w:r>
      <w:r>
        <w:rPr>
          <w:lang w:val="en-US"/>
        </w:rPr>
        <w:br/>
      </w:r>
      <w: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F4F8C" w:rsidTr="001F4F8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F4F8C" w:rsidRPr="001F4F8C" w:rsidRDefault="001F4F8C" w:rsidP="001F4F8C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21AF4">
            <w:rPr>
              <w:b/>
            </w:rPr>
            <w:t>ECE/TRANS/WP.29/2015/107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1F4F8C" w:rsidRDefault="001F4F8C" w:rsidP="001F4F8C">
          <w:pPr>
            <w:pStyle w:val="Header"/>
          </w:pPr>
        </w:p>
      </w:tc>
    </w:tr>
  </w:tbl>
  <w:p w:rsidR="001F4F8C" w:rsidRPr="001F4F8C" w:rsidRDefault="001F4F8C" w:rsidP="001F4F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1F4F8C" w:rsidTr="001F4F8C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1F4F8C" w:rsidRDefault="001F4F8C" w:rsidP="001F4F8C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1F4F8C" w:rsidRPr="001F4F8C" w:rsidRDefault="001F4F8C" w:rsidP="001F4F8C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21AF4">
            <w:rPr>
              <w:b/>
            </w:rPr>
            <w:t>ECE/TRANS/WP.29/2015/107</w:t>
          </w:r>
          <w:r>
            <w:rPr>
              <w:b/>
            </w:rPr>
            <w:fldChar w:fldCharType="end"/>
          </w:r>
        </w:p>
      </w:tc>
    </w:tr>
  </w:tbl>
  <w:p w:rsidR="001F4F8C" w:rsidRPr="001F4F8C" w:rsidRDefault="001F4F8C" w:rsidP="001F4F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1F4F8C" w:rsidTr="001F4F8C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1F4F8C" w:rsidRPr="001F4F8C" w:rsidRDefault="001F4F8C" w:rsidP="001F4F8C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1F4F8C" w:rsidRDefault="001F4F8C" w:rsidP="001F4F8C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1F4F8C" w:rsidRPr="001F4F8C" w:rsidRDefault="001F4F8C" w:rsidP="001F4F8C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/TRANS/WP.29/2015/107</w:t>
          </w:r>
        </w:p>
      </w:tc>
    </w:tr>
    <w:tr w:rsidR="001F4F8C" w:rsidRPr="00921AF4" w:rsidTr="001F4F8C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4F8C" w:rsidRPr="001F4F8C" w:rsidRDefault="001F4F8C" w:rsidP="001F4F8C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250C729E" wp14:editId="6995DCE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4F8C" w:rsidRPr="001F4F8C" w:rsidRDefault="001F4F8C" w:rsidP="001F4F8C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4F8C" w:rsidRPr="001F4F8C" w:rsidRDefault="001F4F8C" w:rsidP="001F4F8C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1F4F8C" w:rsidRPr="008C3534" w:rsidRDefault="001F4F8C" w:rsidP="001F4F8C">
          <w:pPr>
            <w:pStyle w:val="Distribution"/>
            <w:rPr>
              <w:color w:val="000000"/>
              <w:lang w:val="en-US"/>
            </w:rPr>
          </w:pPr>
          <w:r w:rsidRPr="008C3534">
            <w:rPr>
              <w:color w:val="000000"/>
              <w:lang w:val="en-US"/>
            </w:rPr>
            <w:t>Distr.: General</w:t>
          </w:r>
        </w:p>
        <w:p w:rsidR="001F4F8C" w:rsidRPr="008C3534" w:rsidRDefault="001F4F8C" w:rsidP="001F4F8C">
          <w:pPr>
            <w:pStyle w:val="Publication"/>
            <w:rPr>
              <w:color w:val="000000"/>
              <w:lang w:val="en-US"/>
            </w:rPr>
          </w:pPr>
          <w:r w:rsidRPr="008C3534">
            <w:rPr>
              <w:color w:val="000000"/>
              <w:lang w:val="en-US"/>
            </w:rPr>
            <w:t>24 August 2015</w:t>
          </w:r>
        </w:p>
        <w:p w:rsidR="001F4F8C" w:rsidRPr="008C3534" w:rsidRDefault="001F4F8C" w:rsidP="001F4F8C">
          <w:pPr>
            <w:rPr>
              <w:color w:val="000000"/>
              <w:lang w:val="en-US"/>
            </w:rPr>
          </w:pPr>
          <w:r w:rsidRPr="008C3534">
            <w:rPr>
              <w:color w:val="000000"/>
              <w:lang w:val="en-US"/>
            </w:rPr>
            <w:t>Russian</w:t>
          </w:r>
        </w:p>
        <w:p w:rsidR="001F4F8C" w:rsidRPr="008C3534" w:rsidRDefault="001F4F8C" w:rsidP="001F4F8C">
          <w:pPr>
            <w:pStyle w:val="Original"/>
            <w:rPr>
              <w:color w:val="000000"/>
              <w:lang w:val="en-US"/>
            </w:rPr>
          </w:pPr>
          <w:r w:rsidRPr="008C3534">
            <w:rPr>
              <w:color w:val="000000"/>
              <w:lang w:val="en-US"/>
            </w:rPr>
            <w:t>Original: English</w:t>
          </w:r>
        </w:p>
        <w:p w:rsidR="001F4F8C" w:rsidRPr="008C3534" w:rsidRDefault="001F4F8C" w:rsidP="001F4F8C">
          <w:pPr>
            <w:rPr>
              <w:lang w:val="en-US"/>
            </w:rPr>
          </w:pPr>
        </w:p>
      </w:tc>
    </w:tr>
  </w:tbl>
  <w:p w:rsidR="001F4F8C" w:rsidRPr="008C3534" w:rsidRDefault="001F4F8C" w:rsidP="001F4F8C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82*"/>
    <w:docVar w:name="CreationDt" w:val="10/21/2015 3:33: PM"/>
    <w:docVar w:name="DocCategory" w:val="Doc"/>
    <w:docVar w:name="DocType" w:val="Final"/>
    <w:docVar w:name="DutyStation" w:val="Geneva"/>
    <w:docVar w:name="FooterJN" w:val="GE.15-14282"/>
    <w:docVar w:name="jobn" w:val="GE.15-14282 (R)"/>
    <w:docVar w:name="jobnDT" w:val="GE.15-14282 (R)   211015"/>
    <w:docVar w:name="jobnDTDT" w:val="GE.15-14282 (R)   211015   211015"/>
    <w:docVar w:name="JobNo" w:val="GE.1514282R"/>
    <w:docVar w:name="JobNo2" w:val="1519027R"/>
    <w:docVar w:name="LocalDrive" w:val="0"/>
    <w:docVar w:name="OandT" w:val=" "/>
    <w:docVar w:name="PaperSize" w:val="A4"/>
    <w:docVar w:name="sss1" w:val="ECE/TRANS/WP.29/2015/107"/>
    <w:docVar w:name="sss2" w:val="-"/>
    <w:docVar w:name="Symbol1" w:val="ECE/TRANS/WP.29/2015/107"/>
    <w:docVar w:name="Symbol2" w:val="-"/>
  </w:docVars>
  <w:rsids>
    <w:rsidRoot w:val="008D63D2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4F8C"/>
    <w:rsid w:val="001F639D"/>
    <w:rsid w:val="00205101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871D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60A7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2D2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534"/>
    <w:rsid w:val="008C6372"/>
    <w:rsid w:val="008D0CE3"/>
    <w:rsid w:val="008D63D2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1AF4"/>
    <w:rsid w:val="009228D9"/>
    <w:rsid w:val="00930B74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1421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C4C22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0B7E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38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BCD"/>
    <w:rsid w:val="00F33544"/>
    <w:rsid w:val="00F35ACF"/>
    <w:rsid w:val="00F36445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iPriority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F4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F8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F8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F8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3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iPriority="0" w:unhideWhenUsed="0"/>
    <w:lsdException w:name="List Number 2" w:semiHidden="0" w:uiPriority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B01FC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1F4F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F8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F8C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F8C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53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3C37B-7C5E-4D72-855B-D41CA176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Kisseleva</dc:creator>
  <cp:lastModifiedBy>UNECE</cp:lastModifiedBy>
  <cp:revision>2</cp:revision>
  <cp:lastPrinted>2015-10-21T14:49:00Z</cp:lastPrinted>
  <dcterms:created xsi:type="dcterms:W3CDTF">2015-11-09T16:30:00Z</dcterms:created>
  <dcterms:modified xsi:type="dcterms:W3CDTF">2015-11-09T16:30:00Z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1514282R</vt:lpwstr>
  </property>
  <property fmtid="{D5CDD505-2E9C-101B-9397-08002B2CF9AE}" pid="3" name="ODSRefJobNo">
    <vt:lpwstr>1519027R</vt:lpwstr>
  </property>
  <property fmtid="{D5CDD505-2E9C-101B-9397-08002B2CF9AE}" pid="4" name="Symbol1">
    <vt:lpwstr>ECE/TRANS/WP.29/2015/107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24 August 2015</vt:lpwstr>
  </property>
  <property fmtid="{D5CDD505-2E9C-101B-9397-08002B2CF9AE}" pid="12" name="Original">
    <vt:lpwstr>English</vt:lpwstr>
  </property>
  <property fmtid="{D5CDD505-2E9C-101B-9397-08002B2CF9AE}" pid="13" name="Release Date">
    <vt:lpwstr>211015</vt:lpwstr>
  </property>
</Properties>
</file>