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1F08F1" w:rsidRDefault="008E7D1B" w:rsidP="001F08F1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477A9">
                <w:t>TRANS/WP.29/</w:t>
              </w:r>
            </w:fldSimple>
            <w:r w:rsidR="001F08F1">
              <w:rPr>
                <w:lang w:val="en-US"/>
              </w:rPr>
              <w:t>2015/55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5344A1" wp14:editId="3B7CB1C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693DA2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F08F1">
              <w:rPr>
                <w:lang w:val="en-US"/>
              </w:rPr>
              <w:t xml:space="preserve">10 April </w:t>
            </w:r>
            <w:r w:rsidR="009477A9">
              <w:t>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853903" w:rsidRDefault="00853903" w:rsidP="0085390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53903" w:rsidRPr="00D363EE" w:rsidRDefault="00853903" w:rsidP="00853903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853903" w:rsidRPr="00D363EE" w:rsidRDefault="00853903" w:rsidP="00853903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853903" w:rsidRPr="00D363EE" w:rsidRDefault="00853903" w:rsidP="00853903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853903" w:rsidRPr="00D363EE" w:rsidRDefault="00853903" w:rsidP="00853903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853903" w:rsidRPr="00530A5E" w:rsidRDefault="00853903" w:rsidP="00853903">
      <w:r w:rsidRPr="00D363EE">
        <w:t xml:space="preserve">Пункт </w:t>
      </w:r>
      <w:r w:rsidRPr="00D55A7F">
        <w:t>4</w:t>
      </w:r>
      <w:r>
        <w:t>.7.</w:t>
      </w:r>
      <w:r w:rsidR="00E30E1C" w:rsidRPr="00B17D67">
        <w:t xml:space="preserve">1 </w:t>
      </w:r>
      <w:r w:rsidRPr="00D363EE">
        <w:t>предварительной повестки дня</w:t>
      </w:r>
    </w:p>
    <w:p w:rsidR="00853903" w:rsidRPr="008B1EFD" w:rsidRDefault="00853903" w:rsidP="00853903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GRPE</w:t>
      </w:r>
    </w:p>
    <w:p w:rsidR="00853903" w:rsidRPr="000D3BD2" w:rsidRDefault="00853903" w:rsidP="00853903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</w:t>
      </w:r>
      <w:r w:rsidR="00E30E1C">
        <w:t>3</w:t>
      </w:r>
      <w:r>
        <w:t xml:space="preserve"> </w:t>
      </w:r>
      <w:r w:rsidRPr="00703AEC">
        <w:t>к</w:t>
      </w:r>
      <w:r w:rsidR="00E30E1C">
        <w:t xml:space="preserve"> поправкам серии 06</w:t>
      </w:r>
      <w:r>
        <w:t xml:space="preserve"> к Правилам № </w:t>
      </w:r>
      <w:r w:rsidR="00E30E1C">
        <w:t>49</w:t>
      </w:r>
      <w:r>
        <w:t xml:space="preserve"> (выбросы </w:t>
      </w:r>
      <w:r w:rsidR="00E30E1C">
        <w:t xml:space="preserve">из двигателей </w:t>
      </w:r>
      <w:r w:rsidR="005629E7">
        <w:br/>
      </w:r>
      <w:r w:rsidR="00E30E1C">
        <w:t xml:space="preserve">с воспламенением от сжатия и из двигателей </w:t>
      </w:r>
      <w:r w:rsidR="005629E7">
        <w:br/>
      </w:r>
      <w:r w:rsidR="00E30E1C">
        <w:t>с принудительным зажиганием (СНГ и КПГ)</w:t>
      </w:r>
      <w:r>
        <w:t>)</w:t>
      </w:r>
    </w:p>
    <w:p w:rsidR="00853903" w:rsidRPr="00791038" w:rsidRDefault="00853903" w:rsidP="00853903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>Рабочей группой по проблемам энергии и загрязнения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53903" w:rsidRDefault="00853903" w:rsidP="00853903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>принят Рабочей группой по пробл</w:t>
      </w:r>
      <w:r>
        <w:t>е</w:t>
      </w:r>
      <w:r>
        <w:t xml:space="preserve">мам энергии и загрязнения окружающей среды </w:t>
      </w:r>
      <w:r w:rsidRPr="004E6939">
        <w:t>(</w:t>
      </w:r>
      <w:r w:rsidRPr="004E6939">
        <w:rPr>
          <w:lang w:val="en-US"/>
        </w:rPr>
        <w:t>GRPE</w:t>
      </w:r>
      <w:r>
        <w:t>)</w:t>
      </w:r>
      <w:r w:rsidRPr="004E6939">
        <w:t xml:space="preserve"> </w:t>
      </w:r>
      <w:r>
        <w:t>на ее сем</w:t>
      </w:r>
      <w:r w:rsidR="005629E7">
        <w:t>и</w:t>
      </w:r>
      <w:r>
        <w:t>десятой се</w:t>
      </w:r>
      <w:r>
        <w:t>с</w:t>
      </w:r>
      <w:r>
        <w:t xml:space="preserve">сии </w:t>
      </w:r>
      <w:r w:rsidRPr="006D33D9">
        <w:t>(ECE/TRANS/WP.29</w:t>
      </w:r>
      <w:r>
        <w:t>/</w:t>
      </w:r>
      <w:r w:rsidRPr="004E6939">
        <w:rPr>
          <w:lang w:val="en-US"/>
        </w:rPr>
        <w:t>GRPE</w:t>
      </w:r>
      <w:r>
        <w:t>/70</w:t>
      </w:r>
      <w:r w:rsidRPr="006D33D9">
        <w:t xml:space="preserve">, </w:t>
      </w:r>
      <w:r>
        <w:t>пункт </w:t>
      </w:r>
      <w:r w:rsidR="00E30E1C">
        <w:t>21</w:t>
      </w:r>
      <w:r w:rsidRPr="009E491F">
        <w:t>)</w:t>
      </w:r>
      <w:r w:rsidRPr="009E491F">
        <w:rPr>
          <w:lang w:eastAsia="it-IT"/>
        </w:rPr>
        <w:t xml:space="preserve">. </w:t>
      </w:r>
      <w:r w:rsidR="00E30E1C">
        <w:rPr>
          <w:lang w:eastAsia="it-IT"/>
        </w:rPr>
        <w:t xml:space="preserve">В его основу положен документ </w:t>
      </w:r>
      <w:r w:rsidR="00E30E1C" w:rsidRPr="00956349">
        <w:rPr>
          <w:bCs/>
        </w:rPr>
        <w:t>ECE/TRANS/WP.29/GR</w:t>
      </w:r>
      <w:r w:rsidR="00E30E1C">
        <w:rPr>
          <w:bCs/>
        </w:rPr>
        <w:t>PE</w:t>
      </w:r>
      <w:r w:rsidR="00E30E1C" w:rsidRPr="00956349">
        <w:rPr>
          <w:bCs/>
        </w:rPr>
        <w:t>/201</w:t>
      </w:r>
      <w:r w:rsidR="00E30E1C">
        <w:rPr>
          <w:bCs/>
        </w:rPr>
        <w:t>5</w:t>
      </w:r>
      <w:r w:rsidR="00E30E1C" w:rsidRPr="00956349">
        <w:rPr>
          <w:bCs/>
        </w:rPr>
        <w:t>/</w:t>
      </w:r>
      <w:r w:rsidR="00E30E1C">
        <w:rPr>
          <w:bCs/>
        </w:rPr>
        <w:t>3</w:t>
      </w:r>
      <w:r w:rsidR="00BB4C84">
        <w:rPr>
          <w:bCs/>
        </w:rPr>
        <w:t xml:space="preserve"> с поправками, содержащимися в прило</w:t>
      </w:r>
      <w:r w:rsidR="005629E7">
        <w:rPr>
          <w:bCs/>
        </w:rPr>
        <w:t>ж</w:t>
      </w:r>
      <w:r w:rsidR="005629E7">
        <w:rPr>
          <w:bCs/>
        </w:rPr>
        <w:t>е</w:t>
      </w:r>
      <w:r w:rsidR="005629E7">
        <w:rPr>
          <w:bCs/>
        </w:rPr>
        <w:t>нии </w:t>
      </w:r>
      <w:r w:rsidR="00BB4C84">
        <w:rPr>
          <w:bCs/>
        </w:rPr>
        <w:t xml:space="preserve">V к докладу. </w:t>
      </w:r>
      <w:r>
        <w:t>Этот те</w:t>
      </w:r>
      <w:proofErr w:type="gramStart"/>
      <w:r>
        <w:t>кст пр</w:t>
      </w:r>
      <w:proofErr w:type="gramEnd"/>
      <w:r>
        <w:t>едставлен на рассмотрение Всемирному форуму для согласования правил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</w:t>
      </w:r>
      <w:r>
        <w:t>и</w:t>
      </w:r>
      <w:r>
        <w:t>стративному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>
        <w:t xml:space="preserve"> на их сессии в июне 2015 года.</w:t>
      </w:r>
    </w:p>
    <w:p w:rsidR="00853903" w:rsidRDefault="00853903" w:rsidP="00F77538">
      <w:pPr>
        <w:spacing w:before="120"/>
        <w:rPr>
          <w:b/>
          <w:sz w:val="28"/>
          <w:szCs w:val="28"/>
        </w:rPr>
      </w:pPr>
    </w:p>
    <w:p w:rsidR="00853903" w:rsidRPr="00BE39E1" w:rsidRDefault="00BB4C84" w:rsidP="00853903">
      <w:pPr>
        <w:pStyle w:val="SingleTxtGR"/>
        <w:rPr>
          <w:i/>
        </w:rPr>
      </w:pPr>
      <w:r>
        <w:rPr>
          <w:i/>
        </w:rPr>
        <w:br w:type="page"/>
      </w:r>
      <w:r w:rsidR="00853903" w:rsidRPr="00BE39E1">
        <w:rPr>
          <w:i/>
        </w:rPr>
        <w:lastRenderedPageBreak/>
        <w:t xml:space="preserve">Пункт 4.10.8 </w:t>
      </w:r>
      <w:r w:rsidR="00853903" w:rsidRPr="00BE39E1">
        <w:t>изменить следующим образом:</w:t>
      </w:r>
    </w:p>
    <w:p w:rsidR="00853903" w:rsidRPr="00BB4C84" w:rsidRDefault="00853903" w:rsidP="00853903">
      <w:pPr>
        <w:pStyle w:val="SingleTxtGR"/>
        <w:ind w:left="2268" w:hanging="1134"/>
        <w:rPr>
          <w:sz w:val="24"/>
          <w:szCs w:val="24"/>
        </w:rPr>
      </w:pPr>
      <w:r w:rsidRPr="00BB4C84">
        <w:t>"4.10.8</w:t>
      </w:r>
      <w:proofErr w:type="gramStart"/>
      <w:r w:rsidRPr="00BB4C84">
        <w:tab/>
        <w:t>Е</w:t>
      </w:r>
      <w:proofErr w:type="gramEnd"/>
      <w:r w:rsidR="00BB4C84" w:rsidRPr="00BB4C84">
        <w:t>сли до даты, указанной в пункте</w:t>
      </w:r>
      <w:r w:rsidRPr="00BB4C84">
        <w:t xml:space="preserve"> 13.2.3, изготовитель предпочит</w:t>
      </w:r>
      <w:r w:rsidRPr="00BB4C84">
        <w:t>а</w:t>
      </w:r>
      <w:r w:rsidRPr="00BB4C84">
        <w:t>ет вариант новых официальных утверждений типа, он может и</w:t>
      </w:r>
      <w:r w:rsidRPr="00BB4C84">
        <w:t>с</w:t>
      </w:r>
      <w:r w:rsidRPr="00BB4C84">
        <w:t>пользовать для целей контроля дизельного сажевого фильтра (ДСФ) альтернативные положения, изложенные в пункте</w:t>
      </w:r>
      <w:r w:rsidRPr="00BB4C84">
        <w:rPr>
          <w:lang w:val="en-US"/>
        </w:rPr>
        <w:t> </w:t>
      </w:r>
      <w:r w:rsidRPr="00BB4C84">
        <w:t>2.3.2.2 приложения 9А".</w:t>
      </w:r>
    </w:p>
    <w:p w:rsidR="00853903" w:rsidRPr="00BB4C84" w:rsidRDefault="00853903" w:rsidP="00853903">
      <w:pPr>
        <w:pStyle w:val="SingleTxtGR"/>
      </w:pPr>
      <w:r w:rsidRPr="00BB4C84">
        <w:rPr>
          <w:i/>
        </w:rPr>
        <w:t>Пункты 13.2.1−13.3.3</w:t>
      </w:r>
      <w:r w:rsidRPr="00BB4C84">
        <w:t xml:space="preserve"> изменить следующим образом:</w:t>
      </w:r>
    </w:p>
    <w:p w:rsidR="00853903" w:rsidRPr="00BB4C84" w:rsidRDefault="00853903" w:rsidP="00853903">
      <w:pPr>
        <w:pStyle w:val="SingleTxtGR"/>
        <w:ind w:left="2268" w:hanging="1134"/>
      </w:pPr>
      <w:r w:rsidRPr="00BB4C84">
        <w:t>"13.2.1</w:t>
      </w:r>
      <w:proofErr w:type="gramStart"/>
      <w:r w:rsidRPr="00BB4C84">
        <w:tab/>
        <w:t>Н</w:t>
      </w:r>
      <w:proofErr w:type="gramEnd"/>
      <w:r w:rsidRPr="00BB4C84">
        <w:t>ачиная с даты вступления в силу поправок серии 06 к настоящим Правилам Договаривающие стороны, применяющие настоящие Правила, предоставляют официальное утверждение ЕЭК для с</w:t>
      </w:r>
      <w:r w:rsidRPr="00BB4C84">
        <w:t>и</w:t>
      </w:r>
      <w:r w:rsidRPr="00BB4C84">
        <w:t>стемы двигателя или транспортного средства только в том случае, если они отвечают:</w:t>
      </w:r>
    </w:p>
    <w:p w:rsidR="00853903" w:rsidRPr="00BB4C84" w:rsidRDefault="00853903" w:rsidP="00853903">
      <w:pPr>
        <w:pStyle w:val="SingleTxtGR"/>
      </w:pPr>
      <w:r w:rsidRPr="00BB4C84">
        <w:tab/>
      </w:r>
      <w:r w:rsidRPr="00BB4C84">
        <w:tab/>
        <w:t>a)</w:t>
      </w:r>
      <w:r w:rsidRPr="00BB4C84">
        <w:tab/>
        <w:t>требованиям пункта 4.1 настоящих Правил;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b)</w:t>
      </w:r>
      <w:r w:rsidRPr="00BB4C84">
        <w:tab/>
        <w:t xml:space="preserve">требованиям к мониторингу эффективности, содержащимся в пункте 2.3.2.2 приложения 9А, </w:t>
      </w:r>
      <w:r w:rsidRPr="00BB4C84">
        <w:rPr>
          <w:bCs/>
        </w:rPr>
        <w:t>в случае двигателей с воспл</w:t>
      </w:r>
      <w:r w:rsidRPr="00BB4C84">
        <w:rPr>
          <w:bCs/>
        </w:rPr>
        <w:t>а</w:t>
      </w:r>
      <w:r w:rsidRPr="00BB4C84">
        <w:rPr>
          <w:bCs/>
        </w:rPr>
        <w:t xml:space="preserve">менением от сжатия и </w:t>
      </w:r>
      <w:proofErr w:type="spellStart"/>
      <w:r w:rsidRPr="00BB4C84">
        <w:rPr>
          <w:bCs/>
        </w:rPr>
        <w:t>двухтопливных</w:t>
      </w:r>
      <w:proofErr w:type="spellEnd"/>
      <w:r w:rsidRPr="00BB4C84">
        <w:rPr>
          <w:bCs/>
        </w:rPr>
        <w:t xml:space="preserve"> двигателей, а также оснащенных такими двигателями транспортных средств</w:t>
      </w:r>
      <w:r w:rsidRPr="00BB4C84">
        <w:t>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c)</w:t>
      </w:r>
      <w:r w:rsidRPr="00BB4C84">
        <w:tab/>
        <w:t xml:space="preserve">требованиям к мониторингу ПЗБД для </w:t>
      </w:r>
      <w:proofErr w:type="spellStart"/>
      <w:r w:rsidRPr="00BB4C84">
        <w:t>NO</w:t>
      </w:r>
      <w:r w:rsidRPr="00BB4C84">
        <w:rPr>
          <w:vertAlign w:val="subscript"/>
        </w:rPr>
        <w:t>x</w:t>
      </w:r>
      <w:proofErr w:type="spellEnd"/>
      <w:r w:rsidRPr="00BB4C84">
        <w:t>, указанным в строке "период ввода в действие" в таблице 1 прилож</w:t>
      </w:r>
      <w:r w:rsidRPr="00BB4C84">
        <w:t>е</w:t>
      </w:r>
      <w:r w:rsidRPr="00BB4C84">
        <w:t xml:space="preserve">ния 9А, в случае двигателей с воспламенением от сжатия и </w:t>
      </w:r>
      <w:proofErr w:type="spellStart"/>
      <w:r w:rsidRPr="00BB4C84">
        <w:t>двухтопливных</w:t>
      </w:r>
      <w:proofErr w:type="spellEnd"/>
      <w:r w:rsidRPr="00BB4C84">
        <w:t xml:space="preserve"> двигателей, а также оснащенных такими дв</w:t>
      </w:r>
      <w:r w:rsidRPr="00BB4C84">
        <w:t>и</w:t>
      </w:r>
      <w:r w:rsidRPr="00BB4C84">
        <w:t>гателями транспортных средств;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d)</w:t>
      </w:r>
      <w:r w:rsidRPr="00BB4C84">
        <w:tab/>
        <w:t xml:space="preserve">требованиям к мониторингу </w:t>
      </w:r>
      <w:proofErr w:type="spellStart"/>
      <w:r w:rsidRPr="00BB4C84">
        <w:t>NO</w:t>
      </w:r>
      <w:r w:rsidRPr="00BB4C84">
        <w:rPr>
          <w:vertAlign w:val="subscript"/>
        </w:rPr>
        <w:t>x</w:t>
      </w:r>
      <w:proofErr w:type="spellEnd"/>
      <w:r w:rsidRPr="00BB4C84">
        <w:rPr>
          <w:vertAlign w:val="subscript"/>
        </w:rPr>
        <w:t>,</w:t>
      </w:r>
      <w:r w:rsidRPr="00BB4C84">
        <w:t xml:space="preserve"> указанным в строке "пер</w:t>
      </w:r>
      <w:r w:rsidRPr="00BB4C84">
        <w:t>и</w:t>
      </w:r>
      <w:r w:rsidRPr="00BB4C84">
        <w:t xml:space="preserve">од ввода в действие" в таблице 2 приложения 9A, в случае </w:t>
      </w:r>
      <w:r w:rsidRPr="00BB4C84">
        <w:rPr>
          <w:bCs/>
        </w:rPr>
        <w:t>двигателей с принудительным зажиганием</w:t>
      </w:r>
      <w:r w:rsidR="00BB4C84">
        <w:rPr>
          <w:bCs/>
        </w:rPr>
        <w:t>, а также оснаще</w:t>
      </w:r>
      <w:r w:rsidR="00BB4C84">
        <w:rPr>
          <w:bCs/>
        </w:rPr>
        <w:t>н</w:t>
      </w:r>
      <w:r w:rsidR="00BB4C84">
        <w:rPr>
          <w:bCs/>
        </w:rPr>
        <w:t>ных такими двигателями транспортных средств</w:t>
      </w:r>
      <w:r w:rsidRPr="00BB4C84">
        <w:t>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e)</w:t>
      </w:r>
      <w:r w:rsidRPr="00BB4C84">
        <w:tab/>
        <w:t>требованиям к качеству реагента в течение "периода ввода в действие", изложенным в пункт</w:t>
      </w:r>
      <w:r w:rsidRPr="00BB4C84">
        <w:rPr>
          <w:bCs/>
        </w:rPr>
        <w:t>е</w:t>
      </w:r>
      <w:r w:rsidRPr="00BB4C84">
        <w:t xml:space="preserve"> 7.1.1.1 приложения 11.</w:t>
      </w:r>
    </w:p>
    <w:p w:rsidR="00853903" w:rsidRPr="00BB4C84" w:rsidRDefault="00853903" w:rsidP="00853903">
      <w:pPr>
        <w:pStyle w:val="SingleTxtGR"/>
        <w:ind w:left="2268" w:hanging="1134"/>
      </w:pPr>
      <w:r w:rsidRPr="00BB4C84">
        <w:t>13.2.1.1</w:t>
      </w:r>
      <w:proofErr w:type="gramStart"/>
      <w:r w:rsidRPr="00BB4C84">
        <w:tab/>
        <w:t>В</w:t>
      </w:r>
      <w:proofErr w:type="gramEnd"/>
      <w:r w:rsidRPr="00BB4C84">
        <w:t xml:space="preserve"> соответствии с требованиями пункта 6.4.4 приложения 9А изг</w:t>
      </w:r>
      <w:r w:rsidRPr="00BB4C84">
        <w:t>о</w:t>
      </w:r>
      <w:r w:rsidRPr="00BB4C84">
        <w:t>товители освобождаются от обязанности представлять информ</w:t>
      </w:r>
      <w:r w:rsidRPr="00BB4C84">
        <w:t>а</w:t>
      </w:r>
      <w:r w:rsidRPr="00BB4C84">
        <w:t>цию о соответствии БД эксплуатационным требованиям.</w:t>
      </w:r>
    </w:p>
    <w:p w:rsidR="00853903" w:rsidRPr="00BB4C84" w:rsidRDefault="00853903" w:rsidP="00853903">
      <w:pPr>
        <w:pStyle w:val="SingleTxtGR"/>
        <w:ind w:left="2268" w:hanging="1134"/>
      </w:pPr>
      <w:r w:rsidRPr="00BB4C84">
        <w:t>13.2.2</w:t>
      </w:r>
      <w:proofErr w:type="gramStart"/>
      <w:r w:rsidRPr="00BB4C84">
        <w:tab/>
      </w:r>
      <w:r w:rsidRPr="00BB4C84">
        <w:tab/>
      </w:r>
      <w:r w:rsidRPr="00BB4C84">
        <w:rPr>
          <w:bCs/>
        </w:rPr>
        <w:t>В</w:t>
      </w:r>
      <w:proofErr w:type="gramEnd"/>
      <w:r w:rsidRPr="00BB4C84">
        <w:rPr>
          <w:bCs/>
        </w:rPr>
        <w:t xml:space="preserve"> случае двигателей с принудительным зажиганием и оснащенных такими двигателями транспортных средств</w:t>
      </w:r>
      <w:r w:rsidRPr="00BB4C84">
        <w:t xml:space="preserve"> начиная с 1</w:t>
      </w:r>
      <w:r w:rsidRPr="00BB4C84">
        <w:rPr>
          <w:lang w:val="en-US"/>
        </w:rPr>
        <w:t> </w:t>
      </w:r>
      <w:r w:rsidRPr="00BB4C84">
        <w:t>сентября 2014 года Договаривающиеся стороны, применяющие настоящие Правила, предоставляют официальное утверждение для системы двигателя или транспортного средства только в том случае, если они отвечают:</w:t>
      </w:r>
    </w:p>
    <w:p w:rsidR="00853903" w:rsidRPr="00BB4C84" w:rsidRDefault="00853903" w:rsidP="00853903">
      <w:pPr>
        <w:pStyle w:val="SingleTxtGR"/>
      </w:pPr>
      <w:r w:rsidRPr="00BB4C84">
        <w:tab/>
      </w:r>
      <w:r w:rsidRPr="00BB4C84">
        <w:tab/>
        <w:t>a)</w:t>
      </w:r>
      <w:r w:rsidRPr="00BB4C84">
        <w:tab/>
        <w:t>требованиям пункта 4.1 настоящих Правил;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b)</w:t>
      </w:r>
      <w:r w:rsidRPr="00BB4C84">
        <w:tab/>
        <w:t xml:space="preserve">требованиям к мониторингу ПЗБД </w:t>
      </w:r>
      <w:proofErr w:type="spellStart"/>
      <w:r w:rsidRPr="00BB4C84">
        <w:t>NO</w:t>
      </w:r>
      <w:r w:rsidRPr="00BB4C84">
        <w:rPr>
          <w:vertAlign w:val="subscript"/>
        </w:rPr>
        <w:t>x</w:t>
      </w:r>
      <w:proofErr w:type="spellEnd"/>
      <w:r w:rsidRPr="00BB4C84">
        <w:t>, изложенным в строке "период ввода в действие" в таблиц</w:t>
      </w:r>
      <w:r w:rsidRPr="00BB4C84">
        <w:rPr>
          <w:bCs/>
        </w:rPr>
        <w:t>е</w:t>
      </w:r>
      <w:r w:rsidRPr="00BB4C84">
        <w:t xml:space="preserve"> 2 приложения 9A;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c)</w:t>
      </w:r>
      <w:r w:rsidRPr="00BB4C84">
        <w:tab/>
        <w:t xml:space="preserve">требованиям к мониторингу ПЗБД для CO, </w:t>
      </w:r>
      <w:r w:rsidRPr="00BB4C84">
        <w:rPr>
          <w:bCs/>
        </w:rPr>
        <w:t>изложенным в строке "период ввода в действие" в</w:t>
      </w:r>
      <w:r w:rsidR="005629E7">
        <w:t xml:space="preserve"> таблице 2 прилож</w:t>
      </w:r>
      <w:r w:rsidR="005629E7">
        <w:t>е</w:t>
      </w:r>
      <w:r w:rsidR="005629E7">
        <w:t>ния </w:t>
      </w:r>
      <w:r w:rsidRPr="00BB4C84">
        <w:t>9A;</w:t>
      </w:r>
    </w:p>
    <w:p w:rsidR="00853903" w:rsidRPr="00BB4C84" w:rsidRDefault="00853903" w:rsidP="00853903">
      <w:pPr>
        <w:pStyle w:val="SingleTxtGR"/>
        <w:ind w:left="2835" w:hanging="1701"/>
      </w:pPr>
      <w:r w:rsidRPr="00BB4C84">
        <w:tab/>
      </w:r>
      <w:r w:rsidRPr="00BB4C84">
        <w:tab/>
        <w:t>d)</w:t>
      </w:r>
      <w:r w:rsidRPr="00BB4C84">
        <w:tab/>
        <w:t>требованиям к качеству реагента в течение "периода ввода в действие", изложенным в пункт</w:t>
      </w:r>
      <w:r w:rsidRPr="00BB4C84">
        <w:rPr>
          <w:bCs/>
        </w:rPr>
        <w:t>е</w:t>
      </w:r>
      <w:r w:rsidRPr="00BB4C84">
        <w:t xml:space="preserve"> 7.1.1.1 приложения 11.</w:t>
      </w:r>
    </w:p>
    <w:p w:rsidR="00853903" w:rsidRPr="00BB4C84" w:rsidRDefault="00853903" w:rsidP="00853903">
      <w:pPr>
        <w:pStyle w:val="SingleTxtGR"/>
        <w:ind w:left="2268" w:hanging="1134"/>
      </w:pPr>
      <w:r w:rsidRPr="00BB4C84">
        <w:lastRenderedPageBreak/>
        <w:t>13.2.2.1</w:t>
      </w:r>
      <w:r w:rsidRPr="00BB4C84">
        <w:tab/>
        <w:t>Согласно требованиям пункта 6.4.4 приложения 9А изготовители освобождаются от обязанности представлять информацию о соо</w:t>
      </w:r>
      <w:r w:rsidRPr="00BB4C84">
        <w:t>т</w:t>
      </w:r>
      <w:r w:rsidRPr="00BB4C84">
        <w:t>ветствии БД эксплуатационным требованиям.</w:t>
      </w:r>
    </w:p>
    <w:p w:rsidR="00853903" w:rsidRPr="00BB4C84" w:rsidRDefault="00853903" w:rsidP="00853903">
      <w:pPr>
        <w:pStyle w:val="SingleTxtGR"/>
        <w:ind w:left="2268" w:hanging="1134"/>
      </w:pPr>
      <w:r w:rsidRPr="00BB4C84">
        <w:t>13.2.3</w:t>
      </w:r>
      <w:proofErr w:type="gramStart"/>
      <w:r w:rsidRPr="00BB4C84">
        <w:tab/>
      </w:r>
      <w:r w:rsidRPr="00BB4C84">
        <w:tab/>
        <w:t>Н</w:t>
      </w:r>
      <w:proofErr w:type="gramEnd"/>
      <w:r w:rsidRPr="00BB4C84">
        <w:t>ачиная с 31 декабря 2015 года Договаривающиеся стороны, пр</w:t>
      </w:r>
      <w:r w:rsidRPr="00BB4C84">
        <w:t>и</w:t>
      </w:r>
      <w:r w:rsidRPr="00BB4C84">
        <w:t>меняющие настоящие Правила, предоставляют официальное утверждение для системы двигателя или транспортного средства только в том случае, если они отвечают: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a)</w:t>
      </w:r>
      <w:r w:rsidRPr="00BB4C84">
        <w:tab/>
        <w:t>требованиям пункта 4.1 настоящих Правил;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b)</w:t>
      </w:r>
      <w:r w:rsidRPr="00BB4C84">
        <w:tab/>
        <w:t>требованиям к мониторингу ПЗБД для массы ВЧ, изложе</w:t>
      </w:r>
      <w:r w:rsidRPr="00BB4C84">
        <w:t>н</w:t>
      </w:r>
      <w:r w:rsidRPr="00BB4C84">
        <w:t>ным в строке "общие требования" в таблице 1 прилож</w:t>
      </w:r>
      <w:r w:rsidRPr="00BB4C84">
        <w:t>е</w:t>
      </w:r>
      <w:r w:rsidRPr="00BB4C84">
        <w:t xml:space="preserve">ния 9А, </w:t>
      </w:r>
      <w:r w:rsidRPr="00BB4C84">
        <w:rPr>
          <w:bCs/>
        </w:rPr>
        <w:t xml:space="preserve">в случае двигателей с воспламенением от сжатия и </w:t>
      </w:r>
      <w:proofErr w:type="spellStart"/>
      <w:r w:rsidRPr="00BB4C84">
        <w:rPr>
          <w:bCs/>
        </w:rPr>
        <w:t>двухтопливных</w:t>
      </w:r>
      <w:proofErr w:type="spellEnd"/>
      <w:r w:rsidRPr="00BB4C84">
        <w:rPr>
          <w:bCs/>
        </w:rPr>
        <w:t xml:space="preserve"> двигателей, а также оснащенных такими дв</w:t>
      </w:r>
      <w:r w:rsidRPr="00BB4C84">
        <w:rPr>
          <w:bCs/>
        </w:rPr>
        <w:t>и</w:t>
      </w:r>
      <w:r w:rsidRPr="00BB4C84">
        <w:rPr>
          <w:bCs/>
        </w:rPr>
        <w:t>гателями транспортных средств</w:t>
      </w:r>
      <w:r w:rsidRPr="00BB4C84">
        <w:t xml:space="preserve">; 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c)</w:t>
      </w:r>
      <w:r w:rsidRPr="00BB4C84">
        <w:tab/>
        <w:t xml:space="preserve">требованиям к мониторингу ПЗБД для </w:t>
      </w:r>
      <w:proofErr w:type="spellStart"/>
      <w:r w:rsidRPr="00BB4C84">
        <w:t>NO</w:t>
      </w:r>
      <w:r w:rsidRPr="00BB4C84">
        <w:rPr>
          <w:vertAlign w:val="subscript"/>
        </w:rPr>
        <w:t>x</w:t>
      </w:r>
      <w:proofErr w:type="spellEnd"/>
      <w:r w:rsidRPr="00BB4C84">
        <w:t>, изложенным в строке "общие требования" в таблиц</w:t>
      </w:r>
      <w:r w:rsidRPr="00BB4C84">
        <w:rPr>
          <w:bCs/>
        </w:rPr>
        <w:t>е</w:t>
      </w:r>
      <w:r w:rsidRPr="00BB4C84">
        <w:t xml:space="preserve"> 2 приложения 9A, </w:t>
      </w:r>
      <w:r w:rsidRPr="00BB4C84">
        <w:rPr>
          <w:bCs/>
        </w:rPr>
        <w:t xml:space="preserve">в случае двигателей с воспламенением от сжатия и </w:t>
      </w:r>
      <w:proofErr w:type="spellStart"/>
      <w:r w:rsidRPr="00BB4C84">
        <w:rPr>
          <w:bCs/>
        </w:rPr>
        <w:t>двухто</w:t>
      </w:r>
      <w:r w:rsidRPr="00BB4C84">
        <w:rPr>
          <w:bCs/>
        </w:rPr>
        <w:t>п</w:t>
      </w:r>
      <w:r w:rsidRPr="00BB4C84">
        <w:rPr>
          <w:bCs/>
        </w:rPr>
        <w:t>ливных</w:t>
      </w:r>
      <w:proofErr w:type="spellEnd"/>
      <w:r w:rsidRPr="00BB4C84">
        <w:rPr>
          <w:bCs/>
        </w:rPr>
        <w:t xml:space="preserve"> двигателей, а также оснащенных такими двигателями транспортных средств</w:t>
      </w:r>
      <w:r w:rsidRPr="00BB4C84">
        <w:t>;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d)</w:t>
      </w:r>
      <w:r w:rsidRPr="00BB4C84">
        <w:tab/>
        <w:t xml:space="preserve">требованиям к мониторингу ПЗБД для </w:t>
      </w:r>
      <w:proofErr w:type="spellStart"/>
      <w:r w:rsidRPr="00BB4C84">
        <w:t>NO</w:t>
      </w:r>
      <w:r w:rsidRPr="00BB4C84">
        <w:rPr>
          <w:vertAlign w:val="subscript"/>
        </w:rPr>
        <w:t>x</w:t>
      </w:r>
      <w:proofErr w:type="spellEnd"/>
      <w:r w:rsidRPr="00BB4C84">
        <w:t xml:space="preserve"> и CO, изложе</w:t>
      </w:r>
      <w:r w:rsidRPr="00BB4C84">
        <w:t>н</w:t>
      </w:r>
      <w:r w:rsidRPr="00BB4C84">
        <w:t xml:space="preserve">ным в </w:t>
      </w:r>
      <w:r w:rsidRPr="00BB4C84">
        <w:rPr>
          <w:bCs/>
        </w:rPr>
        <w:t>строке "общие требования"</w:t>
      </w:r>
      <w:r w:rsidRPr="00BB4C84">
        <w:t xml:space="preserve"> </w:t>
      </w:r>
      <w:r w:rsidRPr="00BB4C84">
        <w:rPr>
          <w:bCs/>
        </w:rPr>
        <w:t>в</w:t>
      </w:r>
      <w:r w:rsidR="005629E7">
        <w:t xml:space="preserve"> таблице 2 прилож</w:t>
      </w:r>
      <w:r w:rsidR="005629E7">
        <w:t>е</w:t>
      </w:r>
      <w:r w:rsidR="005629E7">
        <w:t>ния </w:t>
      </w:r>
      <w:r w:rsidRPr="00BB4C84">
        <w:t xml:space="preserve">9A, в случае двигателей </w:t>
      </w:r>
      <w:r w:rsidRPr="00BB4C84">
        <w:rPr>
          <w:bCs/>
        </w:rPr>
        <w:t>с принудительным зажиганием и оснащенных такими двигателями транспортных средств</w:t>
      </w:r>
      <w:r w:rsidRPr="00BB4C84">
        <w:t>;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e)</w:t>
      </w:r>
      <w:r w:rsidRPr="00BB4C84">
        <w:tab/>
        <w:t>"общим" требованиям к качеству реагента, изложенным в пункт</w:t>
      </w:r>
      <w:r w:rsidRPr="00BB4C84">
        <w:rPr>
          <w:bCs/>
        </w:rPr>
        <w:t>е</w:t>
      </w:r>
      <w:r w:rsidRPr="00BB4C84">
        <w:t xml:space="preserve"> 7.1.1.1</w:t>
      </w:r>
      <w:r w:rsidR="003B056A">
        <w:t xml:space="preserve"> </w:t>
      </w:r>
      <w:r w:rsidRPr="00BB4C84">
        <w:t>приложения 11;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f)</w:t>
      </w:r>
      <w:r w:rsidRPr="00BB4C84">
        <w:tab/>
        <w:t>требованиям, касающимся плана и применения методов м</w:t>
      </w:r>
      <w:r w:rsidRPr="00BB4C84">
        <w:t>о</w:t>
      </w:r>
      <w:r w:rsidRPr="00BB4C84">
        <w:t>ниторинга в соответствии с пунктами 2.3.1.2 и 2.3.1.2.1 пр</w:t>
      </w:r>
      <w:r w:rsidRPr="00BB4C84">
        <w:t>и</w:t>
      </w:r>
      <w:r w:rsidRPr="00BB4C84">
        <w:t>ложения 9А;</w:t>
      </w:r>
    </w:p>
    <w:p w:rsidR="00853903" w:rsidRPr="00BB4C84" w:rsidRDefault="00853903" w:rsidP="00853903">
      <w:pPr>
        <w:pStyle w:val="SingleTxtGR"/>
        <w:tabs>
          <w:tab w:val="clear" w:pos="1701"/>
        </w:tabs>
        <w:ind w:left="2835" w:hanging="1701"/>
      </w:pPr>
      <w:r w:rsidRPr="00BB4C84">
        <w:tab/>
        <w:t>g)</w:t>
      </w:r>
      <w:r w:rsidRPr="00BB4C84">
        <w:tab/>
        <w:t>требованиям пункта 6.4.1 приложения 9А в отношении пре</w:t>
      </w:r>
      <w:r w:rsidRPr="00BB4C84">
        <w:t>д</w:t>
      </w:r>
      <w:r w:rsidRPr="00BB4C84">
        <w:t>ставления информации о соответствии БД эксплуатационным требованиям.</w:t>
      </w:r>
    </w:p>
    <w:p w:rsidR="00E43346" w:rsidRPr="008C4ED4" w:rsidRDefault="00E43346" w:rsidP="00E43346">
      <w:pPr>
        <w:pStyle w:val="SingleTxtGR"/>
        <w:ind w:left="2268" w:hanging="1134"/>
        <w:rPr>
          <w:bCs/>
        </w:rPr>
      </w:pPr>
      <w:r w:rsidRPr="004E396B">
        <w:t>13.3</w:t>
      </w:r>
      <w:r w:rsidRPr="004E396B">
        <w:tab/>
      </w:r>
      <w:r w:rsidRPr="004E396B">
        <w:tab/>
      </w:r>
      <w:r w:rsidRPr="008C4ED4">
        <w:rPr>
          <w:bCs/>
        </w:rPr>
        <w:t>Принятие уже</w:t>
      </w:r>
      <w:r w:rsidR="008C4ED4">
        <w:rPr>
          <w:bCs/>
        </w:rPr>
        <w:t xml:space="preserve"> предоставленных </w:t>
      </w:r>
      <w:r w:rsidRPr="008C4ED4">
        <w:rPr>
          <w:bCs/>
        </w:rPr>
        <w:t>официальных утверждений типа</w:t>
      </w:r>
    </w:p>
    <w:p w:rsidR="00E43346" w:rsidRPr="008C4ED4" w:rsidRDefault="00E43346" w:rsidP="00E43346">
      <w:pPr>
        <w:pStyle w:val="SingleTxtGR"/>
        <w:ind w:left="2268" w:hanging="1134"/>
      </w:pPr>
      <w:r w:rsidRPr="008C4ED4">
        <w:t>13.3.1</w:t>
      </w:r>
      <w:proofErr w:type="gramStart"/>
      <w:r w:rsidRPr="008C4ED4">
        <w:tab/>
      </w:r>
      <w:r w:rsidRPr="008C4ED4">
        <w:tab/>
        <w:t>Н</w:t>
      </w:r>
      <w:proofErr w:type="gramEnd"/>
      <w:r w:rsidRPr="008C4ED4">
        <w:t xml:space="preserve">ачиная с </w:t>
      </w:r>
      <w:r w:rsidRPr="008C4ED4">
        <w:rPr>
          <w:bCs/>
        </w:rPr>
        <w:t xml:space="preserve">31 декабря 2013 года Договаривающиеся стороны могут отказывать в принятии </w:t>
      </w:r>
      <w:r w:rsidRPr="008C4ED4">
        <w:t>официальных утверждений типа, пред</w:t>
      </w:r>
      <w:r w:rsidRPr="008C4ED4">
        <w:t>о</w:t>
      </w:r>
      <w:r w:rsidRPr="008C4ED4">
        <w:t xml:space="preserve">ставленных на основании настоящих Правил </w:t>
      </w:r>
      <w:r w:rsidRPr="008C4ED4">
        <w:rPr>
          <w:bCs/>
        </w:rPr>
        <w:t>и не отвечающих тр</w:t>
      </w:r>
      <w:r w:rsidRPr="008C4ED4">
        <w:rPr>
          <w:bCs/>
        </w:rPr>
        <w:t>е</w:t>
      </w:r>
      <w:r w:rsidRPr="008C4ED4">
        <w:rPr>
          <w:bCs/>
        </w:rPr>
        <w:t>бованиям пункта 13.2.1 выше</w:t>
      </w:r>
      <w:r w:rsidRPr="008C4ED4">
        <w:t>.</w:t>
      </w:r>
    </w:p>
    <w:p w:rsidR="00E43346" w:rsidRPr="008C4ED4" w:rsidRDefault="00E43346" w:rsidP="00E43346">
      <w:pPr>
        <w:pStyle w:val="SingleTxtGR"/>
        <w:ind w:left="2268" w:hanging="1134"/>
      </w:pPr>
      <w:r w:rsidRPr="008C4ED4">
        <w:t>13.3.2</w:t>
      </w:r>
      <w:proofErr w:type="gramStart"/>
      <w:r w:rsidRPr="008C4ED4">
        <w:tab/>
      </w:r>
      <w:r w:rsidRPr="008C4ED4">
        <w:tab/>
        <w:t>Н</w:t>
      </w:r>
      <w:proofErr w:type="gramEnd"/>
      <w:r w:rsidRPr="008C4ED4">
        <w:t xml:space="preserve">ачиная с 1 сентября 2015 года </w:t>
      </w:r>
      <w:r w:rsidRPr="008C4ED4">
        <w:rPr>
          <w:bCs/>
        </w:rPr>
        <w:t>Договаривающиеся стороны могут отказывать в принятии</w:t>
      </w:r>
      <w:r w:rsidRPr="008C4ED4">
        <w:t xml:space="preserve"> официальных утверждений типа</w:t>
      </w:r>
      <w:r w:rsidRPr="008C4ED4">
        <w:rPr>
          <w:bCs/>
        </w:rPr>
        <w:t xml:space="preserve"> двигателей с принудительным зажиганием и оснащенных такими двигателями транспортных средств</w:t>
      </w:r>
      <w:r w:rsidRPr="008C4ED4">
        <w:t xml:space="preserve">, предоставленных на основании настоящих Правил, которые не отвечают требованиям пункта 13.2.2 </w:t>
      </w:r>
      <w:r w:rsidRPr="008C4ED4">
        <w:rPr>
          <w:bCs/>
        </w:rPr>
        <w:t>выше</w:t>
      </w:r>
      <w:r w:rsidRPr="008C4ED4">
        <w:t>.</w:t>
      </w:r>
    </w:p>
    <w:p w:rsidR="00E43346" w:rsidRPr="008C4ED4" w:rsidRDefault="00E43346" w:rsidP="00E43346">
      <w:pPr>
        <w:pStyle w:val="SingleTxtGR"/>
        <w:ind w:left="2268" w:hanging="1134"/>
      </w:pPr>
      <w:r w:rsidRPr="008C4ED4">
        <w:t>13.3.3</w:t>
      </w:r>
      <w:proofErr w:type="gramStart"/>
      <w:r w:rsidRPr="008C4ED4">
        <w:tab/>
      </w:r>
      <w:r w:rsidRPr="008C4ED4">
        <w:tab/>
        <w:t>Н</w:t>
      </w:r>
      <w:proofErr w:type="gramEnd"/>
      <w:r w:rsidRPr="008C4ED4">
        <w:t xml:space="preserve">ачиная с 31 декабря 2016 года </w:t>
      </w:r>
      <w:r w:rsidRPr="008C4ED4">
        <w:rPr>
          <w:bCs/>
        </w:rPr>
        <w:t>Договаривающиеся стороны могут отказывать в принятии</w:t>
      </w:r>
      <w:r w:rsidRPr="008C4ED4">
        <w:t xml:space="preserve"> официальных утверждений типа, пред</w:t>
      </w:r>
      <w:r w:rsidRPr="008C4ED4">
        <w:t>о</w:t>
      </w:r>
      <w:r w:rsidRPr="008C4ED4">
        <w:t>ставленных на основании настоящих Правил, которые не отвечают требованиям</w:t>
      </w:r>
      <w:r w:rsidR="00A503CC">
        <w:t xml:space="preserve">, упомянутым в </w:t>
      </w:r>
      <w:r w:rsidRPr="008C4ED4">
        <w:t>пункт</w:t>
      </w:r>
      <w:r w:rsidR="00A503CC">
        <w:t>е</w:t>
      </w:r>
      <w:r w:rsidRPr="008C4ED4">
        <w:t xml:space="preserve"> </w:t>
      </w:r>
      <w:r w:rsidRPr="008C4ED4">
        <w:rPr>
          <w:bCs/>
        </w:rPr>
        <w:t xml:space="preserve">13.2.3 </w:t>
      </w:r>
      <w:r w:rsidRPr="008C4ED4">
        <w:t>выше".</w:t>
      </w:r>
    </w:p>
    <w:p w:rsidR="004E3E87" w:rsidRPr="00911CCE" w:rsidRDefault="00E43346" w:rsidP="00A503CC">
      <w:pPr>
        <w:pStyle w:val="SingleTxtGR"/>
        <w:ind w:left="2268" w:hanging="1134"/>
      </w:pPr>
      <w:r w:rsidRPr="004E396B">
        <w:rPr>
          <w:i/>
        </w:rPr>
        <w:t xml:space="preserve">Приложение 1, часть 1, </w:t>
      </w:r>
      <w:r w:rsidRPr="004E396B">
        <w:rPr>
          <w:i/>
          <w:iCs/>
        </w:rPr>
        <w:t>из таблицы</w:t>
      </w:r>
      <w:r w:rsidRPr="004E396B">
        <w:t xml:space="preserve"> исключить пункт 3.2.12.2.8.6</w:t>
      </w:r>
      <w:r>
        <w:t>.</w:t>
      </w:r>
    </w:p>
    <w:p w:rsidR="00A457D7" w:rsidRDefault="00A457D7" w:rsidP="000B66E0">
      <w:pPr>
        <w:pStyle w:val="SingleTxtGR"/>
        <w:sectPr w:rsidR="00A457D7" w:rsidSect="00FB189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A457D7" w:rsidRPr="00541D1B" w:rsidRDefault="00A457D7" w:rsidP="00A457D7">
      <w:pPr>
        <w:pStyle w:val="SingleTxtGR"/>
        <w:ind w:left="252"/>
      </w:pPr>
      <w:r>
        <w:rPr>
          <w:i/>
          <w:iCs/>
        </w:rPr>
        <w:lastRenderedPageBreak/>
        <w:t>П</w:t>
      </w:r>
      <w:r w:rsidRPr="00541D1B">
        <w:rPr>
          <w:i/>
          <w:iCs/>
        </w:rPr>
        <w:t>риложени</w:t>
      </w:r>
      <w:r>
        <w:rPr>
          <w:i/>
          <w:iCs/>
        </w:rPr>
        <w:t>е</w:t>
      </w:r>
      <w:r w:rsidRPr="00541D1B">
        <w:rPr>
          <w:i/>
          <w:iCs/>
        </w:rPr>
        <w:t xml:space="preserve"> 3</w:t>
      </w:r>
      <w:r>
        <w:rPr>
          <w:i/>
          <w:iCs/>
        </w:rPr>
        <w:t>,</w:t>
      </w:r>
      <w:r w:rsidRPr="00541D1B">
        <w:rPr>
          <w:i/>
          <w:iCs/>
        </w:rPr>
        <w:t xml:space="preserve"> таблицу 1 с примечаниями </w:t>
      </w:r>
      <w:r w:rsidRPr="00541D1B">
        <w:t>заменить следующей таблицей:</w:t>
      </w:r>
    </w:p>
    <w:p w:rsidR="00A457D7" w:rsidRPr="00541D1B" w:rsidRDefault="00A457D7" w:rsidP="00A457D7">
      <w:pPr>
        <w:pStyle w:val="H23GR"/>
        <w:ind w:left="252"/>
      </w:pPr>
      <w:r w:rsidRPr="00541D1B">
        <w:rPr>
          <w:b w:val="0"/>
        </w:rPr>
        <w:tab/>
      </w:r>
      <w:r w:rsidRPr="00541D1B">
        <w:rPr>
          <w:b w:val="0"/>
        </w:rPr>
        <w:tab/>
        <w:t>"Таблица 1</w:t>
      </w:r>
      <w:r w:rsidRPr="00541D1B">
        <w:rPr>
          <w:b w:val="0"/>
        </w:rPr>
        <w:br/>
      </w:r>
      <w:r w:rsidRPr="00541D1B">
        <w:t>Буквы, используемые для ссылок на требования к системам БД и СКВ</w:t>
      </w:r>
    </w:p>
    <w:tbl>
      <w:tblPr>
        <w:tblStyle w:val="TabTxt"/>
        <w:tblW w:w="12563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84"/>
        <w:gridCol w:w="2128"/>
        <w:gridCol w:w="1441"/>
        <w:gridCol w:w="1750"/>
        <w:gridCol w:w="994"/>
        <w:gridCol w:w="998"/>
        <w:gridCol w:w="1494"/>
        <w:gridCol w:w="1498"/>
        <w:gridCol w:w="1576"/>
      </w:tblGrid>
      <w:tr w:rsidR="00A457D7" w:rsidRPr="00A503CC" w:rsidTr="003A2B79"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Буква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ПЗБД для NOx</w:t>
            </w:r>
            <w:r w:rsidRPr="005629E7">
              <w:rPr>
                <w:sz w:val="16"/>
                <w:vertAlign w:val="superscript"/>
              </w:rPr>
              <w:t>1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ПЗБД для ВЧ</w:t>
            </w:r>
            <w:proofErr w:type="gramStart"/>
            <w:r w:rsidRPr="005629E7"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ПЗБД для CO</w:t>
            </w:r>
            <w:r w:rsidRPr="005629E7">
              <w:rPr>
                <w:sz w:val="16"/>
                <w:vertAlign w:val="superscript"/>
              </w:rPr>
              <w:t>6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КЭЭ</w:t>
            </w:r>
            <w:r w:rsidRPr="005629E7">
              <w:rPr>
                <w:sz w:val="16"/>
                <w:vertAlign w:val="superscript"/>
              </w:rPr>
              <w:t>13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 xml:space="preserve">Качество реагента 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Дополнительные контрольно-измерительные устройства БД</w:t>
            </w:r>
            <w:r w:rsidRPr="005629E7">
              <w:rPr>
                <w:sz w:val="16"/>
                <w:vertAlign w:val="superscript"/>
              </w:rPr>
              <w:t>12</w:t>
            </w: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457D7" w:rsidRPr="00A503CC" w:rsidRDefault="00A457D7" w:rsidP="003A2B79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 xml:space="preserve">Даты ввода в действие: </w:t>
            </w:r>
            <w:r w:rsidRPr="00A503CC">
              <w:rPr>
                <w:i/>
                <w:sz w:val="16"/>
              </w:rPr>
              <w:br/>
              <w:t>новые типы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A457D7" w:rsidRPr="00A503CC" w:rsidRDefault="00A457D7" w:rsidP="00A503CC">
            <w:pPr>
              <w:spacing w:before="80" w:after="80" w:line="200" w:lineRule="exact"/>
              <w:rPr>
                <w:i/>
                <w:sz w:val="16"/>
              </w:rPr>
            </w:pPr>
            <w:r w:rsidRPr="00A503CC">
              <w:rPr>
                <w:i/>
                <w:sz w:val="16"/>
              </w:rPr>
              <w:t>Дата, начиная с которой Договар</w:t>
            </w:r>
            <w:r w:rsidRPr="00A503CC">
              <w:rPr>
                <w:i/>
                <w:sz w:val="16"/>
              </w:rPr>
              <w:t>и</w:t>
            </w:r>
            <w:r w:rsidRPr="00A503CC">
              <w:rPr>
                <w:i/>
                <w:sz w:val="16"/>
              </w:rPr>
              <w:t>вающиеся стороны могут не прин</w:t>
            </w:r>
            <w:r w:rsidR="00A503CC" w:rsidRPr="00A503CC">
              <w:rPr>
                <w:i/>
                <w:sz w:val="16"/>
              </w:rPr>
              <w:t>и</w:t>
            </w:r>
            <w:r w:rsidR="00A503CC" w:rsidRPr="00A503CC">
              <w:rPr>
                <w:i/>
                <w:sz w:val="16"/>
              </w:rPr>
              <w:t>ма</w:t>
            </w:r>
            <w:r w:rsidRPr="00A503CC">
              <w:rPr>
                <w:i/>
                <w:sz w:val="16"/>
              </w:rPr>
              <w:t>ть официальное утверждение типа</w:t>
            </w:r>
          </w:p>
        </w:tc>
      </w:tr>
      <w:tr w:rsidR="00A457D7" w:rsidRPr="001F13B8" w:rsidTr="003A2B79">
        <w:tc>
          <w:tcPr>
            <w:tcW w:w="684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A</w:t>
            </w:r>
            <w:r w:rsidRPr="001F13B8">
              <w:rPr>
                <w:vertAlign w:val="superscript"/>
              </w:rPr>
              <w:t>9, 10</w:t>
            </w:r>
          </w:p>
          <w:p w:rsidR="00A457D7" w:rsidRPr="001F13B8" w:rsidRDefault="00A457D7" w:rsidP="003A2B79">
            <w:r w:rsidRPr="001F13B8">
              <w:t>B</w:t>
            </w:r>
            <w:r w:rsidRPr="001F13B8">
              <w:rPr>
                <w:vertAlign w:val="superscript"/>
              </w:rPr>
              <w:t>10</w:t>
            </w:r>
            <w:r w:rsidRPr="001F13B8">
              <w:t xml:space="preserve"> 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Строка "период ввода в действие" в табл</w:t>
            </w:r>
            <w:r w:rsidRPr="001F13B8">
              <w:t>и</w:t>
            </w:r>
            <w:r w:rsidRPr="001F13B8">
              <w:t>цах 1 и 2 прилож</w:t>
            </w:r>
            <w:r w:rsidRPr="001F13B8">
              <w:t>е</w:t>
            </w:r>
            <w:r w:rsidRPr="001F13B8">
              <w:t>ния 9A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Мониторинг эффективн</w:t>
            </w:r>
            <w:r w:rsidRPr="001F13B8">
              <w:t>о</w:t>
            </w:r>
            <w:r w:rsidRPr="001F13B8">
              <w:t>сти</w:t>
            </w:r>
            <w:r w:rsidRPr="001F13B8">
              <w:rPr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Неприменимо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Период ввода в действие</w:t>
            </w:r>
            <w:proofErr w:type="gramStart"/>
            <w:r w:rsidRPr="001F13B8">
              <w:rPr>
                <w:vertAlign w:val="superscript"/>
              </w:rPr>
              <w:t>7</w:t>
            </w:r>
            <w:proofErr w:type="gramEnd"/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Период ввода в действие</w:t>
            </w:r>
            <w:proofErr w:type="gramStart"/>
            <w:r w:rsidRPr="001F13B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94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Неприменимо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A457D7" w:rsidRPr="001F13B8" w:rsidRDefault="00A457D7" w:rsidP="003A2B79">
            <w:r w:rsidRPr="001F13B8">
              <w:t>Дата вступл</w:t>
            </w:r>
            <w:r w:rsidRPr="001F13B8">
              <w:t>е</w:t>
            </w:r>
            <w:r w:rsidRPr="001F13B8">
              <w:t>ния в силу п</w:t>
            </w:r>
            <w:r w:rsidRPr="001F13B8">
              <w:t>о</w:t>
            </w:r>
            <w:r w:rsidRPr="001F13B8">
              <w:t>правок серии 06 к Прав</w:t>
            </w:r>
            <w:r w:rsidRPr="001F13B8">
              <w:t>и</w:t>
            </w:r>
            <w:r w:rsidRPr="001F13B8">
              <w:t>лам № 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457D7" w:rsidRPr="001F13B8" w:rsidRDefault="00A457D7" w:rsidP="003A2B79">
            <w:pPr>
              <w:rPr>
                <w:i/>
                <w:vertAlign w:val="superscript"/>
              </w:rPr>
            </w:pPr>
            <w:r w:rsidRPr="001F13B8">
              <w:t>1 сентября 2015 года</w:t>
            </w:r>
            <w:proofErr w:type="gramStart"/>
            <w:r w:rsidRPr="001F13B8">
              <w:rPr>
                <w:vertAlign w:val="superscript"/>
              </w:rPr>
              <w:t>9</w:t>
            </w:r>
            <w:proofErr w:type="gramEnd"/>
          </w:p>
          <w:p w:rsidR="00A457D7" w:rsidRPr="001F13B8" w:rsidRDefault="00A457D7" w:rsidP="003A2B79">
            <w:r w:rsidRPr="001F13B8">
              <w:t>31 декабря 2016 года</w:t>
            </w:r>
            <w:r w:rsidRPr="001F13B8">
              <w:rPr>
                <w:vertAlign w:val="superscript"/>
              </w:rPr>
              <w:t>10</w:t>
            </w:r>
          </w:p>
        </w:tc>
      </w:tr>
      <w:tr w:rsidR="00A457D7" w:rsidRPr="001F13B8" w:rsidTr="003A2B79">
        <w:tc>
          <w:tcPr>
            <w:tcW w:w="684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B</w:t>
            </w:r>
            <w:r w:rsidRPr="001F13B8">
              <w:rPr>
                <w:vertAlign w:val="superscript"/>
              </w:rPr>
              <w:t>11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Строка "период ввода в действие" в табл</w:t>
            </w:r>
            <w:r w:rsidRPr="001F13B8">
              <w:t>и</w:t>
            </w:r>
            <w:r w:rsidRPr="001F13B8">
              <w:t>цах 1 и 2 прилож</w:t>
            </w:r>
            <w:r w:rsidRPr="001F13B8">
              <w:t>е</w:t>
            </w:r>
            <w:r w:rsidRPr="001F13B8">
              <w:t>ния 9A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Неприменимо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Строка "период ввода в действие" в таблице 2 пр</w:t>
            </w:r>
            <w:r w:rsidRPr="001F13B8">
              <w:t>и</w:t>
            </w:r>
            <w:r w:rsidRPr="001F13B8">
              <w:t>ложения 9A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Неприм</w:t>
            </w:r>
            <w:r w:rsidRPr="001F13B8">
              <w:t>е</w:t>
            </w:r>
            <w:r w:rsidRPr="001F13B8">
              <w:t>нимо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Период ввода в действие</w:t>
            </w:r>
            <w:proofErr w:type="gramStart"/>
            <w:r w:rsidRPr="001F13B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Неприменимо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A457D7" w:rsidRPr="001F13B8" w:rsidRDefault="00A457D7" w:rsidP="003A2B79">
            <w:r w:rsidRPr="001F13B8">
              <w:t>1 сентября 2014 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A457D7" w:rsidRPr="001F13B8" w:rsidRDefault="00A457D7" w:rsidP="003A2B79">
            <w:r w:rsidRPr="001F13B8">
              <w:t>31 декабря 2016 года</w:t>
            </w:r>
          </w:p>
        </w:tc>
      </w:tr>
      <w:tr w:rsidR="00A457D7" w:rsidRPr="001F13B8" w:rsidTr="003A2B79">
        <w:trPr>
          <w:trHeight w:val="947"/>
        </w:trPr>
        <w:tc>
          <w:tcPr>
            <w:tcW w:w="684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C</w:t>
            </w: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Строка "общие треб</w:t>
            </w:r>
            <w:r w:rsidRPr="001F13B8">
              <w:t>о</w:t>
            </w:r>
            <w:r w:rsidRPr="001F13B8">
              <w:t>вания" в таблицах 1 и 2 приложения 9A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Строка "общие требования" в таблице 1 приложения 9A</w:t>
            </w: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Строка "общие требования" в таблице 2 пр</w:t>
            </w:r>
            <w:r w:rsidRPr="001F13B8">
              <w:t>и</w:t>
            </w:r>
            <w:r w:rsidRPr="001F13B8">
              <w:t>ложения 9A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Общие требов</w:t>
            </w:r>
            <w:r w:rsidRPr="001F13B8">
              <w:t>а</w:t>
            </w:r>
            <w:r w:rsidRPr="001F13B8">
              <w:t>ния</w:t>
            </w:r>
            <w:r w:rsidRPr="001F13B8">
              <w:rPr>
                <w:vertAlign w:val="superscript"/>
              </w:rPr>
              <w:t>8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Общие требов</w:t>
            </w:r>
            <w:r w:rsidRPr="001F13B8">
              <w:t>а</w:t>
            </w:r>
            <w:r w:rsidRPr="001F13B8">
              <w:t>ния</w:t>
            </w:r>
            <w:r w:rsidRPr="001F13B8">
              <w:rPr>
                <w:i/>
                <w:vertAlign w:val="superscript"/>
              </w:rPr>
              <w:t>5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Да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457D7" w:rsidRPr="001F13B8" w:rsidRDefault="00A457D7" w:rsidP="003A2B79">
            <w:r w:rsidRPr="001F13B8">
              <w:t>31 декабря 2015 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7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457D7" w:rsidRPr="001F13B8" w:rsidRDefault="00A457D7" w:rsidP="003A2B79"/>
        </w:tc>
      </w:tr>
    </w:tbl>
    <w:p w:rsidR="00A457D7" w:rsidRPr="00A503CC" w:rsidRDefault="00A457D7" w:rsidP="00A457D7">
      <w:pPr>
        <w:pStyle w:val="SingleTxtGR"/>
        <w:spacing w:before="120" w:after="0" w:line="220" w:lineRule="exact"/>
        <w:ind w:left="284" w:firstLine="170"/>
        <w:jc w:val="left"/>
        <w:rPr>
          <w:i/>
          <w:sz w:val="18"/>
          <w:szCs w:val="18"/>
        </w:rPr>
      </w:pPr>
      <w:r w:rsidRPr="00A503CC">
        <w:rPr>
          <w:i/>
          <w:sz w:val="18"/>
          <w:szCs w:val="18"/>
        </w:rPr>
        <w:t>Примечания: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1</w:t>
      </w:r>
      <w:r w:rsidRPr="00A503CC">
        <w:rPr>
          <w:sz w:val="18"/>
          <w:szCs w:val="18"/>
        </w:rPr>
        <w:t xml:space="preserve">  Требования к мониторингу "ПЗБД для </w:t>
      </w:r>
      <w:proofErr w:type="spellStart"/>
      <w:r w:rsidRPr="00A503CC">
        <w:rPr>
          <w:sz w:val="18"/>
          <w:szCs w:val="18"/>
        </w:rPr>
        <w:t>NO</w:t>
      </w:r>
      <w:r w:rsidRPr="00A503CC">
        <w:rPr>
          <w:sz w:val="18"/>
          <w:szCs w:val="18"/>
          <w:vertAlign w:val="subscript"/>
        </w:rPr>
        <w:t>x</w:t>
      </w:r>
      <w:proofErr w:type="spellEnd"/>
      <w:r w:rsidRPr="00A503CC">
        <w:rPr>
          <w:sz w:val="18"/>
          <w:szCs w:val="18"/>
        </w:rPr>
        <w:t>", изложенные в таблице 1 приложения 9A для двигателей с воспламенением от сжатия и </w:t>
      </w:r>
      <w:proofErr w:type="spellStart"/>
      <w:r w:rsidRPr="00A503CC">
        <w:rPr>
          <w:sz w:val="18"/>
          <w:szCs w:val="18"/>
        </w:rPr>
        <w:t>двухтопливных</w:t>
      </w:r>
      <w:proofErr w:type="spellEnd"/>
      <w:r w:rsidRPr="00A503CC">
        <w:rPr>
          <w:sz w:val="18"/>
          <w:szCs w:val="18"/>
        </w:rPr>
        <w:t xml:space="preserve"> двигателей, а также оснащенных такими двигателями транспортных средств, и в таблице 2 приложения 9A для двигателей с принудительным зажиг</w:t>
      </w:r>
      <w:r w:rsidRPr="00A503CC">
        <w:rPr>
          <w:sz w:val="18"/>
          <w:szCs w:val="18"/>
        </w:rPr>
        <w:t>а</w:t>
      </w:r>
      <w:r w:rsidRPr="00A503CC">
        <w:rPr>
          <w:sz w:val="18"/>
          <w:szCs w:val="18"/>
        </w:rPr>
        <w:t>нием и оснащенных такими двигателями транспортных средств.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2</w:t>
      </w:r>
      <w:r w:rsidRPr="00A503CC">
        <w:rPr>
          <w:sz w:val="18"/>
          <w:szCs w:val="18"/>
        </w:rPr>
        <w:t xml:space="preserve">  Требования к мониторингу "ПЗБД для ВЧ", изложенные в таблице 1 приложения 9A для двигателей с воспламенением от сжатия и </w:t>
      </w:r>
      <w:proofErr w:type="spellStart"/>
      <w:r w:rsidRPr="00A503CC">
        <w:rPr>
          <w:sz w:val="18"/>
          <w:szCs w:val="18"/>
        </w:rPr>
        <w:t>двухтопливных</w:t>
      </w:r>
      <w:proofErr w:type="spellEnd"/>
      <w:r w:rsidRPr="00A503CC">
        <w:rPr>
          <w:sz w:val="18"/>
          <w:szCs w:val="18"/>
        </w:rPr>
        <w:t xml:space="preserve"> двигателей, а также оснащенных такими двигателями транспортных средств.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3</w:t>
      </w:r>
      <w:r w:rsidRPr="00A503CC">
        <w:rPr>
          <w:sz w:val="18"/>
          <w:szCs w:val="18"/>
        </w:rPr>
        <w:t xml:space="preserve">  Требования к "мониторингу эффективности", изложенные в пункте 2.3.2.2 приложения 9A.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4</w:t>
      </w:r>
      <w:r w:rsidRPr="00A503CC">
        <w:rPr>
          <w:sz w:val="18"/>
          <w:szCs w:val="18"/>
        </w:rPr>
        <w:t xml:space="preserve">  Требования к качеству реагента в "период ввода в действие", изложенные в пункте 7.1.1.1 приложения 11.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5</w:t>
      </w:r>
      <w:r w:rsidRPr="00A503CC">
        <w:rPr>
          <w:sz w:val="18"/>
          <w:szCs w:val="18"/>
        </w:rPr>
        <w:t xml:space="preserve">  "Общие" требования к качеству реагента, изложенные в пункте 7.1.1 приложения 11.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6</w:t>
      </w:r>
      <w:r w:rsidRPr="00A503CC">
        <w:rPr>
          <w:sz w:val="18"/>
          <w:szCs w:val="18"/>
        </w:rPr>
        <w:t xml:space="preserve">  Требования к мониторингу "ПЗБД для CO", изложенные в таблице 2 приложения 9A для двигателей с принудительным зажиганием и оснащенных такими двигателями транспортных средств.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7</w:t>
      </w:r>
      <w:proofErr w:type="gramStart"/>
      <w:r w:rsidRPr="00A503CC">
        <w:rPr>
          <w:sz w:val="18"/>
          <w:szCs w:val="18"/>
        </w:rPr>
        <w:t xml:space="preserve">  З</w:t>
      </w:r>
      <w:proofErr w:type="gramEnd"/>
      <w:r w:rsidRPr="00A503CC">
        <w:rPr>
          <w:sz w:val="18"/>
          <w:szCs w:val="18"/>
        </w:rPr>
        <w:t>а исключением подтверждения, требуемого в соответствии с пунктом 6.4.1 приложения 9A.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8</w:t>
      </w:r>
      <w:proofErr w:type="gramStart"/>
      <w:r w:rsidRPr="00A503CC">
        <w:rPr>
          <w:sz w:val="18"/>
          <w:szCs w:val="18"/>
        </w:rPr>
        <w:t xml:space="preserve">  В</w:t>
      </w:r>
      <w:proofErr w:type="gramEnd"/>
      <w:r w:rsidRPr="00A503CC">
        <w:rPr>
          <w:sz w:val="18"/>
          <w:szCs w:val="18"/>
        </w:rPr>
        <w:t>ключая подтверждение, требуемое в соответствии с пунктом 6.4.1 приложения 9A.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9</w:t>
      </w:r>
      <w:proofErr w:type="gramStart"/>
      <w:r w:rsidRPr="00A503CC">
        <w:rPr>
          <w:sz w:val="18"/>
          <w:szCs w:val="18"/>
        </w:rPr>
        <w:t xml:space="preserve">  Д</w:t>
      </w:r>
      <w:proofErr w:type="gramEnd"/>
      <w:r w:rsidRPr="00A503CC">
        <w:rPr>
          <w:sz w:val="18"/>
          <w:szCs w:val="18"/>
        </w:rPr>
        <w:t>ля двигателей с принудительным зажиганием и оснащенных такими двигателями транспортных средств.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lastRenderedPageBreak/>
        <w:t>10</w:t>
      </w:r>
      <w:proofErr w:type="gramStart"/>
      <w:r w:rsidRPr="00A503CC">
        <w:rPr>
          <w:sz w:val="18"/>
          <w:szCs w:val="18"/>
        </w:rPr>
        <w:t xml:space="preserve">  Д</w:t>
      </w:r>
      <w:proofErr w:type="gramEnd"/>
      <w:r w:rsidRPr="00A503CC">
        <w:rPr>
          <w:sz w:val="18"/>
          <w:szCs w:val="18"/>
        </w:rPr>
        <w:t xml:space="preserve">ля двигателей с воспламенением от сжатия и </w:t>
      </w:r>
      <w:proofErr w:type="spellStart"/>
      <w:r w:rsidRPr="00A503CC">
        <w:rPr>
          <w:sz w:val="18"/>
          <w:szCs w:val="18"/>
        </w:rPr>
        <w:t>двухтопливных</w:t>
      </w:r>
      <w:proofErr w:type="spellEnd"/>
      <w:r w:rsidRPr="00A503CC">
        <w:rPr>
          <w:sz w:val="18"/>
          <w:szCs w:val="18"/>
        </w:rPr>
        <w:t xml:space="preserve"> двигателей, а также оснащенных такими двигателями транспортных средств.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11</w:t>
      </w:r>
      <w:r w:rsidRPr="00A503CC">
        <w:rPr>
          <w:sz w:val="18"/>
          <w:szCs w:val="18"/>
        </w:rPr>
        <w:t xml:space="preserve">  Применимо только к  двигателям с принудительным зажиганием и оснащенным такими двигателями транспортным средствам.</w:t>
      </w:r>
    </w:p>
    <w:p w:rsidR="00A457D7" w:rsidRPr="00A503CC" w:rsidRDefault="00A457D7" w:rsidP="00A457D7">
      <w:pPr>
        <w:pStyle w:val="SingleTxtGR"/>
        <w:spacing w:after="0" w:line="220" w:lineRule="exact"/>
        <w:ind w:left="284" w:right="-31" w:firstLine="170"/>
        <w:jc w:val="left"/>
        <w:rPr>
          <w:sz w:val="18"/>
          <w:szCs w:val="18"/>
        </w:rPr>
      </w:pPr>
      <w:r w:rsidRPr="00A503CC">
        <w:rPr>
          <w:sz w:val="18"/>
          <w:szCs w:val="18"/>
          <w:vertAlign w:val="superscript"/>
        </w:rPr>
        <w:t>12</w:t>
      </w:r>
      <w:r w:rsidRPr="00A503CC">
        <w:rPr>
          <w:sz w:val="18"/>
          <w:szCs w:val="18"/>
        </w:rPr>
        <w:t xml:space="preserve">  "Дополнительные положения, касающиеся требований к мониторингу", изложенные в пункте 2.3.1.2 приложения 9A.</w:t>
      </w:r>
    </w:p>
    <w:p w:rsidR="00A457D7" w:rsidRPr="00A503CC" w:rsidRDefault="00A457D7" w:rsidP="005B381A">
      <w:pPr>
        <w:ind w:left="280" w:firstLine="168"/>
      </w:pPr>
      <w:r w:rsidRPr="00A503CC">
        <w:rPr>
          <w:sz w:val="18"/>
          <w:szCs w:val="18"/>
          <w:vertAlign w:val="superscript"/>
        </w:rPr>
        <w:t>13</w:t>
      </w:r>
      <w:r w:rsidRPr="00A503CC">
        <w:rPr>
          <w:sz w:val="18"/>
          <w:szCs w:val="18"/>
        </w:rPr>
        <w:t xml:space="preserve">  Свойства КЭЭ изложены в приложениях 9A и 9C к настоящим Правилам. КЭЭ не применяется к двигателям с принудительным зажиганием".</w:t>
      </w: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</w:pPr>
    </w:p>
    <w:p w:rsidR="00A457D7" w:rsidRDefault="00A457D7" w:rsidP="000B66E0">
      <w:pPr>
        <w:pStyle w:val="SingleTxtGR"/>
        <w:sectPr w:rsidR="00A457D7" w:rsidSect="00A457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40" w:h="11907" w:orient="landscape" w:code="9"/>
          <w:pgMar w:top="1134" w:right="1701" w:bottom="1134" w:left="2268" w:header="567" w:footer="567" w:gutter="0"/>
          <w:cols w:space="720"/>
          <w:docGrid w:linePitch="360"/>
        </w:sectPr>
      </w:pPr>
    </w:p>
    <w:p w:rsidR="00791F41" w:rsidRPr="00027A29" w:rsidRDefault="00791F41" w:rsidP="00791F41">
      <w:pPr>
        <w:pStyle w:val="SingleTxtGR"/>
        <w:tabs>
          <w:tab w:val="clear" w:pos="1701"/>
        </w:tabs>
        <w:ind w:left="2268" w:hanging="1134"/>
        <w:rPr>
          <w:i/>
        </w:rPr>
      </w:pPr>
      <w:r w:rsidRPr="00027A29">
        <w:rPr>
          <w:i/>
        </w:rPr>
        <w:lastRenderedPageBreak/>
        <w:t>Приложение 9A</w:t>
      </w:r>
    </w:p>
    <w:p w:rsidR="00791F41" w:rsidRPr="00027A29" w:rsidRDefault="00791F41" w:rsidP="00791F41">
      <w:pPr>
        <w:pStyle w:val="SingleTxtGR"/>
        <w:tabs>
          <w:tab w:val="clear" w:pos="1701"/>
        </w:tabs>
        <w:ind w:left="2268" w:hanging="1134"/>
      </w:pPr>
      <w:r w:rsidRPr="00027A29">
        <w:rPr>
          <w:i/>
        </w:rPr>
        <w:t>Пункт 2.2</w:t>
      </w:r>
      <w:r w:rsidRPr="00027A29">
        <w:t xml:space="preserve"> изменить следующим образом: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"2.2</w:t>
      </w:r>
      <w:r w:rsidRPr="00791F41">
        <w:tab/>
      </w:r>
      <w:r w:rsidRPr="00791F41">
        <w:rPr>
          <w:bCs/>
        </w:rPr>
        <w:t>Требования</w:t>
      </w:r>
      <w:r w:rsidRPr="00791F41">
        <w:t xml:space="preserve"> в отношении последовательностей операций и ездовых циклов для гибридных транспортных средств и </w:t>
      </w:r>
      <w:r w:rsidRPr="00791F41">
        <w:rPr>
          <w:bCs/>
        </w:rPr>
        <w:t>транспортных средств, оснащенных системами запуска-остановки двигателя</w:t>
      </w:r>
      <w:r w:rsidRPr="00791F41">
        <w:t>".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rPr>
          <w:i/>
        </w:rPr>
        <w:t>Включить новые пункты 2.2.1−2.2.2.3</w:t>
      </w:r>
      <w:r w:rsidRPr="00791F41">
        <w:t xml:space="preserve"> следующего содержания: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"2.2.1</w:t>
      </w:r>
      <w:r w:rsidRPr="00791F41">
        <w:tab/>
        <w:t xml:space="preserve">Последовательность операций 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2.2.1.1</w:t>
      </w:r>
      <w:proofErr w:type="gramStart"/>
      <w:r w:rsidRPr="00791F41">
        <w:tab/>
        <w:t>Д</w:t>
      </w:r>
      <w:proofErr w:type="gramEnd"/>
      <w:r w:rsidRPr="00791F41">
        <w:t>ля транспортных средств, использующих алгоритмы выключения двигателя, управляемые системой управления двигателем (</w:t>
      </w:r>
      <w:r w:rsidRPr="00791F41">
        <w:rPr>
          <w:bCs/>
        </w:rPr>
        <w:t>напр</w:t>
      </w:r>
      <w:r w:rsidRPr="00791F41">
        <w:rPr>
          <w:bCs/>
        </w:rPr>
        <w:t>и</w:t>
      </w:r>
      <w:r w:rsidRPr="00791F41">
        <w:rPr>
          <w:bCs/>
        </w:rPr>
        <w:t>мер, для гибридного автобуса, оснащенного двигателем, который выключается в холостом режиме</w:t>
      </w:r>
      <w:r w:rsidRPr="00791F41">
        <w:t xml:space="preserve">), </w:t>
      </w:r>
      <w:r w:rsidRPr="00791F41">
        <w:rPr>
          <w:bCs/>
        </w:rPr>
        <w:t>после которого происходит пр</w:t>
      </w:r>
      <w:r w:rsidRPr="00791F41">
        <w:rPr>
          <w:bCs/>
        </w:rPr>
        <w:t>о</w:t>
      </w:r>
      <w:r w:rsidRPr="00791F41">
        <w:rPr>
          <w:bCs/>
        </w:rPr>
        <w:t>ворачивание коленчатого вала двигателя, последовательность оп</w:t>
      </w:r>
      <w:r w:rsidRPr="00791F41">
        <w:rPr>
          <w:bCs/>
        </w:rPr>
        <w:t>е</w:t>
      </w:r>
      <w:r w:rsidRPr="00791F41">
        <w:rPr>
          <w:bCs/>
        </w:rPr>
        <w:t>раций (выключение двигателя − проворачивание коленчатого вала двигателя) считают частью существующей последовательности операций</w:t>
      </w:r>
      <w:r w:rsidRPr="00791F41">
        <w:t xml:space="preserve">. 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2.2.1.2</w:t>
      </w:r>
      <w:r w:rsidRPr="00791F41">
        <w:tab/>
        <w:t>Изготовитель предоставляет описание таких алгоритмов в док</w:t>
      </w:r>
      <w:r w:rsidRPr="00791F41">
        <w:t>у</w:t>
      </w:r>
      <w:r w:rsidRPr="00791F41">
        <w:t>ментации, предусмотренной в пунктах 3.1.3 a) и 3.1.3 b) настоящих Правил.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2.2.1.3</w:t>
      </w:r>
      <w:proofErr w:type="gramStart"/>
      <w:r w:rsidRPr="00791F41">
        <w:tab/>
        <w:t>В</w:t>
      </w:r>
      <w:proofErr w:type="gramEnd"/>
      <w:r w:rsidRPr="00791F41">
        <w:t xml:space="preserve"> случае гибридного транспортного средства последовательность операций начинают в момент запуска двигателя или в момент нач</w:t>
      </w:r>
      <w:r w:rsidRPr="00791F41">
        <w:t>а</w:t>
      </w:r>
      <w:r w:rsidRPr="00791F41">
        <w:t>ла движения транспортного средства, в зависимости от того, что происходит раньше.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2.2.2</w:t>
      </w:r>
      <w:r w:rsidRPr="00791F41">
        <w:tab/>
        <w:t>Ездовой цикл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2.2.2.1</w:t>
      </w:r>
      <w:proofErr w:type="gramStart"/>
      <w:r w:rsidRPr="00791F41">
        <w:tab/>
        <w:t>Д</w:t>
      </w:r>
      <w:proofErr w:type="gramEnd"/>
      <w:r w:rsidRPr="00791F41">
        <w:t>ля транспортных средств, использующих алгоритмы выключения двигателя, управляемые системой управления двигателем (</w:t>
      </w:r>
      <w:r w:rsidRPr="00791F41">
        <w:rPr>
          <w:bCs/>
        </w:rPr>
        <w:t>напр</w:t>
      </w:r>
      <w:r w:rsidRPr="00791F41">
        <w:rPr>
          <w:bCs/>
        </w:rPr>
        <w:t>и</w:t>
      </w:r>
      <w:r w:rsidRPr="00791F41">
        <w:rPr>
          <w:bCs/>
        </w:rPr>
        <w:t>мер, для гибридного автобуса, оснащенного двигателем, который выключается в холостом режиме</w:t>
      </w:r>
      <w:r w:rsidRPr="00791F41">
        <w:t xml:space="preserve">), </w:t>
      </w:r>
      <w:r w:rsidRPr="00791F41">
        <w:rPr>
          <w:bCs/>
        </w:rPr>
        <w:t>после которого происходит пр</w:t>
      </w:r>
      <w:r w:rsidRPr="00791F41">
        <w:rPr>
          <w:bCs/>
        </w:rPr>
        <w:t>о</w:t>
      </w:r>
      <w:r w:rsidRPr="00791F41">
        <w:rPr>
          <w:bCs/>
        </w:rPr>
        <w:t>ворачивание коленчатого вала двигателя, последовательность оп</w:t>
      </w:r>
      <w:r w:rsidRPr="00791F41">
        <w:rPr>
          <w:bCs/>
        </w:rPr>
        <w:t>е</w:t>
      </w:r>
      <w:r w:rsidRPr="00791F41">
        <w:rPr>
          <w:bCs/>
        </w:rPr>
        <w:t>раций (выключение двигателя − проворачивание коленчатого вала двигателя) считают частью существующего ездового цикла</w:t>
      </w:r>
      <w:r w:rsidRPr="00791F41">
        <w:t xml:space="preserve">. 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2.2.2.2</w:t>
      </w:r>
      <w:r w:rsidRPr="00791F41">
        <w:tab/>
        <w:t>Изготовитель предоставляет описание таких алгоритмов в док</w:t>
      </w:r>
      <w:r w:rsidRPr="00791F41">
        <w:t>у</w:t>
      </w:r>
      <w:r w:rsidRPr="00791F41">
        <w:t>ментации, предусмотренной в пунктах 3.1.3 a) и 3.1.3 b) настоящих Правил.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2.2.2.3</w:t>
      </w:r>
      <w:proofErr w:type="gramStart"/>
      <w:r w:rsidRPr="00791F41">
        <w:tab/>
        <w:t>В</w:t>
      </w:r>
      <w:proofErr w:type="gramEnd"/>
      <w:r w:rsidRPr="00791F41">
        <w:t xml:space="preserve"> случае гибридного транспортного средства ездовой цикл нач</w:t>
      </w:r>
      <w:r w:rsidRPr="00791F41">
        <w:t>и</w:t>
      </w:r>
      <w:r w:rsidRPr="00791F41">
        <w:t>нают в момент запуска двигателя или в момент начала движения транспортного средства, в зависимости от того, что происходит раньше".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rPr>
          <w:i/>
        </w:rPr>
        <w:t xml:space="preserve">Пункт 2.3.2.2 </w:t>
      </w:r>
      <w:r w:rsidRPr="00791F41">
        <w:rPr>
          <w:iCs/>
        </w:rPr>
        <w:t>изменить следующим образом</w:t>
      </w:r>
      <w:r w:rsidRPr="00791F41">
        <w:t>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"2.3.2.2</w:t>
      </w:r>
      <w:proofErr w:type="gramStart"/>
      <w:r w:rsidRPr="00791F41">
        <w:tab/>
        <w:t>В</w:t>
      </w:r>
      <w:proofErr w:type="gramEnd"/>
      <w:r w:rsidRPr="00791F41">
        <w:t xml:space="preserve"> случае дизельного сажевого фильтра (ДСФ) закрытого типа </w:t>
      </w:r>
      <w:r w:rsidRPr="00791F41">
        <w:rPr>
          <w:bCs/>
        </w:rPr>
        <w:t xml:space="preserve">до даты, указанной </w:t>
      </w:r>
      <w:r w:rsidRPr="00791F41">
        <w:t>в пункте 13.2.3 настоящих Правил для новых оф</w:t>
      </w:r>
      <w:r w:rsidRPr="00791F41">
        <w:t>и</w:t>
      </w:r>
      <w:r w:rsidRPr="00791F41">
        <w:t>циальных утверждений типа и в пункте 13.3.3 для новых регистр</w:t>
      </w:r>
      <w:r w:rsidRPr="00791F41">
        <w:t>а</w:t>
      </w:r>
      <w:r w:rsidRPr="00791F41">
        <w:t>ций, изготовитель может по своему усмотрению применять треб</w:t>
      </w:r>
      <w:r w:rsidRPr="00791F41">
        <w:t>о</w:t>
      </w:r>
      <w:r w:rsidRPr="00791F41">
        <w:t>вания к мониторингу эффективности, изложенные в добавлении 8 к приложению 9В, вместо требований пункта 2.3.2.1, если он может подтвердить с помощью соответствующей технической документ</w:t>
      </w:r>
      <w:r w:rsidRPr="00791F41">
        <w:t>а</w:t>
      </w:r>
      <w:r w:rsidRPr="00791F41">
        <w:t>ции, что в случае ухудшения существует позитивная корреляция между снижением эффективности фильтрации и падением давл</w:t>
      </w:r>
      <w:r w:rsidRPr="00791F41">
        <w:t>е</w:t>
      </w:r>
      <w:r w:rsidRPr="00791F41">
        <w:lastRenderedPageBreak/>
        <w:t>ния ("давление дельта") в пределах всего ДСФ в условиях работы двигателя, указанных в описании испытания, содержащемся в д</w:t>
      </w:r>
      <w:r w:rsidRPr="00791F41">
        <w:t>о</w:t>
      </w:r>
      <w:r w:rsidRPr="00791F41">
        <w:t>бавлении 8 к приложению 9В".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rPr>
          <w:i/>
        </w:rPr>
        <w:t>Пункт 2.4.1 со сноской</w:t>
      </w:r>
      <w:r w:rsidRPr="00791F41">
        <w:t xml:space="preserve"> изменить следующим образом: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"2.4.1</w:t>
      </w:r>
      <w:proofErr w:type="gramStart"/>
      <w:r w:rsidRPr="00791F41">
        <w:tab/>
      </w:r>
      <w:r w:rsidRPr="00791F41">
        <w:rPr>
          <w:bCs/>
        </w:rPr>
        <w:t>П</w:t>
      </w:r>
      <w:proofErr w:type="gramEnd"/>
      <w:r w:rsidRPr="00791F41">
        <w:rPr>
          <w:bCs/>
        </w:rPr>
        <w:t>о запросу изготовителя для транспортных средств категорий</w:t>
      </w:r>
      <w:r w:rsidRPr="00791F41">
        <w:t xml:space="preserve">  M</w:t>
      </w:r>
      <w:r w:rsidRPr="00791F41">
        <w:rPr>
          <w:vertAlign w:val="subscript"/>
        </w:rPr>
        <w:t>2</w:t>
      </w:r>
      <w:r w:rsidRPr="00791F41">
        <w:t xml:space="preserve"> и N</w:t>
      </w:r>
      <w:r w:rsidRPr="00791F41">
        <w:rPr>
          <w:vertAlign w:val="subscript"/>
        </w:rPr>
        <w:t>1</w:t>
      </w:r>
      <w:r w:rsidRPr="00791F41">
        <w:t xml:space="preserve">, </w:t>
      </w:r>
      <w:r w:rsidRPr="00791F41">
        <w:rPr>
          <w:bCs/>
        </w:rPr>
        <w:t>для транспортных средств категорий</w:t>
      </w:r>
      <w:r w:rsidRPr="00791F41">
        <w:t xml:space="preserve"> M</w:t>
      </w:r>
      <w:r w:rsidRPr="00791F41">
        <w:rPr>
          <w:vertAlign w:val="subscript"/>
        </w:rPr>
        <w:t>1</w:t>
      </w:r>
      <w:r w:rsidRPr="00791F41">
        <w:t xml:space="preserve"> и N</w:t>
      </w:r>
      <w:r w:rsidRPr="00791F41">
        <w:rPr>
          <w:vertAlign w:val="subscript"/>
        </w:rPr>
        <w:t>2</w:t>
      </w:r>
      <w:r w:rsidRPr="00791F41">
        <w:t>, технически д</w:t>
      </w:r>
      <w:r w:rsidRPr="00791F41">
        <w:t>о</w:t>
      </w:r>
      <w:r w:rsidRPr="00791F41">
        <w:t>пустимая максимальная груженая масса ко</w:t>
      </w:r>
      <w:r w:rsidR="009663A9">
        <w:t>торых не превышает 7,5 </w:t>
      </w:r>
      <w:r w:rsidRPr="00791F41">
        <w:t xml:space="preserve">тонны, и </w:t>
      </w:r>
      <w:r w:rsidRPr="00791F41">
        <w:rPr>
          <w:bCs/>
        </w:rPr>
        <w:t xml:space="preserve">для транспортных средств категории </w:t>
      </w:r>
      <w:r w:rsidRPr="00791F41">
        <w:t>M</w:t>
      </w:r>
      <w:r w:rsidRPr="00791F41">
        <w:rPr>
          <w:vertAlign w:val="subscript"/>
        </w:rPr>
        <w:t>3</w:t>
      </w:r>
      <w:r w:rsidRPr="00791F41">
        <w:t xml:space="preserve"> класса I, класса II и классов A и B</w:t>
      </w:r>
      <w:r w:rsidRPr="00791F41">
        <w:rPr>
          <w:vertAlign w:val="superscript"/>
        </w:rPr>
        <w:t>1</w:t>
      </w:r>
      <w:r w:rsidRPr="00791F41">
        <w:t>, допустимая масса которых не превыш</w:t>
      </w:r>
      <w:r w:rsidRPr="00791F41">
        <w:t>а</w:t>
      </w:r>
      <w:r w:rsidRPr="00791F41">
        <w:t>ет 7,5 тонны, соблюдение требований, изложенных в пр</w:t>
      </w:r>
      <w:r w:rsidR="00507250">
        <w:rPr>
          <w:bCs/>
        </w:rPr>
        <w:t>илож</w:t>
      </w:r>
      <w:r w:rsidR="00507250">
        <w:rPr>
          <w:bCs/>
        </w:rPr>
        <w:t>е</w:t>
      </w:r>
      <w:r w:rsidR="00507250">
        <w:rPr>
          <w:bCs/>
        </w:rPr>
        <w:t>нии </w:t>
      </w:r>
      <w:r w:rsidRPr="00791F41">
        <w:rPr>
          <w:bCs/>
        </w:rPr>
        <w:t>11 к поправкам серии</w:t>
      </w:r>
      <w:r w:rsidRPr="00791F41">
        <w:rPr>
          <w:bCs/>
          <w:lang w:val="en-US"/>
        </w:rPr>
        <w:t> </w:t>
      </w:r>
      <w:r w:rsidRPr="00791F41">
        <w:rPr>
          <w:bCs/>
        </w:rPr>
        <w:t>07 к Правилам № 83, считают равн</w:t>
      </w:r>
      <w:r w:rsidRPr="00791F41">
        <w:rPr>
          <w:bCs/>
        </w:rPr>
        <w:t>о</w:t>
      </w:r>
      <w:r w:rsidRPr="00791F41">
        <w:rPr>
          <w:bCs/>
        </w:rPr>
        <w:t>значным соблюдению требований, изложенных в настоящем пр</w:t>
      </w:r>
      <w:r w:rsidRPr="00791F41">
        <w:rPr>
          <w:bCs/>
        </w:rPr>
        <w:t>и</w:t>
      </w:r>
      <w:r w:rsidRPr="00791F41">
        <w:rPr>
          <w:bCs/>
        </w:rPr>
        <w:t>ложении, с учетом следующих эквивалентных соответствий</w:t>
      </w:r>
      <w:r w:rsidRPr="00791F41">
        <w:t>:</w:t>
      </w:r>
    </w:p>
    <w:p w:rsidR="00791F41" w:rsidRPr="00791F41" w:rsidRDefault="00791F41" w:rsidP="00791F41">
      <w:pPr>
        <w:pStyle w:val="SingleTxtGR"/>
        <w:spacing w:line="220" w:lineRule="atLeast"/>
        <w:rPr>
          <w:sz w:val="18"/>
          <w:szCs w:val="18"/>
          <w:u w:val="single"/>
          <w:vertAlign w:val="superscript"/>
        </w:rPr>
      </w:pPr>
      <w:r w:rsidRPr="00791F41">
        <w:rPr>
          <w:sz w:val="18"/>
          <w:szCs w:val="18"/>
          <w:u w:val="single"/>
          <w:vertAlign w:val="superscript"/>
        </w:rPr>
        <w:tab/>
      </w:r>
      <w:r w:rsidRPr="00791F41">
        <w:rPr>
          <w:sz w:val="18"/>
          <w:szCs w:val="18"/>
          <w:u w:val="single"/>
          <w:vertAlign w:val="superscript"/>
        </w:rPr>
        <w:tab/>
      </w:r>
      <w:r w:rsidRPr="00791F41">
        <w:rPr>
          <w:sz w:val="18"/>
          <w:szCs w:val="18"/>
          <w:u w:val="single"/>
          <w:vertAlign w:val="superscript"/>
        </w:rPr>
        <w:tab/>
      </w:r>
    </w:p>
    <w:p w:rsidR="00791F41" w:rsidRPr="00B30E00" w:rsidRDefault="00791F41" w:rsidP="00791F41">
      <w:pPr>
        <w:pStyle w:val="SingleTxtGR"/>
        <w:tabs>
          <w:tab w:val="clear" w:pos="1701"/>
          <w:tab w:val="left" w:pos="1365"/>
        </w:tabs>
        <w:suppressAutoHyphens/>
        <w:spacing w:line="220" w:lineRule="atLeast"/>
        <w:ind w:left="1365" w:hanging="231"/>
        <w:jc w:val="left"/>
        <w:rPr>
          <w:sz w:val="18"/>
          <w:szCs w:val="18"/>
        </w:rPr>
      </w:pPr>
      <w:r w:rsidRPr="00791F41">
        <w:rPr>
          <w:sz w:val="18"/>
          <w:szCs w:val="18"/>
          <w:vertAlign w:val="superscript"/>
        </w:rPr>
        <w:t>1</w:t>
      </w:r>
      <w:proofErr w:type="gramStart"/>
      <w:r w:rsidRPr="00791F41">
        <w:rPr>
          <w:sz w:val="18"/>
          <w:szCs w:val="18"/>
        </w:rPr>
        <w:tab/>
        <w:t>В</w:t>
      </w:r>
      <w:proofErr w:type="gramEnd"/>
      <w:r w:rsidRPr="00791F41">
        <w:rPr>
          <w:sz w:val="18"/>
          <w:szCs w:val="18"/>
        </w:rPr>
        <w:t xml:space="preserve"> соответствии с определениями, содержащимися в Сводной резолюции о конструкции транспортных средств (СР.3), документ ECE/TRANS/WP.29/ 78/Rev.3, </w:t>
      </w:r>
      <w:r w:rsidRPr="00B30E00">
        <w:rPr>
          <w:sz w:val="18"/>
          <w:szCs w:val="18"/>
        </w:rPr>
        <w:t xml:space="preserve">пункт 2 − </w:t>
      </w:r>
      <w:hyperlink r:id="rId20" w:history="1">
        <w:r w:rsidR="009663A9" w:rsidRPr="00B30E00">
          <w:rPr>
            <w:rStyle w:val="Hyperlink"/>
            <w:sz w:val="18"/>
            <w:szCs w:val="18"/>
            <w:u w:val="none"/>
          </w:rPr>
          <w:t>www.unece.org/trans/main/wp29/wp29wgs/wp29gen/wp29resolutions.html</w:t>
        </w:r>
      </w:hyperlink>
      <w:r w:rsidRPr="00B30E00">
        <w:rPr>
          <w:sz w:val="18"/>
          <w:szCs w:val="18"/>
        </w:rPr>
        <w:t>".</w:t>
      </w:r>
    </w:p>
    <w:p w:rsidR="00791F41" w:rsidRPr="00791F41" w:rsidRDefault="00791F41" w:rsidP="00791F41">
      <w:pPr>
        <w:pStyle w:val="SingleTxtGR"/>
        <w:tabs>
          <w:tab w:val="clear" w:pos="1701"/>
        </w:tabs>
        <w:spacing w:before="240"/>
        <w:ind w:left="2268" w:hanging="1134"/>
      </w:pPr>
      <w:r w:rsidRPr="00791F41">
        <w:rPr>
          <w:i/>
        </w:rPr>
        <w:t>Включить новые пункты 2.4.1.1−2.4.1.3.2.2</w:t>
      </w:r>
      <w:r w:rsidRPr="00791F41">
        <w:t xml:space="preserve"> следующего содержания: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"2.4.1.1</w:t>
      </w:r>
      <w:r w:rsidRPr="00791F41">
        <w:tab/>
        <w:t>Стандартные значения в разделе "Временные предельные значения БД" в таблице A11/3 приложения 11 к Правилам № 83 с поправками серии 07 считают эквивалентными значениям под буквой A в та</w:t>
      </w:r>
      <w:r w:rsidRPr="00791F41">
        <w:t>б</w:t>
      </w:r>
      <w:r w:rsidRPr="00791F41">
        <w:t>лице 1 приложения 3 к настоящим Правилам.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2.4.1.2</w:t>
      </w:r>
      <w:r w:rsidRPr="00791F41">
        <w:tab/>
        <w:t>Стандартные значения в разделе "Предварительные предельные значения БД" в таблице A11/2 приложения 11 к Правилам</w:t>
      </w:r>
      <w:r w:rsidRPr="00791F41">
        <w:rPr>
          <w:lang w:val="en-US"/>
        </w:rPr>
        <w:t> </w:t>
      </w:r>
      <w:r w:rsidRPr="00791F41">
        <w:t>№ 83 с поправками серии 07 считают эквивалентными значениям под бу</w:t>
      </w:r>
      <w:r w:rsidRPr="00791F41">
        <w:t>к</w:t>
      </w:r>
      <w:r w:rsidRPr="00791F41">
        <w:t>вой B в таблице 1 приложения 3 к настоящим Правилам.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2.4.1.3</w:t>
      </w:r>
      <w:r w:rsidRPr="00791F41">
        <w:tab/>
        <w:t>Стандартные значения в разделе "Окончательные предельные зн</w:t>
      </w:r>
      <w:r w:rsidRPr="00791F41">
        <w:t>а</w:t>
      </w:r>
      <w:r w:rsidRPr="00791F41">
        <w:t>чения БД" в таблице A11/1 приложения 11 к Правилам № 83 с п</w:t>
      </w:r>
      <w:r w:rsidRPr="00791F41">
        <w:t>о</w:t>
      </w:r>
      <w:r w:rsidRPr="00791F41">
        <w:t>правками серии 07 считают эквивалентными значениям под буквой C в таблице 1 приложения 3 к настоящим Правилам.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2.4.1.3.1</w:t>
      </w:r>
      <w:proofErr w:type="gramStart"/>
      <w:r w:rsidRPr="00791F41">
        <w:tab/>
        <w:t>Е</w:t>
      </w:r>
      <w:proofErr w:type="gramEnd"/>
      <w:r w:rsidRPr="00791F41">
        <w:t>сли используется подобное альтернативное официальное утве</w:t>
      </w:r>
      <w:r w:rsidRPr="00791F41">
        <w:t>р</w:t>
      </w:r>
      <w:r w:rsidRPr="00791F41">
        <w:t>ждение, то касающиеся систем</w:t>
      </w:r>
      <w:r w:rsidR="00B30E00">
        <w:t xml:space="preserve"> БД данные, упомянутые в пун</w:t>
      </w:r>
      <w:r w:rsidR="00B30E00">
        <w:t>к</w:t>
      </w:r>
      <w:r w:rsidR="00B30E00">
        <w:t>те </w:t>
      </w:r>
      <w:r w:rsidRPr="00791F41">
        <w:t>3.2.12.2.7 части 2 приложения 1, заменяют данными, указанными в пункте 3.2.12.2.7 приложения 1 к Правилам № 83 с поправками серии 07.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2.4.1.3.2</w:t>
      </w:r>
      <w:r w:rsidRPr="00791F41">
        <w:tab/>
        <w:t>Эквивалентные соответствия, установленные в пункте 2.4.1, пр</w:t>
      </w:r>
      <w:r w:rsidRPr="00791F41">
        <w:t>и</w:t>
      </w:r>
      <w:r w:rsidRPr="00791F41">
        <w:t>меняют следующим образом:</w:t>
      </w:r>
    </w:p>
    <w:p w:rsidR="00791F41" w:rsidRPr="00791F41" w:rsidRDefault="00791F41" w:rsidP="00791F41">
      <w:pPr>
        <w:pStyle w:val="SingleTxtGR"/>
        <w:keepLines/>
        <w:tabs>
          <w:tab w:val="clear" w:pos="1701"/>
        </w:tabs>
        <w:ind w:left="2268" w:hanging="1134"/>
      </w:pPr>
      <w:r w:rsidRPr="00791F41">
        <w:t>2.4.1.3.2.1</w:t>
      </w:r>
      <w:r w:rsidRPr="00791F41">
        <w:tab/>
        <w:t>применяют ПЗБД и сроки, приведенные в таблице 1 приложения 3 к настоящим Правилам под определенной буквой, в соответствии с которой подается заявка на официальное утверждение;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2.4.1.3.2.2</w:t>
      </w:r>
      <w:r w:rsidRPr="00791F41">
        <w:tab/>
        <w:t>применяют требования в отношении средств ограничения выбр</w:t>
      </w:r>
      <w:r w:rsidRPr="00791F41">
        <w:t>о</w:t>
      </w:r>
      <w:r w:rsidRPr="00791F41">
        <w:t xml:space="preserve">сов </w:t>
      </w:r>
      <w:proofErr w:type="spellStart"/>
      <w:r w:rsidRPr="00791F41">
        <w:t>NO</w:t>
      </w:r>
      <w:r w:rsidRPr="00791F41">
        <w:rPr>
          <w:vertAlign w:val="subscript"/>
        </w:rPr>
        <w:t>x</w:t>
      </w:r>
      <w:proofErr w:type="spellEnd"/>
      <w:r w:rsidRPr="00791F41">
        <w:t>, предусмотренные в пунктах 2.1.2.2.1−2.1.2.2.4 прилож</w:t>
      </w:r>
      <w:r w:rsidRPr="00791F41">
        <w:t>е</w:t>
      </w:r>
      <w:r w:rsidRPr="00791F41">
        <w:t>ния 11".</w:t>
      </w:r>
    </w:p>
    <w:p w:rsidR="00791F41" w:rsidRPr="00791F41" w:rsidRDefault="00791F41" w:rsidP="009663A9">
      <w:pPr>
        <w:pStyle w:val="SingleTxtGR"/>
        <w:pageBreakBefore/>
        <w:tabs>
          <w:tab w:val="clear" w:pos="1701"/>
        </w:tabs>
        <w:ind w:left="2268" w:hanging="1134"/>
      </w:pPr>
      <w:r w:rsidRPr="00791F41">
        <w:rPr>
          <w:i/>
        </w:rPr>
        <w:lastRenderedPageBreak/>
        <w:t>Таблицу 2</w:t>
      </w:r>
      <w:r w:rsidRPr="00791F41">
        <w:t xml:space="preserve"> изменить следующим образом:</w:t>
      </w:r>
    </w:p>
    <w:p w:rsidR="00791F41" w:rsidRPr="00791F41" w:rsidRDefault="00791F41" w:rsidP="00791F41">
      <w:pPr>
        <w:pStyle w:val="SingleTxtGR"/>
        <w:tabs>
          <w:tab w:val="clear" w:pos="1701"/>
        </w:tabs>
        <w:ind w:left="2268" w:hanging="1134"/>
      </w:pPr>
      <w:r w:rsidRPr="00791F41">
        <w:t>"Таблица 2</w:t>
      </w:r>
    </w:p>
    <w:p w:rsidR="00791F41" w:rsidRPr="009663A9" w:rsidRDefault="00791F41" w:rsidP="00791F41">
      <w:pPr>
        <w:pStyle w:val="SingleTxtGR"/>
        <w:tabs>
          <w:tab w:val="clear" w:pos="1701"/>
        </w:tabs>
        <w:ind w:left="2268" w:hanging="1134"/>
        <w:rPr>
          <w:b/>
        </w:rPr>
      </w:pPr>
      <w:bookmarkStart w:id="3" w:name="_Toc339460656"/>
      <w:bookmarkStart w:id="4" w:name="_Toc339542179"/>
      <w:r w:rsidRPr="009663A9">
        <w:rPr>
          <w:b/>
        </w:rPr>
        <w:t xml:space="preserve">ПЗБД </w:t>
      </w:r>
      <w:r w:rsidR="009663A9">
        <w:rPr>
          <w:b/>
        </w:rPr>
        <w:t>(</w:t>
      </w:r>
      <w:r w:rsidRPr="009663A9">
        <w:rPr>
          <w:b/>
        </w:rPr>
        <w:t>двигатели с принудительным зажиганием</w:t>
      </w:r>
      <w:bookmarkEnd w:id="3"/>
      <w:bookmarkEnd w:id="4"/>
      <w:r w:rsidRPr="009663A9">
        <w:rPr>
          <w:b/>
        </w:rPr>
        <w:t>)</w:t>
      </w:r>
    </w:p>
    <w:tbl>
      <w:tblPr>
        <w:tblW w:w="72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917"/>
        <w:gridCol w:w="1923"/>
      </w:tblGrid>
      <w:tr w:rsidR="00791F41" w:rsidRPr="007B6DF6" w:rsidTr="007802A5">
        <w:trPr>
          <w:cantSplit/>
        </w:trPr>
        <w:tc>
          <w:tcPr>
            <w:tcW w:w="3360" w:type="dxa"/>
            <w:vMerge w:val="restart"/>
          </w:tcPr>
          <w:p w:rsidR="00791F41" w:rsidRPr="007B6DF6" w:rsidRDefault="00791F41" w:rsidP="007802A5">
            <w:pPr>
              <w:pStyle w:val="SingleTxtGR"/>
              <w:spacing w:before="60" w:after="60" w:line="220" w:lineRule="atLeast"/>
              <w:ind w:right="0" w:hanging="1134"/>
              <w:rPr>
                <w:i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791F41" w:rsidRPr="007B6DF6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center"/>
              <w:rPr>
                <w:i/>
                <w:sz w:val="16"/>
                <w:szCs w:val="16"/>
              </w:rPr>
            </w:pPr>
            <w:r w:rsidRPr="007B6DF6">
              <w:rPr>
                <w:i/>
                <w:sz w:val="16"/>
                <w:szCs w:val="16"/>
              </w:rPr>
              <w:t>Предельное значение в мг/</w:t>
            </w:r>
            <w:proofErr w:type="spellStart"/>
            <w:r w:rsidRPr="007B6DF6">
              <w:rPr>
                <w:i/>
                <w:sz w:val="16"/>
                <w:szCs w:val="16"/>
              </w:rPr>
              <w:t>кВт·ч</w:t>
            </w:r>
            <w:proofErr w:type="spellEnd"/>
          </w:p>
        </w:tc>
      </w:tr>
      <w:tr w:rsidR="00791F41" w:rsidRPr="009F7652" w:rsidTr="007802A5">
        <w:trPr>
          <w:cantSplit/>
        </w:trPr>
        <w:tc>
          <w:tcPr>
            <w:tcW w:w="3360" w:type="dxa"/>
            <w:vMerge/>
            <w:tcBorders>
              <w:bottom w:val="single" w:sz="12" w:space="0" w:color="auto"/>
            </w:tcBorders>
            <w:vAlign w:val="bottom"/>
          </w:tcPr>
          <w:p w:rsidR="00791F41" w:rsidRPr="009F7652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left"/>
              <w:rPr>
                <w:i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91F41" w:rsidRPr="009F7652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right"/>
              <w:rPr>
                <w:i/>
              </w:rPr>
            </w:pPr>
            <w:proofErr w:type="spellStart"/>
            <w:r w:rsidRPr="009F7652">
              <w:rPr>
                <w:i/>
              </w:rPr>
              <w:t>NO</w:t>
            </w:r>
            <w:r w:rsidRPr="009F7652">
              <w:rPr>
                <w:i/>
                <w:vertAlign w:val="subscript"/>
              </w:rPr>
              <w:t>x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91F41" w:rsidRPr="009663A9" w:rsidRDefault="00791F41" w:rsidP="009663A9">
            <w:pPr>
              <w:pStyle w:val="SingleTxtGR"/>
              <w:spacing w:before="60" w:after="60" w:line="220" w:lineRule="atLeast"/>
              <w:ind w:right="0" w:hanging="1134"/>
              <w:jc w:val="right"/>
            </w:pPr>
            <w:r w:rsidRPr="009F7652">
              <w:rPr>
                <w:i/>
              </w:rPr>
              <w:t>CO</w:t>
            </w:r>
            <w:r w:rsidR="009663A9" w:rsidRPr="009663A9">
              <w:rPr>
                <w:vertAlign w:val="superscript"/>
              </w:rPr>
              <w:t>1</w:t>
            </w:r>
          </w:p>
        </w:tc>
      </w:tr>
      <w:tr w:rsidR="00791F41" w:rsidRPr="00B30E00" w:rsidTr="007802A5">
        <w:trPr>
          <w:cantSplit/>
        </w:trPr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91F41" w:rsidRPr="00B30E00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left"/>
            </w:pPr>
            <w:r w:rsidRPr="00B30E00">
              <w:t>Период ввода в действие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91F41" w:rsidRPr="00B30E00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right"/>
            </w:pPr>
            <w:r w:rsidRPr="00B30E00">
              <w:t>1 500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91F41" w:rsidRPr="00B30E00" w:rsidRDefault="00791F41" w:rsidP="009663A9">
            <w:pPr>
              <w:pStyle w:val="SingleTxtGR"/>
              <w:spacing w:before="60" w:after="60" w:line="220" w:lineRule="atLeast"/>
              <w:ind w:right="0" w:hanging="1134"/>
              <w:jc w:val="right"/>
            </w:pPr>
            <w:r w:rsidRPr="00B30E00">
              <w:t>7 500</w:t>
            </w:r>
          </w:p>
        </w:tc>
      </w:tr>
      <w:tr w:rsidR="00791F41" w:rsidRPr="00B30E00" w:rsidTr="007802A5">
        <w:trPr>
          <w:cantSplit/>
        </w:trPr>
        <w:tc>
          <w:tcPr>
            <w:tcW w:w="3360" w:type="dxa"/>
            <w:tcBorders>
              <w:bottom w:val="single" w:sz="12" w:space="0" w:color="auto"/>
            </w:tcBorders>
            <w:vAlign w:val="bottom"/>
          </w:tcPr>
          <w:p w:rsidR="00791F41" w:rsidRPr="00B30E00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left"/>
            </w:pPr>
            <w:r w:rsidRPr="00B30E00">
              <w:t>Общие требования</w:t>
            </w:r>
          </w:p>
        </w:tc>
        <w:tc>
          <w:tcPr>
            <w:tcW w:w="1917" w:type="dxa"/>
            <w:tcBorders>
              <w:bottom w:val="single" w:sz="12" w:space="0" w:color="auto"/>
            </w:tcBorders>
            <w:vAlign w:val="bottom"/>
          </w:tcPr>
          <w:p w:rsidR="00791F41" w:rsidRPr="00B30E00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right"/>
            </w:pPr>
            <w:r w:rsidRPr="00B30E00">
              <w:t>1 200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bottom"/>
          </w:tcPr>
          <w:p w:rsidR="00791F41" w:rsidRPr="00B30E00" w:rsidRDefault="00791F41" w:rsidP="007802A5">
            <w:pPr>
              <w:pStyle w:val="SingleTxtGR"/>
              <w:spacing w:before="60" w:after="60" w:line="220" w:lineRule="atLeast"/>
              <w:ind w:right="0" w:hanging="1134"/>
              <w:jc w:val="right"/>
            </w:pPr>
            <w:r w:rsidRPr="00B30E00">
              <w:t>7 500</w:t>
            </w:r>
          </w:p>
        </w:tc>
      </w:tr>
    </w:tbl>
    <w:p w:rsidR="00791F41" w:rsidRPr="009663A9" w:rsidRDefault="00791F41" w:rsidP="00791F41">
      <w:pPr>
        <w:pStyle w:val="SingleTxtGR"/>
        <w:tabs>
          <w:tab w:val="clear" w:pos="1701"/>
          <w:tab w:val="left" w:pos="1470"/>
        </w:tabs>
        <w:suppressAutoHyphens/>
        <w:spacing w:before="120"/>
        <w:ind w:left="1469" w:hanging="210"/>
        <w:jc w:val="left"/>
        <w:rPr>
          <w:sz w:val="18"/>
          <w:szCs w:val="18"/>
        </w:rPr>
      </w:pPr>
      <w:proofErr w:type="gramStart"/>
      <w:r w:rsidRPr="009663A9">
        <w:rPr>
          <w:sz w:val="18"/>
          <w:szCs w:val="18"/>
          <w:vertAlign w:val="superscript"/>
        </w:rPr>
        <w:t>1</w:t>
      </w:r>
      <w:r w:rsidRPr="009663A9">
        <w:rPr>
          <w:sz w:val="18"/>
          <w:szCs w:val="18"/>
        </w:rPr>
        <w:tab/>
      </w:r>
      <w:r w:rsidR="009663A9">
        <w:rPr>
          <w:sz w:val="18"/>
          <w:szCs w:val="18"/>
        </w:rPr>
        <w:t xml:space="preserve">Переходные положения, касающиеся введения ПЗБД для СО, содержатся </w:t>
      </w:r>
      <w:r w:rsidRPr="009663A9">
        <w:rPr>
          <w:bCs/>
          <w:sz w:val="18"/>
          <w:szCs w:val="18"/>
        </w:rPr>
        <w:t>в пунктах</w:t>
      </w:r>
      <w:r w:rsidR="009663A9">
        <w:rPr>
          <w:bCs/>
          <w:sz w:val="18"/>
          <w:szCs w:val="18"/>
        </w:rPr>
        <w:t> </w:t>
      </w:r>
      <w:r w:rsidRPr="009663A9">
        <w:rPr>
          <w:bCs/>
          <w:sz w:val="18"/>
          <w:szCs w:val="18"/>
        </w:rPr>
        <w:t>13.2.2 и 13.3.2 настоящих Правил</w:t>
      </w:r>
      <w:r w:rsidRPr="009663A9">
        <w:rPr>
          <w:bCs/>
        </w:rPr>
        <w:t>".</w:t>
      </w:r>
      <w:proofErr w:type="gramEnd"/>
    </w:p>
    <w:p w:rsidR="00791F41" w:rsidRPr="009663A9" w:rsidRDefault="00791F41" w:rsidP="00791F41">
      <w:pPr>
        <w:pStyle w:val="H4GR"/>
        <w:spacing w:before="240"/>
      </w:pPr>
      <w:r w:rsidRPr="009663A9">
        <w:tab/>
      </w:r>
      <w:r w:rsidRPr="009663A9">
        <w:tab/>
        <w:t>Приложение 9B</w:t>
      </w:r>
    </w:p>
    <w:p w:rsidR="00791F41" w:rsidRPr="009663A9" w:rsidRDefault="00791F41" w:rsidP="00791F41">
      <w:r w:rsidRPr="009663A9">
        <w:tab/>
      </w:r>
      <w:r w:rsidRPr="009663A9">
        <w:tab/>
      </w:r>
      <w:r w:rsidRPr="009663A9">
        <w:rPr>
          <w:i/>
        </w:rPr>
        <w:t xml:space="preserve">Пункт 3.5 </w:t>
      </w:r>
      <w:r w:rsidRPr="009663A9">
        <w:t>изменить следующим образом:</w:t>
      </w:r>
    </w:p>
    <w:p w:rsidR="00791F41" w:rsidRPr="009663A9" w:rsidRDefault="00791F41" w:rsidP="00791F41">
      <w:pPr>
        <w:pStyle w:val="SingleTxtGR"/>
        <w:spacing w:before="120"/>
        <w:ind w:left="2268" w:hanging="1134"/>
        <w:rPr>
          <w:u w:val="single"/>
        </w:rPr>
      </w:pPr>
      <w:proofErr w:type="gramStart"/>
      <w:r w:rsidRPr="009663A9">
        <w:t>"3.5</w:t>
      </w:r>
      <w:r w:rsidRPr="009663A9">
        <w:tab/>
      </w:r>
      <w:r w:rsidRPr="009663A9">
        <w:tab/>
        <w:t>"</w:t>
      </w:r>
      <w:r w:rsidRPr="009663A9">
        <w:rPr>
          <w:i/>
        </w:rPr>
        <w:t>Режим постоянной работы ИС</w:t>
      </w:r>
      <w:r w:rsidRPr="009663A9">
        <w:t>" означает непрерывное функци</w:t>
      </w:r>
      <w:r w:rsidRPr="009663A9">
        <w:t>о</w:t>
      </w:r>
      <w:r w:rsidRPr="009663A9">
        <w:t xml:space="preserve">нирование индикатора сбоев, последовательно указывающего сбои </w:t>
      </w:r>
      <w:r w:rsidRPr="009663A9">
        <w:rPr>
          <w:bCs/>
        </w:rPr>
        <w:t xml:space="preserve">с момента поворота ключа в замке зажигания в рабочее положение и запуска двигателя </w:t>
      </w:r>
      <w:r w:rsidRPr="009663A9">
        <w:t xml:space="preserve">(при включенном зажигании и работающем двигателе) </w:t>
      </w:r>
      <w:r w:rsidRPr="009663A9">
        <w:rPr>
          <w:bCs/>
        </w:rPr>
        <w:t>или начала движения транспортного средства</w:t>
      </w:r>
      <w:r w:rsidRPr="009663A9">
        <w:t>, в завис</w:t>
      </w:r>
      <w:r w:rsidRPr="009663A9">
        <w:t>и</w:t>
      </w:r>
      <w:r w:rsidRPr="009663A9">
        <w:t xml:space="preserve">мости от того, что происходит раньше, и гаснущего </w:t>
      </w:r>
      <w:r w:rsidRPr="009663A9">
        <w:rPr>
          <w:bCs/>
        </w:rPr>
        <w:t>пр</w:t>
      </w:r>
      <w:r w:rsidRPr="009663A9">
        <w:t>и повороте ключа в нерабочее положение".</w:t>
      </w:r>
      <w:proofErr w:type="gramEnd"/>
    </w:p>
    <w:p w:rsidR="00791F41" w:rsidRPr="009663A9" w:rsidRDefault="00791F41" w:rsidP="00791F41">
      <w:r w:rsidRPr="009663A9">
        <w:tab/>
      </w:r>
      <w:r w:rsidRPr="009663A9">
        <w:tab/>
      </w:r>
      <w:r w:rsidRPr="009663A9">
        <w:rPr>
          <w:i/>
        </w:rPr>
        <w:t>Пункт 3.22</w:t>
      </w:r>
      <w:r w:rsidRPr="009663A9">
        <w:t xml:space="preserve"> изменить следующим образом:</w:t>
      </w:r>
    </w:p>
    <w:p w:rsidR="00791F41" w:rsidRPr="009663A9" w:rsidRDefault="00791F41" w:rsidP="00791F41">
      <w:pPr>
        <w:pStyle w:val="SingleTxtGR"/>
        <w:spacing w:before="120"/>
        <w:ind w:left="2268" w:hanging="1134"/>
      </w:pPr>
      <w:proofErr w:type="gramStart"/>
      <w:r w:rsidRPr="009663A9">
        <w:t>"3.22</w:t>
      </w:r>
      <w:r w:rsidRPr="009663A9">
        <w:tab/>
      </w:r>
      <w:r w:rsidRPr="009663A9">
        <w:tab/>
        <w:t>"</w:t>
      </w:r>
      <w:r w:rsidRPr="009663A9">
        <w:rPr>
          <w:i/>
        </w:rPr>
        <w:t>Режим временной работы ИС</w:t>
      </w:r>
      <w:r w:rsidRPr="009663A9">
        <w:t xml:space="preserve">" означает работу индикатора сбоев, последовательно указывающего сбои </w:t>
      </w:r>
      <w:r w:rsidRPr="009663A9">
        <w:rPr>
          <w:bCs/>
        </w:rPr>
        <w:t>в течение 15 секунд</w:t>
      </w:r>
      <w:r w:rsidRPr="009663A9">
        <w:t xml:space="preserve"> с моме</w:t>
      </w:r>
      <w:r w:rsidRPr="009663A9">
        <w:t>н</w:t>
      </w:r>
      <w:r w:rsidRPr="009663A9">
        <w:t>та поворота ключа в замке зажигания в рабочее положение и запу</w:t>
      </w:r>
      <w:r w:rsidRPr="009663A9">
        <w:t>с</w:t>
      </w:r>
      <w:r w:rsidRPr="009663A9">
        <w:t xml:space="preserve">ка двигателя (при включенном зажигании и работающем двигателе) </w:t>
      </w:r>
      <w:r w:rsidRPr="009663A9">
        <w:rPr>
          <w:bCs/>
        </w:rPr>
        <w:t>или начала движения транспортного средства</w:t>
      </w:r>
      <w:r w:rsidRPr="009663A9">
        <w:t xml:space="preserve">, и гаснущего </w:t>
      </w:r>
      <w:r w:rsidRPr="009663A9">
        <w:rPr>
          <w:bCs/>
        </w:rPr>
        <w:t xml:space="preserve">либо </w:t>
      </w:r>
      <w:r w:rsidRPr="009663A9">
        <w:t xml:space="preserve">по истечении этих 15 секунд, либо </w:t>
      </w:r>
      <w:r w:rsidRPr="009663A9">
        <w:rPr>
          <w:bCs/>
        </w:rPr>
        <w:t xml:space="preserve">при </w:t>
      </w:r>
      <w:r w:rsidRPr="009663A9">
        <w:t>повороте ключа в нерабочее положение, в зависимости от того, что</w:t>
      </w:r>
      <w:proofErr w:type="gramEnd"/>
      <w:r w:rsidRPr="009663A9">
        <w:t xml:space="preserve"> происходит раньше".</w:t>
      </w:r>
    </w:p>
    <w:p w:rsidR="00791F41" w:rsidRPr="009663A9" w:rsidRDefault="00791F41" w:rsidP="00791F41">
      <w:pPr>
        <w:pStyle w:val="SingleTxtGR"/>
      </w:pPr>
      <w:r w:rsidRPr="009663A9">
        <w:rPr>
          <w:i/>
        </w:rPr>
        <w:t>Пункт 4.6.4</w:t>
      </w:r>
      <w:r w:rsidRPr="009663A9">
        <w:t xml:space="preserve"> </w:t>
      </w:r>
      <w:r w:rsidRPr="009663A9">
        <w:rPr>
          <w:iCs/>
        </w:rPr>
        <w:t>изменить следующим образом</w:t>
      </w:r>
      <w:r w:rsidRPr="009663A9">
        <w:t>:</w:t>
      </w:r>
    </w:p>
    <w:p w:rsidR="00791F41" w:rsidRPr="009663A9" w:rsidRDefault="00791F41" w:rsidP="00791F41">
      <w:pPr>
        <w:pStyle w:val="SingleTxtGR"/>
        <w:spacing w:before="120"/>
        <w:ind w:left="2268" w:hanging="1134"/>
      </w:pPr>
      <w:bookmarkStart w:id="5" w:name="_Toc116368237"/>
      <w:bookmarkStart w:id="6" w:name="_Ref116444577"/>
      <w:bookmarkStart w:id="7" w:name="_Toc118223037"/>
      <w:r w:rsidRPr="009663A9">
        <w:t>"4.6.4</w:t>
      </w:r>
      <w:r w:rsidRPr="009663A9">
        <w:tab/>
      </w:r>
      <w:bookmarkEnd w:id="5"/>
      <w:bookmarkEnd w:id="6"/>
      <w:bookmarkEnd w:id="7"/>
      <w:r w:rsidRPr="009663A9">
        <w:tab/>
        <w:t xml:space="preserve">Активация ИС в том случае, когда ключ </w:t>
      </w:r>
      <w:proofErr w:type="gramStart"/>
      <w:r w:rsidRPr="009663A9">
        <w:t>повернут в замке зажиг</w:t>
      </w:r>
      <w:r w:rsidRPr="009663A9">
        <w:t>а</w:t>
      </w:r>
      <w:r w:rsidRPr="009663A9">
        <w:t>ния в рабочее положение/двигатель выключен</w:t>
      </w:r>
      <w:proofErr w:type="gramEnd"/>
    </w:p>
    <w:p w:rsidR="00791F41" w:rsidRPr="009663A9" w:rsidRDefault="00791F41" w:rsidP="00791F41">
      <w:pPr>
        <w:pStyle w:val="SingleTxtGR"/>
        <w:spacing w:before="120"/>
        <w:ind w:left="2268" w:hanging="1134"/>
      </w:pPr>
      <w:r w:rsidRPr="009663A9">
        <w:tab/>
      </w:r>
      <w:r w:rsidRPr="009663A9">
        <w:tab/>
        <w:t xml:space="preserve">Активация ИС в том </w:t>
      </w:r>
      <w:proofErr w:type="gramStart"/>
      <w:r w:rsidRPr="009663A9">
        <w:t>случае</w:t>
      </w:r>
      <w:proofErr w:type="gramEnd"/>
      <w:r w:rsidRPr="009663A9">
        <w:t>, когда ключ повернут в замке зажиг</w:t>
      </w:r>
      <w:r w:rsidRPr="009663A9">
        <w:t>а</w:t>
      </w:r>
      <w:r w:rsidRPr="009663A9">
        <w:t>ния в рабочее положение и двигатель выключен, предполагает сл</w:t>
      </w:r>
      <w:r w:rsidRPr="009663A9">
        <w:t>е</w:t>
      </w:r>
      <w:r w:rsidRPr="009663A9">
        <w:t>дующие две последовательности с пятисекундным интервалом при отключенном ИС:</w:t>
      </w:r>
    </w:p>
    <w:p w:rsidR="00791F41" w:rsidRPr="009663A9" w:rsidRDefault="00791F41" w:rsidP="00791F41">
      <w:pPr>
        <w:pStyle w:val="SingleTxtGR"/>
        <w:ind w:left="2835" w:hanging="2835"/>
      </w:pPr>
      <w:r w:rsidRPr="009663A9">
        <w:tab/>
      </w:r>
      <w:r w:rsidRPr="009663A9">
        <w:tab/>
        <w:t>a)</w:t>
      </w:r>
      <w:r w:rsidRPr="009663A9">
        <w:tab/>
        <w:t>цель первой последовательности состоит в проверке работы ИС и готовности элементов, являющиеся объектом монит</w:t>
      </w:r>
      <w:r w:rsidRPr="009663A9">
        <w:t>о</w:t>
      </w:r>
      <w:r w:rsidRPr="009663A9">
        <w:t>ринга;</w:t>
      </w:r>
    </w:p>
    <w:p w:rsidR="00791F41" w:rsidRPr="009663A9" w:rsidRDefault="00791F41" w:rsidP="00791F41">
      <w:pPr>
        <w:pStyle w:val="SingleTxtGR"/>
        <w:ind w:left="2835" w:hanging="2835"/>
      </w:pPr>
      <w:r w:rsidRPr="009663A9">
        <w:tab/>
      </w:r>
      <w:r w:rsidRPr="009663A9">
        <w:tab/>
        <w:t>b)</w:t>
      </w:r>
      <w:r w:rsidRPr="009663A9">
        <w:tab/>
        <w:t>цель второй последовательности состоит в указании наличия сбоя.</w:t>
      </w:r>
    </w:p>
    <w:p w:rsidR="00791F41" w:rsidRPr="009663A9" w:rsidRDefault="00791F41" w:rsidP="00791F41">
      <w:pPr>
        <w:pStyle w:val="SingleTxtGR"/>
        <w:spacing w:before="120"/>
        <w:ind w:left="2268" w:hanging="1134"/>
      </w:pPr>
      <w:r w:rsidRPr="009663A9">
        <w:tab/>
      </w:r>
      <w:r w:rsidRPr="009663A9">
        <w:tab/>
        <w:t>Первая последовательность начинается с момента первого повор</w:t>
      </w:r>
      <w:r w:rsidRPr="009663A9">
        <w:t>о</w:t>
      </w:r>
      <w:r w:rsidRPr="009663A9">
        <w:t>та ключа в замке зажигания в рабочее положение и прекращается либо при своем обычном завершении, либо после поворота ключа в замке зажигания в нерабочее положение, в зависимости от того, что происходит раньше.</w:t>
      </w:r>
    </w:p>
    <w:p w:rsidR="00791F41" w:rsidRPr="009663A9" w:rsidRDefault="00791F41" w:rsidP="00791F41">
      <w:pPr>
        <w:pStyle w:val="SingleTxtGR"/>
        <w:spacing w:before="120"/>
        <w:ind w:left="2268" w:hanging="1134"/>
      </w:pPr>
      <w:r w:rsidRPr="009663A9">
        <w:lastRenderedPageBreak/>
        <w:tab/>
      </w:r>
      <w:r w:rsidRPr="009663A9">
        <w:tab/>
        <w:t xml:space="preserve">Вторую последовательность повторяют </w:t>
      </w:r>
      <w:r w:rsidRPr="009663A9">
        <w:rPr>
          <w:bCs/>
        </w:rPr>
        <w:t>либо</w:t>
      </w:r>
      <w:r w:rsidRPr="009663A9">
        <w:t xml:space="preserve"> до запуска двигателя</w:t>
      </w:r>
      <w:proofErr w:type="gramStart"/>
      <w:r w:rsidRPr="009663A9">
        <w:rPr>
          <w:vertAlign w:val="superscript"/>
        </w:rPr>
        <w:t>1</w:t>
      </w:r>
      <w:proofErr w:type="gramEnd"/>
      <w:r w:rsidRPr="009663A9">
        <w:t xml:space="preserve">, </w:t>
      </w:r>
      <w:r w:rsidRPr="009663A9">
        <w:rPr>
          <w:bCs/>
        </w:rPr>
        <w:t>либо до</w:t>
      </w:r>
      <w:r w:rsidRPr="009663A9">
        <w:t xml:space="preserve"> </w:t>
      </w:r>
      <w:r w:rsidRPr="009663A9">
        <w:rPr>
          <w:bCs/>
        </w:rPr>
        <w:t>начала движения транспортного средства</w:t>
      </w:r>
      <w:r w:rsidRPr="009663A9">
        <w:t>, либо до повор</w:t>
      </w:r>
      <w:r w:rsidRPr="009663A9">
        <w:t>о</w:t>
      </w:r>
      <w:r w:rsidRPr="009663A9">
        <w:t xml:space="preserve">та ключа в замке зажигания в нерабочее положение, </w:t>
      </w:r>
      <w:r w:rsidRPr="009663A9">
        <w:rPr>
          <w:bCs/>
        </w:rPr>
        <w:t>в зависимости от того, что происходит раньше</w:t>
      </w:r>
      <w:r w:rsidRPr="009663A9">
        <w:t>.</w:t>
      </w:r>
    </w:p>
    <w:p w:rsidR="00791F41" w:rsidRPr="009663A9" w:rsidRDefault="00791F41" w:rsidP="00791F41">
      <w:pPr>
        <w:pStyle w:val="SingleTxtGR"/>
        <w:spacing w:line="240" w:lineRule="auto"/>
        <w:rPr>
          <w:sz w:val="18"/>
          <w:szCs w:val="18"/>
          <w:u w:val="single"/>
          <w:vertAlign w:val="superscript"/>
        </w:rPr>
      </w:pPr>
      <w:r w:rsidRPr="009663A9">
        <w:rPr>
          <w:sz w:val="18"/>
          <w:szCs w:val="18"/>
          <w:u w:val="single"/>
          <w:vertAlign w:val="superscript"/>
        </w:rPr>
        <w:tab/>
      </w:r>
      <w:r w:rsidRPr="009663A9">
        <w:rPr>
          <w:sz w:val="18"/>
          <w:szCs w:val="18"/>
          <w:u w:val="single"/>
          <w:vertAlign w:val="superscript"/>
        </w:rPr>
        <w:tab/>
      </w:r>
      <w:r w:rsidRPr="009663A9">
        <w:rPr>
          <w:sz w:val="18"/>
          <w:szCs w:val="18"/>
          <w:u w:val="single"/>
          <w:vertAlign w:val="superscript"/>
        </w:rPr>
        <w:tab/>
      </w:r>
    </w:p>
    <w:p w:rsidR="00791F41" w:rsidRPr="009663A9" w:rsidRDefault="00791F41" w:rsidP="00791F41">
      <w:pPr>
        <w:pStyle w:val="SingleTxtGR"/>
        <w:tabs>
          <w:tab w:val="clear" w:pos="1701"/>
          <w:tab w:val="left" w:pos="1365"/>
        </w:tabs>
        <w:spacing w:line="240" w:lineRule="auto"/>
        <w:ind w:left="1365" w:hanging="231"/>
        <w:rPr>
          <w:sz w:val="18"/>
          <w:szCs w:val="18"/>
        </w:rPr>
      </w:pPr>
      <w:r w:rsidRPr="009663A9">
        <w:rPr>
          <w:sz w:val="18"/>
          <w:szCs w:val="18"/>
          <w:vertAlign w:val="superscript"/>
        </w:rPr>
        <w:t>1</w:t>
      </w:r>
      <w:r w:rsidRPr="009663A9">
        <w:rPr>
          <w:sz w:val="18"/>
          <w:szCs w:val="18"/>
          <w:vertAlign w:val="superscript"/>
        </w:rPr>
        <w:tab/>
      </w:r>
      <w:r w:rsidRPr="009663A9">
        <w:rPr>
          <w:sz w:val="18"/>
          <w:szCs w:val="18"/>
        </w:rPr>
        <w:t>Двигатель может считаться запущенным на этапе проворачивания коленчатого вала</w:t>
      </w:r>
      <w:r w:rsidRPr="009663A9">
        <w:t>".</w:t>
      </w:r>
    </w:p>
    <w:p w:rsidR="00791F41" w:rsidRPr="009663A9" w:rsidRDefault="00791F41" w:rsidP="00791F41">
      <w:pPr>
        <w:pStyle w:val="SingleTxtGR"/>
        <w:spacing w:before="240"/>
      </w:pPr>
      <w:r w:rsidRPr="009663A9">
        <w:rPr>
          <w:i/>
        </w:rPr>
        <w:t xml:space="preserve">Пункты 4.6.5.1.1 </w:t>
      </w:r>
      <w:r w:rsidR="00CB4AF9">
        <w:rPr>
          <w:i/>
        </w:rPr>
        <w:t xml:space="preserve">(первое предложение) </w:t>
      </w:r>
      <w:r w:rsidRPr="009663A9">
        <w:rPr>
          <w:i/>
        </w:rPr>
        <w:t>и 4.6.5.1.2</w:t>
      </w:r>
      <w:r w:rsidRPr="009663A9">
        <w:t xml:space="preserve"> </w:t>
      </w:r>
      <w:r w:rsidR="00CB4AF9">
        <w:rPr>
          <w:i/>
        </w:rPr>
        <w:t xml:space="preserve">(первое предложение) </w:t>
      </w:r>
      <w:r w:rsidRPr="009663A9">
        <w:t>изм</w:t>
      </w:r>
      <w:r w:rsidRPr="009663A9">
        <w:t>е</w:t>
      </w:r>
      <w:r w:rsidRPr="009663A9">
        <w:t>нить следующим образом:</w:t>
      </w:r>
    </w:p>
    <w:p w:rsidR="00791F41" w:rsidRPr="009663A9" w:rsidRDefault="00791F41" w:rsidP="00791F41">
      <w:pPr>
        <w:pStyle w:val="SingleTxtGR"/>
      </w:pPr>
      <w:r w:rsidRPr="009663A9">
        <w:t>"4.6.5.1.1</w:t>
      </w:r>
      <w:r w:rsidRPr="009663A9">
        <w:tab/>
        <w:t>Счетчик ИС, используемый в режиме постоянной работы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ab/>
      </w:r>
      <w:r w:rsidRPr="009663A9">
        <w:tab/>
        <w:t>БД-система должна иметь счетчик ИС, используемый в режиме п</w:t>
      </w:r>
      <w:r w:rsidRPr="009663A9">
        <w:t>о</w:t>
      </w:r>
      <w:r w:rsidRPr="009663A9">
        <w:t xml:space="preserve">стоянной работы, для записи количества часов, в течение которых двигатель </w:t>
      </w:r>
      <w:r w:rsidRPr="009663A9">
        <w:rPr>
          <w:bCs/>
        </w:rPr>
        <w:t xml:space="preserve">внутреннего сгорания </w:t>
      </w:r>
      <w:r w:rsidRPr="009663A9">
        <w:t>работал в условиях активации р</w:t>
      </w:r>
      <w:r w:rsidRPr="009663A9">
        <w:t>е</w:t>
      </w:r>
      <w:r w:rsidRPr="009663A9">
        <w:t>жима постоянной работы ИС…</w:t>
      </w:r>
    </w:p>
    <w:p w:rsidR="00791F41" w:rsidRPr="009663A9" w:rsidRDefault="00791F41" w:rsidP="00791F41">
      <w:pPr>
        <w:pStyle w:val="SingleTxtGR"/>
      </w:pPr>
      <w:r w:rsidRPr="009663A9">
        <w:t>4.6.5.1.2</w:t>
      </w:r>
      <w:r w:rsidRPr="009663A9">
        <w:tab/>
        <w:t>Счетчик ИС кумулятивного учета в режиме постоянной работы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ab/>
      </w:r>
      <w:r w:rsidRPr="009663A9">
        <w:tab/>
        <w:t>БД-система должна иметь счетчик ИС кумулятивного учета в р</w:t>
      </w:r>
      <w:r w:rsidRPr="009663A9">
        <w:t>е</w:t>
      </w:r>
      <w:r w:rsidRPr="009663A9">
        <w:t>жиме постоянной работы для записи совокупного количества ч</w:t>
      </w:r>
      <w:r w:rsidRPr="009663A9">
        <w:t>а</w:t>
      </w:r>
      <w:r w:rsidRPr="009663A9">
        <w:t xml:space="preserve">сов, в течение которых двигатель </w:t>
      </w:r>
      <w:r w:rsidRPr="009663A9">
        <w:rPr>
          <w:bCs/>
        </w:rPr>
        <w:t xml:space="preserve">внутреннего сгорания </w:t>
      </w:r>
      <w:r w:rsidRPr="009663A9">
        <w:t>− в пр</w:t>
      </w:r>
      <w:r w:rsidRPr="009663A9">
        <w:t>о</w:t>
      </w:r>
      <w:r w:rsidRPr="009663A9">
        <w:t xml:space="preserve">должение всего срока его службы − работал в условиях активации режима постоянной работы ИС…". </w:t>
      </w:r>
    </w:p>
    <w:p w:rsidR="00791F41" w:rsidRPr="009663A9" w:rsidRDefault="00791F41" w:rsidP="00791F41">
      <w:pPr>
        <w:pStyle w:val="SingleTxtGR"/>
      </w:pPr>
      <w:r w:rsidRPr="009663A9">
        <w:rPr>
          <w:i/>
        </w:rPr>
        <w:t>Пункт 4.6.5.2.1</w:t>
      </w:r>
      <w:r w:rsidRPr="009663A9">
        <w:t xml:space="preserve"> изменить следующим образом:</w:t>
      </w:r>
    </w:p>
    <w:p w:rsidR="00791F41" w:rsidRPr="009663A9" w:rsidRDefault="00791F41" w:rsidP="00791F41">
      <w:pPr>
        <w:pStyle w:val="SingleTxtGR"/>
      </w:pPr>
      <w:r w:rsidRPr="009663A9">
        <w:t>"4.6.5.2.1</w:t>
      </w:r>
      <w:r w:rsidRPr="009663A9">
        <w:tab/>
        <w:t>Единичный счетчик В</w:t>
      </w:r>
      <w:proofErr w:type="gramStart"/>
      <w:r w:rsidRPr="009663A9">
        <w:t>1</w:t>
      </w:r>
      <w:proofErr w:type="gramEnd"/>
    </w:p>
    <w:p w:rsidR="00791F41" w:rsidRPr="009663A9" w:rsidRDefault="00791F41" w:rsidP="00791F41">
      <w:pPr>
        <w:pStyle w:val="SingleTxtGR"/>
        <w:ind w:left="2268" w:hanging="1134"/>
      </w:pPr>
      <w:r w:rsidRPr="009663A9">
        <w:tab/>
      </w:r>
      <w:r w:rsidRPr="009663A9">
        <w:tab/>
        <w:t>БД-система должна иметь счетчик В</w:t>
      </w:r>
      <w:proofErr w:type="gramStart"/>
      <w:r w:rsidRPr="009663A9">
        <w:t>1</w:t>
      </w:r>
      <w:proofErr w:type="gramEnd"/>
      <w:r w:rsidRPr="009663A9">
        <w:t xml:space="preserve"> для регистрации количества часов, в течение которых двигатель </w:t>
      </w:r>
      <w:r w:rsidRPr="009663A9">
        <w:rPr>
          <w:bCs/>
        </w:rPr>
        <w:t xml:space="preserve">внутреннего сгорания </w:t>
      </w:r>
      <w:r w:rsidRPr="009663A9">
        <w:t>работал в условиях наличия сбоя класса В1 …".</w:t>
      </w:r>
    </w:p>
    <w:p w:rsidR="00791F41" w:rsidRPr="009663A9" w:rsidRDefault="00791F41" w:rsidP="00791F41">
      <w:pPr>
        <w:pStyle w:val="SingleTxtGR"/>
        <w:spacing w:before="240"/>
        <w:rPr>
          <w:i/>
        </w:rPr>
      </w:pPr>
      <w:r w:rsidRPr="009663A9">
        <w:rPr>
          <w:i/>
        </w:rPr>
        <w:t>Приложение 9C</w:t>
      </w:r>
    </w:p>
    <w:p w:rsidR="00791F41" w:rsidRPr="009663A9" w:rsidRDefault="00791F41" w:rsidP="00791F41">
      <w:pPr>
        <w:pStyle w:val="SingleTxtGR"/>
      </w:pPr>
      <w:r w:rsidRPr="009663A9">
        <w:rPr>
          <w:i/>
        </w:rPr>
        <w:t>Пункт 5.5</w:t>
      </w:r>
      <w:r w:rsidRPr="009663A9">
        <w:t xml:space="preserve"> изменить следующим образом:</w:t>
      </w:r>
    </w:p>
    <w:p w:rsidR="00791F41" w:rsidRPr="009663A9" w:rsidRDefault="00791F41" w:rsidP="00791F41">
      <w:pPr>
        <w:pStyle w:val="SingleTxtGR"/>
      </w:pPr>
      <w:r w:rsidRPr="009663A9">
        <w:t>"5.5</w:t>
      </w:r>
      <w:r w:rsidRPr="009663A9">
        <w:tab/>
      </w:r>
      <w:r w:rsidRPr="009663A9">
        <w:tab/>
        <w:t>Требования к приращению показаний счетчика циклов зажигания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ab/>
      </w:r>
      <w:r w:rsidRPr="009663A9">
        <w:tab/>
        <w:t>Приращение показаний счетчика циклов зажигания производится только один раз на каждый ездовой цикл".</w:t>
      </w:r>
    </w:p>
    <w:p w:rsidR="00791F41" w:rsidRPr="009663A9" w:rsidRDefault="00791F41" w:rsidP="00791F41">
      <w:pPr>
        <w:pStyle w:val="SingleTxtGR"/>
        <w:rPr>
          <w:i/>
        </w:rPr>
      </w:pPr>
      <w:r w:rsidRPr="009663A9">
        <w:rPr>
          <w:i/>
        </w:rPr>
        <w:t>Приложение 11</w:t>
      </w:r>
    </w:p>
    <w:p w:rsidR="00791F41" w:rsidRPr="009663A9" w:rsidRDefault="00791F41" w:rsidP="00791F41">
      <w:pPr>
        <w:pStyle w:val="SingleTxtGR"/>
      </w:pPr>
      <w:r w:rsidRPr="009663A9">
        <w:rPr>
          <w:i/>
        </w:rPr>
        <w:t>Пункт 2.1.1 со сноской</w:t>
      </w:r>
      <w:r w:rsidRPr="009663A9">
        <w:t xml:space="preserve"> изменить следующим образом:</w:t>
      </w:r>
    </w:p>
    <w:p w:rsidR="00791F41" w:rsidRPr="009663A9" w:rsidRDefault="00791F41" w:rsidP="00791F41">
      <w:pPr>
        <w:pStyle w:val="SingleTxtGR"/>
        <w:ind w:left="2268" w:hanging="1134"/>
        <w:rPr>
          <w:bCs/>
        </w:rPr>
      </w:pPr>
      <w:r w:rsidRPr="009663A9">
        <w:t>"2.1.1</w:t>
      </w:r>
      <w:proofErr w:type="gramStart"/>
      <w:r w:rsidRPr="009663A9">
        <w:tab/>
      </w:r>
      <w:r w:rsidRPr="009663A9">
        <w:tab/>
      </w:r>
      <w:r w:rsidRPr="009663A9">
        <w:rPr>
          <w:bCs/>
        </w:rPr>
        <w:t>П</w:t>
      </w:r>
      <w:proofErr w:type="gramEnd"/>
      <w:r w:rsidRPr="009663A9">
        <w:rPr>
          <w:bCs/>
        </w:rPr>
        <w:t>о запросу изготовителя для транспортных средств категорий</w:t>
      </w:r>
      <w:r w:rsidRPr="009663A9">
        <w:t xml:space="preserve"> M</w:t>
      </w:r>
      <w:r w:rsidRPr="009663A9">
        <w:rPr>
          <w:vertAlign w:val="subscript"/>
        </w:rPr>
        <w:t>2</w:t>
      </w:r>
      <w:r w:rsidRPr="009663A9">
        <w:t xml:space="preserve"> и N</w:t>
      </w:r>
      <w:r w:rsidRPr="009663A9">
        <w:rPr>
          <w:vertAlign w:val="subscript"/>
        </w:rPr>
        <w:t>1</w:t>
      </w:r>
      <w:r w:rsidRPr="009663A9">
        <w:t xml:space="preserve">, </w:t>
      </w:r>
      <w:r w:rsidRPr="009663A9">
        <w:rPr>
          <w:bCs/>
        </w:rPr>
        <w:t>для транспортных средств категорий</w:t>
      </w:r>
      <w:r w:rsidRPr="009663A9">
        <w:t xml:space="preserve"> M</w:t>
      </w:r>
      <w:r w:rsidRPr="009663A9">
        <w:rPr>
          <w:vertAlign w:val="subscript"/>
        </w:rPr>
        <w:t>1</w:t>
      </w:r>
      <w:r w:rsidRPr="009663A9">
        <w:t xml:space="preserve"> и N</w:t>
      </w:r>
      <w:r w:rsidRPr="009663A9">
        <w:rPr>
          <w:vertAlign w:val="subscript"/>
        </w:rPr>
        <w:t>2</w:t>
      </w:r>
      <w:r w:rsidRPr="009663A9">
        <w:t>, технически доп</w:t>
      </w:r>
      <w:r w:rsidRPr="009663A9">
        <w:t>у</w:t>
      </w:r>
      <w:r w:rsidRPr="009663A9">
        <w:t>стимая максимальная груженая масса ко</w:t>
      </w:r>
      <w:r w:rsidR="00B30E00">
        <w:t>торых не превышает 7,5 </w:t>
      </w:r>
      <w:r w:rsidRPr="009663A9">
        <w:t xml:space="preserve">тонны, и </w:t>
      </w:r>
      <w:r w:rsidRPr="009663A9">
        <w:rPr>
          <w:bCs/>
        </w:rPr>
        <w:t xml:space="preserve">для транспортных средств категории </w:t>
      </w:r>
      <w:r w:rsidRPr="009663A9">
        <w:t>M</w:t>
      </w:r>
      <w:r w:rsidRPr="009663A9">
        <w:rPr>
          <w:vertAlign w:val="subscript"/>
        </w:rPr>
        <w:t>3</w:t>
      </w:r>
      <w:r w:rsidRPr="009663A9">
        <w:t xml:space="preserve"> класса I, класса II и классов A и B</w:t>
      </w:r>
      <w:r w:rsidRPr="009663A9">
        <w:rPr>
          <w:vertAlign w:val="superscript"/>
        </w:rPr>
        <w:t>1</w:t>
      </w:r>
      <w:r w:rsidRPr="009663A9">
        <w:t>, допустимая масса которых не превыш</w:t>
      </w:r>
      <w:r w:rsidRPr="009663A9">
        <w:t>а</w:t>
      </w:r>
      <w:r w:rsidRPr="009663A9">
        <w:t>ет 7,5 тонны, соблюдение тре</w:t>
      </w:r>
      <w:r w:rsidRPr="009663A9">
        <w:rPr>
          <w:bCs/>
        </w:rPr>
        <w:t>бований, изложенных в приложении 6 к Правилам № 83 с поправками серии 07, считают равнозначным соблюдению требований, изложенных в настоящем приложении.</w:t>
      </w:r>
    </w:p>
    <w:p w:rsidR="00791F41" w:rsidRPr="009663A9" w:rsidRDefault="00791F41" w:rsidP="00791F41">
      <w:pPr>
        <w:pStyle w:val="SingleTxtGR"/>
        <w:tabs>
          <w:tab w:val="clear" w:pos="1701"/>
          <w:tab w:val="left" w:pos="1365"/>
        </w:tabs>
        <w:suppressAutoHyphens/>
        <w:ind w:left="1365" w:hanging="231"/>
        <w:jc w:val="left"/>
        <w:rPr>
          <w:sz w:val="18"/>
          <w:szCs w:val="18"/>
          <w:u w:val="single"/>
          <w:vertAlign w:val="superscript"/>
        </w:rPr>
      </w:pPr>
      <w:r w:rsidRPr="009663A9">
        <w:rPr>
          <w:sz w:val="18"/>
          <w:szCs w:val="18"/>
          <w:u w:val="single"/>
          <w:vertAlign w:val="superscript"/>
        </w:rPr>
        <w:tab/>
      </w:r>
      <w:r w:rsidRPr="009663A9">
        <w:rPr>
          <w:sz w:val="18"/>
          <w:szCs w:val="18"/>
          <w:u w:val="single"/>
          <w:vertAlign w:val="superscript"/>
        </w:rPr>
        <w:tab/>
      </w:r>
      <w:r w:rsidRPr="009663A9">
        <w:rPr>
          <w:sz w:val="18"/>
          <w:szCs w:val="18"/>
          <w:u w:val="single"/>
          <w:vertAlign w:val="superscript"/>
        </w:rPr>
        <w:tab/>
      </w:r>
    </w:p>
    <w:p w:rsidR="00791F41" w:rsidRPr="00507250" w:rsidRDefault="00791F41" w:rsidP="00791F41">
      <w:pPr>
        <w:pStyle w:val="SingleTxtGR"/>
        <w:tabs>
          <w:tab w:val="clear" w:pos="1701"/>
          <w:tab w:val="left" w:pos="1365"/>
        </w:tabs>
        <w:suppressAutoHyphens/>
        <w:ind w:left="1365" w:hanging="231"/>
        <w:jc w:val="left"/>
        <w:rPr>
          <w:sz w:val="18"/>
          <w:szCs w:val="18"/>
        </w:rPr>
      </w:pPr>
      <w:r w:rsidRPr="009663A9">
        <w:rPr>
          <w:sz w:val="18"/>
          <w:szCs w:val="18"/>
          <w:vertAlign w:val="superscript"/>
        </w:rPr>
        <w:t>1</w:t>
      </w:r>
      <w:proofErr w:type="gramStart"/>
      <w:r w:rsidRPr="009663A9">
        <w:rPr>
          <w:sz w:val="18"/>
          <w:szCs w:val="18"/>
        </w:rPr>
        <w:tab/>
        <w:t>В</w:t>
      </w:r>
      <w:proofErr w:type="gramEnd"/>
      <w:r w:rsidRPr="009663A9">
        <w:rPr>
          <w:sz w:val="18"/>
          <w:szCs w:val="18"/>
        </w:rPr>
        <w:t xml:space="preserve"> соответствии с определениями, содержащимися в Сводной резолюции </w:t>
      </w:r>
      <w:r w:rsidR="00B30E00">
        <w:rPr>
          <w:sz w:val="18"/>
          <w:szCs w:val="18"/>
        </w:rPr>
        <w:br/>
      </w:r>
      <w:r w:rsidRPr="009663A9">
        <w:rPr>
          <w:sz w:val="18"/>
          <w:szCs w:val="18"/>
        </w:rPr>
        <w:t xml:space="preserve">о конструкции транспортных средств (СР.3), документ ECE/TRANS/WP.29/78/Rev.3, </w:t>
      </w:r>
      <w:r w:rsidRPr="00507250">
        <w:rPr>
          <w:sz w:val="18"/>
          <w:szCs w:val="18"/>
        </w:rPr>
        <w:t xml:space="preserve">пункт 2 − </w:t>
      </w:r>
      <w:hyperlink r:id="rId21" w:history="1">
        <w:r w:rsidR="00B30E00" w:rsidRPr="00507250">
          <w:rPr>
            <w:rStyle w:val="Hyperlink"/>
            <w:sz w:val="18"/>
            <w:szCs w:val="18"/>
            <w:u w:val="none"/>
          </w:rPr>
          <w:t>www.unece.org/trans/main/wp29/wp29wgs/wp29gen/wp29resolutions.html</w:t>
        </w:r>
      </w:hyperlink>
      <w:r w:rsidRPr="00507250">
        <w:rPr>
          <w:sz w:val="18"/>
          <w:szCs w:val="18"/>
        </w:rPr>
        <w:t>".</w:t>
      </w:r>
    </w:p>
    <w:p w:rsidR="00791F41" w:rsidRPr="009663A9" w:rsidRDefault="00791F41" w:rsidP="00791F41">
      <w:pPr>
        <w:pStyle w:val="SingleTxtGR"/>
        <w:spacing w:before="240"/>
        <w:rPr>
          <w:i/>
        </w:rPr>
      </w:pPr>
      <w:r w:rsidRPr="009663A9">
        <w:rPr>
          <w:i/>
        </w:rPr>
        <w:lastRenderedPageBreak/>
        <w:t>Включить новые пункты 2.1.2−2.1.2.2.5</w:t>
      </w:r>
      <w:r w:rsidRPr="009663A9">
        <w:t xml:space="preserve"> следующего содержания: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"2.1.2</w:t>
      </w:r>
      <w:proofErr w:type="gramStart"/>
      <w:r w:rsidRPr="009663A9">
        <w:tab/>
      </w:r>
      <w:r w:rsidRPr="009663A9">
        <w:tab/>
        <w:t>В</w:t>
      </w:r>
      <w:proofErr w:type="gramEnd"/>
      <w:r w:rsidRPr="009663A9">
        <w:t xml:space="preserve"> случае использования альтернативного официального утвержд</w:t>
      </w:r>
      <w:r w:rsidRPr="009663A9">
        <w:t>е</w:t>
      </w:r>
      <w:r w:rsidRPr="009663A9">
        <w:t>ния: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2.1.2.1</w:t>
      </w:r>
      <w:r w:rsidRPr="009663A9">
        <w:tab/>
      </w:r>
      <w:r w:rsidRPr="009663A9">
        <w:rPr>
          <w:bCs/>
        </w:rPr>
        <w:t>данные, касающиеся правильной работы средств  ограничения</w:t>
      </w:r>
      <w:r w:rsidRPr="009663A9">
        <w:t xml:space="preserve"> </w:t>
      </w:r>
      <w:proofErr w:type="spellStart"/>
      <w:r w:rsidRPr="009663A9">
        <w:t>NO</w:t>
      </w:r>
      <w:r w:rsidRPr="009663A9">
        <w:rPr>
          <w:vertAlign w:val="subscript"/>
        </w:rPr>
        <w:t>x</w:t>
      </w:r>
      <w:proofErr w:type="spellEnd"/>
      <w:r w:rsidRPr="009663A9">
        <w:t>, которые предусмотрены в пунктах 3.2.12.2.8.1−3.2.12.2.8.5 ч</w:t>
      </w:r>
      <w:r w:rsidRPr="009663A9">
        <w:t>а</w:t>
      </w:r>
      <w:r w:rsidRPr="009663A9">
        <w:t xml:space="preserve">сти 2 приложения 1 к настоящим Правилам, заменяют данными, предусмотренными в пункте 3.2.12.2.8 приложения 1 к </w:t>
      </w:r>
      <w:r w:rsidR="00507250">
        <w:rPr>
          <w:bCs/>
        </w:rPr>
        <w:t>Прав</w:t>
      </w:r>
      <w:r w:rsidR="00507250">
        <w:rPr>
          <w:bCs/>
        </w:rPr>
        <w:t>и</w:t>
      </w:r>
      <w:r w:rsidR="00507250">
        <w:rPr>
          <w:bCs/>
        </w:rPr>
        <w:t>лам </w:t>
      </w:r>
      <w:r w:rsidRPr="009663A9">
        <w:rPr>
          <w:bCs/>
        </w:rPr>
        <w:t>№ 83</w:t>
      </w:r>
      <w:r w:rsidRPr="009663A9">
        <w:t xml:space="preserve"> с </w:t>
      </w:r>
      <w:r w:rsidRPr="009663A9">
        <w:rPr>
          <w:bCs/>
        </w:rPr>
        <w:t>поправками серии 07</w:t>
      </w:r>
      <w:r w:rsidRPr="009663A9">
        <w:t>;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</w:t>
      </w:r>
      <w:r w:rsidRPr="009663A9">
        <w:tab/>
      </w:r>
      <w:r w:rsidRPr="009663A9">
        <w:rPr>
          <w:bCs/>
        </w:rPr>
        <w:t>применяют следующие исключения в отношении применения тр</w:t>
      </w:r>
      <w:r w:rsidRPr="009663A9">
        <w:rPr>
          <w:bCs/>
        </w:rPr>
        <w:t>е</w:t>
      </w:r>
      <w:r w:rsidRPr="009663A9">
        <w:rPr>
          <w:bCs/>
        </w:rPr>
        <w:t>бований, изложенных в добавлении</w:t>
      </w:r>
      <w:r w:rsidRPr="009663A9">
        <w:t xml:space="preserve"> 6 к </w:t>
      </w:r>
      <w:r w:rsidRPr="009663A9">
        <w:rPr>
          <w:bCs/>
        </w:rPr>
        <w:t>Правилам № 83</w:t>
      </w:r>
      <w:r w:rsidRPr="009663A9">
        <w:t xml:space="preserve"> с </w:t>
      </w:r>
      <w:r w:rsidRPr="009663A9">
        <w:rPr>
          <w:bCs/>
        </w:rPr>
        <w:t>попра</w:t>
      </w:r>
      <w:r w:rsidRPr="009663A9">
        <w:rPr>
          <w:bCs/>
        </w:rPr>
        <w:t>в</w:t>
      </w:r>
      <w:r w:rsidRPr="009663A9">
        <w:rPr>
          <w:bCs/>
        </w:rPr>
        <w:t>ками серии 07</w:t>
      </w:r>
      <w:r w:rsidRPr="009663A9">
        <w:t xml:space="preserve"> и в настоящем приложении: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2.1.2.2.1</w:t>
      </w:r>
      <w:r w:rsidRPr="009663A9">
        <w:tab/>
      </w:r>
      <w:r w:rsidRPr="009663A9">
        <w:rPr>
          <w:bCs/>
        </w:rPr>
        <w:t>вместо положений пунктов</w:t>
      </w:r>
      <w:r w:rsidRPr="009663A9">
        <w:t xml:space="preserve"> 4.1 и 4.2 </w:t>
      </w:r>
      <w:r w:rsidRPr="009663A9">
        <w:rPr>
          <w:bCs/>
        </w:rPr>
        <w:t>добавления</w:t>
      </w:r>
      <w:r w:rsidRPr="009663A9">
        <w:t xml:space="preserve"> 6 к </w:t>
      </w:r>
      <w:r w:rsidRPr="009663A9">
        <w:rPr>
          <w:bCs/>
        </w:rPr>
        <w:t>Правилам № 83</w:t>
      </w:r>
      <w:r w:rsidRPr="009663A9">
        <w:t xml:space="preserve"> с </w:t>
      </w:r>
      <w:r w:rsidRPr="009663A9">
        <w:rPr>
          <w:bCs/>
        </w:rPr>
        <w:t>поправками серии 07 применяют положения</w:t>
      </w:r>
      <w:r w:rsidRPr="009663A9">
        <w:t xml:space="preserve"> </w:t>
      </w:r>
      <w:r w:rsidRPr="009663A9">
        <w:rPr>
          <w:bCs/>
        </w:rPr>
        <w:t xml:space="preserve">о </w:t>
      </w:r>
      <w:proofErr w:type="gramStart"/>
      <w:r w:rsidRPr="009663A9">
        <w:rPr>
          <w:bCs/>
        </w:rPr>
        <w:t>контроле за</w:t>
      </w:r>
      <w:proofErr w:type="gramEnd"/>
      <w:r w:rsidRPr="009663A9">
        <w:rPr>
          <w:bCs/>
        </w:rPr>
        <w:t xml:space="preserve"> кач</w:t>
      </w:r>
      <w:r w:rsidRPr="009663A9">
        <w:rPr>
          <w:bCs/>
        </w:rPr>
        <w:t>е</w:t>
      </w:r>
      <w:r w:rsidRPr="009663A9">
        <w:rPr>
          <w:bCs/>
        </w:rPr>
        <w:t xml:space="preserve">ством реагента, изложенные в пунктах </w:t>
      </w:r>
      <w:r w:rsidRPr="009663A9">
        <w:t>7.1−7.1.2 настоящего пр</w:t>
      </w:r>
      <w:r w:rsidRPr="009663A9">
        <w:t>и</w:t>
      </w:r>
      <w:r w:rsidRPr="009663A9">
        <w:t>ложения;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2.1.2.2.2</w:t>
      </w:r>
      <w:r w:rsidRPr="009663A9">
        <w:tab/>
        <w:t xml:space="preserve">вместо </w:t>
      </w:r>
      <w:r w:rsidRPr="009663A9">
        <w:rPr>
          <w:bCs/>
        </w:rPr>
        <w:t xml:space="preserve">положений </w:t>
      </w:r>
      <w:r w:rsidRPr="009663A9">
        <w:t xml:space="preserve">пункта 5 </w:t>
      </w:r>
      <w:r w:rsidRPr="009663A9">
        <w:rPr>
          <w:bCs/>
        </w:rPr>
        <w:t>добавления</w:t>
      </w:r>
      <w:r w:rsidRPr="009663A9">
        <w:t xml:space="preserve"> 6 к </w:t>
      </w:r>
      <w:r w:rsidRPr="009663A9">
        <w:rPr>
          <w:bCs/>
        </w:rPr>
        <w:t>Правилам № 83</w:t>
      </w:r>
      <w:r w:rsidRPr="009663A9">
        <w:t xml:space="preserve"> с </w:t>
      </w:r>
      <w:r w:rsidRPr="009663A9">
        <w:rPr>
          <w:bCs/>
        </w:rPr>
        <w:t>п</w:t>
      </w:r>
      <w:r w:rsidRPr="009663A9">
        <w:rPr>
          <w:bCs/>
        </w:rPr>
        <w:t>о</w:t>
      </w:r>
      <w:r w:rsidRPr="009663A9">
        <w:rPr>
          <w:bCs/>
        </w:rPr>
        <w:t xml:space="preserve">правками серии 07 применяют положения о </w:t>
      </w:r>
      <w:proofErr w:type="gramStart"/>
      <w:r w:rsidRPr="009663A9">
        <w:rPr>
          <w:bCs/>
        </w:rPr>
        <w:t>контроле за</w:t>
      </w:r>
      <w:proofErr w:type="gramEnd"/>
      <w:r w:rsidRPr="009663A9">
        <w:rPr>
          <w:bCs/>
        </w:rPr>
        <w:t xml:space="preserve"> процессом дозирования, изложенные в пункте </w:t>
      </w:r>
      <w:r w:rsidRPr="009663A9">
        <w:t>8.4 настоящего приложения;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2.1.2.2.3</w:t>
      </w:r>
      <w:r w:rsidRPr="009663A9">
        <w:tab/>
      </w:r>
      <w:r w:rsidRPr="009663A9">
        <w:rPr>
          <w:bCs/>
        </w:rPr>
        <w:t>под системой предупреждения водителя, упомянутой в пунктах</w:t>
      </w:r>
      <w:r w:rsidRPr="009663A9">
        <w:t xml:space="preserve"> 4, 7 и 8 настоящего приложения, </w:t>
      </w:r>
      <w:r w:rsidRPr="009663A9">
        <w:rPr>
          <w:bCs/>
        </w:rPr>
        <w:t>понимается система предупреждения водителя, упомянутая в</w:t>
      </w:r>
      <w:r w:rsidRPr="009663A9">
        <w:t xml:space="preserve"> пункте 3 </w:t>
      </w:r>
      <w:r w:rsidRPr="009663A9">
        <w:rPr>
          <w:bCs/>
        </w:rPr>
        <w:t>добавления</w:t>
      </w:r>
      <w:r w:rsidRPr="009663A9">
        <w:t xml:space="preserve"> 6 к </w:t>
      </w:r>
      <w:r w:rsidRPr="009663A9">
        <w:rPr>
          <w:bCs/>
        </w:rPr>
        <w:t>Правилам № 83</w:t>
      </w:r>
      <w:r w:rsidRPr="009663A9">
        <w:t xml:space="preserve"> с </w:t>
      </w:r>
      <w:r w:rsidRPr="009663A9">
        <w:rPr>
          <w:bCs/>
        </w:rPr>
        <w:t>поправками серии 07;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2.1.2.2.4</w:t>
      </w:r>
      <w:r w:rsidRPr="009663A9">
        <w:tab/>
        <w:t xml:space="preserve">не применяют пункт 6 </w:t>
      </w:r>
      <w:r w:rsidRPr="009663A9">
        <w:rPr>
          <w:bCs/>
        </w:rPr>
        <w:t>добавления</w:t>
      </w:r>
      <w:r w:rsidRPr="009663A9">
        <w:t xml:space="preserve"> 6 к </w:t>
      </w:r>
      <w:r w:rsidRPr="009663A9">
        <w:rPr>
          <w:bCs/>
        </w:rPr>
        <w:t>Правилам № 83</w:t>
      </w:r>
      <w:r w:rsidRPr="009663A9">
        <w:t xml:space="preserve"> с </w:t>
      </w:r>
      <w:r w:rsidRPr="009663A9">
        <w:rPr>
          <w:bCs/>
        </w:rPr>
        <w:t>поправк</w:t>
      </w:r>
      <w:r w:rsidRPr="009663A9">
        <w:rPr>
          <w:bCs/>
        </w:rPr>
        <w:t>а</w:t>
      </w:r>
      <w:r w:rsidRPr="009663A9">
        <w:rPr>
          <w:bCs/>
        </w:rPr>
        <w:t>ми серии 07;</w:t>
      </w:r>
    </w:p>
    <w:p w:rsidR="00791F41" w:rsidRPr="009663A9" w:rsidRDefault="00791F41" w:rsidP="00791F41">
      <w:pPr>
        <w:pStyle w:val="SingleTxtGR"/>
        <w:ind w:left="2268" w:hanging="1134"/>
      </w:pPr>
      <w:r w:rsidRPr="009663A9">
        <w:t>2.1.2.2.5</w:t>
      </w:r>
      <w:r w:rsidRPr="009663A9">
        <w:tab/>
        <w:t>в случае транспортных средств, используемых аварийно-спасательными службами, или транспортных средств, предназн</w:t>
      </w:r>
      <w:r w:rsidRPr="009663A9">
        <w:t>а</w:t>
      </w:r>
      <w:r w:rsidRPr="009663A9">
        <w:t>ченных и сконструированных для использования вооруженными силами, подразделениями гражданской обороны, пожарными слу</w:t>
      </w:r>
      <w:r w:rsidRPr="009663A9">
        <w:t>ж</w:t>
      </w:r>
      <w:r w:rsidRPr="009663A9">
        <w:t>бами и силами, ответственными за поддержание общественного порядка, применяют положения, изложенные в пункте 5.2 насто</w:t>
      </w:r>
      <w:r w:rsidRPr="009663A9">
        <w:t>я</w:t>
      </w:r>
      <w:r w:rsidRPr="009663A9">
        <w:t>щего приложения".</w:t>
      </w:r>
    </w:p>
    <w:p w:rsidR="00791F41" w:rsidRPr="009663A9" w:rsidRDefault="00791F41" w:rsidP="00791F41">
      <w:pPr>
        <w:pStyle w:val="SingleTxtGR"/>
      </w:pPr>
      <w:r w:rsidRPr="009663A9">
        <w:rPr>
          <w:i/>
        </w:rPr>
        <w:t>Пункты 7.1.1−7.1.1.2</w:t>
      </w:r>
      <w:r w:rsidRPr="009663A9">
        <w:t xml:space="preserve"> изменить следующим образом:</w:t>
      </w:r>
    </w:p>
    <w:p w:rsidR="00791F41" w:rsidRPr="0008514F" w:rsidRDefault="00791F41" w:rsidP="00791F41">
      <w:pPr>
        <w:pStyle w:val="SingleTxtGR"/>
        <w:ind w:left="2268" w:hanging="1134"/>
      </w:pPr>
      <w:r w:rsidRPr="009663A9">
        <w:t>"7.1.1</w:t>
      </w:r>
      <w:r w:rsidRPr="009663A9">
        <w:tab/>
      </w:r>
      <w:r w:rsidRPr="009663A9">
        <w:tab/>
        <w:t xml:space="preserve">Изготовитель указывает значение </w:t>
      </w:r>
      <w:proofErr w:type="spellStart"/>
      <w:r w:rsidRPr="009663A9">
        <w:t>CD</w:t>
      </w:r>
      <w:r w:rsidRPr="009663A9">
        <w:rPr>
          <w:vertAlign w:val="subscript"/>
        </w:rPr>
        <w:t>min</w:t>
      </w:r>
      <w:proofErr w:type="spellEnd"/>
      <w:r w:rsidRPr="009663A9">
        <w:t>, которое превышает самый высокий уровень концентрации реагента, допускающий</w:t>
      </w:r>
      <w:r w:rsidRPr="0008514F">
        <w:t xml:space="preserve"> превыш</w:t>
      </w:r>
      <w:r w:rsidRPr="0008514F">
        <w:t>е</w:t>
      </w:r>
      <w:r w:rsidRPr="0008514F">
        <w:t>ние предельных показателей выбросов из выхлопной трубы, ук</w:t>
      </w:r>
      <w:r w:rsidRPr="0008514F">
        <w:t>а</w:t>
      </w:r>
      <w:r w:rsidRPr="0008514F">
        <w:t>занных в пункте 5.3 настоящих Правил.</w:t>
      </w:r>
    </w:p>
    <w:p w:rsidR="00791F41" w:rsidRPr="0008514F" w:rsidRDefault="00791F41" w:rsidP="00791F41">
      <w:pPr>
        <w:pStyle w:val="SingleTxtGR"/>
        <w:ind w:left="2268" w:hanging="1134"/>
      </w:pPr>
      <w:r w:rsidRPr="0008514F">
        <w:t>7.1.1.1</w:t>
      </w:r>
      <w:proofErr w:type="gramStart"/>
      <w:r w:rsidRPr="0008514F">
        <w:tab/>
        <w:t>В</w:t>
      </w:r>
      <w:proofErr w:type="gramEnd"/>
      <w:r w:rsidRPr="0008514F">
        <w:t xml:space="preserve"> течение периода ввода в действие, указанного в пункте 4.10.7 настоящих Правил, и по просьбе изготовителя ссылку на уровень выбросов </w:t>
      </w:r>
      <w:proofErr w:type="spellStart"/>
      <w:r w:rsidRPr="0008514F">
        <w:t>NO</w:t>
      </w:r>
      <w:r w:rsidRPr="0008514F">
        <w:rPr>
          <w:vertAlign w:val="subscript"/>
        </w:rPr>
        <w:t>x</w:t>
      </w:r>
      <w:proofErr w:type="spellEnd"/>
      <w:r w:rsidRPr="0008514F">
        <w:t>, указанную в пункте 5.3 настоящих Правил, замен</w:t>
      </w:r>
      <w:r w:rsidRPr="0008514F">
        <w:t>я</w:t>
      </w:r>
      <w:r w:rsidRPr="0008514F">
        <w:t>ют для целей пункта 7.1.1 значением 900 мг/</w:t>
      </w:r>
      <w:proofErr w:type="spellStart"/>
      <w:r w:rsidRPr="0008514F">
        <w:t>кВт·ч</w:t>
      </w:r>
      <w:proofErr w:type="spellEnd"/>
      <w:r w:rsidRPr="0008514F">
        <w:t>.</w:t>
      </w:r>
    </w:p>
    <w:p w:rsidR="00791F41" w:rsidRPr="0008514F" w:rsidRDefault="00791F41" w:rsidP="00791F41">
      <w:pPr>
        <w:pStyle w:val="SingleTxtGR"/>
        <w:ind w:left="2268" w:hanging="1134"/>
      </w:pPr>
      <w:r w:rsidRPr="0008514F">
        <w:t>7.1.1.2</w:t>
      </w:r>
      <w:r w:rsidRPr="0008514F">
        <w:tab/>
      </w:r>
      <w:r w:rsidR="00A27298">
        <w:t>З</w:t>
      </w:r>
      <w:r w:rsidRPr="0008514F">
        <w:t xml:space="preserve">начение </w:t>
      </w:r>
      <w:proofErr w:type="spellStart"/>
      <w:r w:rsidRPr="0008514F">
        <w:t>CD</w:t>
      </w:r>
      <w:r w:rsidRPr="0008514F">
        <w:rPr>
          <w:vertAlign w:val="subscript"/>
        </w:rPr>
        <w:t>min</w:t>
      </w:r>
      <w:proofErr w:type="spellEnd"/>
      <w:r w:rsidRPr="0008514F">
        <w:t xml:space="preserve"> подтверждают в ходе официального утверждения типа в порядке, установленном в добавлении 6 к настоящему пр</w:t>
      </w:r>
      <w:r w:rsidRPr="0008514F">
        <w:t>и</w:t>
      </w:r>
      <w:r w:rsidRPr="0008514F">
        <w:t>ложению, и регистрируют в расширенном комплекте документ</w:t>
      </w:r>
      <w:r w:rsidRPr="0008514F">
        <w:t>а</w:t>
      </w:r>
      <w:r w:rsidRPr="0008514F">
        <w:t>ции, указанном в пункте 5.1.4 настоящих Правил".</w:t>
      </w:r>
    </w:p>
    <w:p w:rsidR="00A457D7" w:rsidRPr="0080573D" w:rsidRDefault="00A457D7" w:rsidP="00A457D7">
      <w:pPr>
        <w:pStyle w:val="SingleTxtGR"/>
        <w:rPr>
          <w:i/>
        </w:rPr>
      </w:pPr>
      <w:r w:rsidRPr="0080573D">
        <w:rPr>
          <w:i/>
        </w:rPr>
        <w:t xml:space="preserve">Пункт 8, заголовок </w:t>
      </w:r>
      <w:r w:rsidRPr="0080573D">
        <w:rPr>
          <w:iCs/>
        </w:rPr>
        <w:t>изменить следующим образом</w:t>
      </w:r>
      <w:r w:rsidRPr="0080573D">
        <w:t>:</w:t>
      </w:r>
    </w:p>
    <w:p w:rsidR="00A457D7" w:rsidRPr="00A27298" w:rsidRDefault="00A457D7" w:rsidP="00A457D7">
      <w:pPr>
        <w:pStyle w:val="SingleTxtGR"/>
      </w:pPr>
      <w:r w:rsidRPr="00A27298">
        <w:t>"8.</w:t>
      </w:r>
      <w:r w:rsidRPr="00A27298">
        <w:tab/>
      </w:r>
      <w:r w:rsidRPr="00A27298">
        <w:tab/>
      </w:r>
      <w:proofErr w:type="gramStart"/>
      <w:r w:rsidRPr="00A27298">
        <w:t>Контроль за</w:t>
      </w:r>
      <w:proofErr w:type="gramEnd"/>
      <w:r w:rsidRPr="00A27298">
        <w:t xml:space="preserve"> расходом реагента и процессом дозирования"</w:t>
      </w:r>
    </w:p>
    <w:p w:rsidR="00A457D7" w:rsidRPr="00A27298" w:rsidRDefault="00A457D7" w:rsidP="00A457D7">
      <w:pPr>
        <w:pStyle w:val="SingleTxtGR"/>
        <w:rPr>
          <w:i/>
        </w:rPr>
      </w:pPr>
      <w:r w:rsidRPr="00A27298">
        <w:rPr>
          <w:i/>
        </w:rPr>
        <w:lastRenderedPageBreak/>
        <w:t xml:space="preserve">Пункт 8.1 </w:t>
      </w:r>
      <w:r w:rsidRPr="00A27298">
        <w:rPr>
          <w:iCs/>
        </w:rPr>
        <w:t>изменить следующим образом</w:t>
      </w:r>
      <w:r w:rsidRPr="00A27298">
        <w:t>:</w:t>
      </w:r>
    </w:p>
    <w:p w:rsidR="00A457D7" w:rsidRPr="00A27298" w:rsidRDefault="00A457D7" w:rsidP="00A457D7">
      <w:pPr>
        <w:pStyle w:val="SingleTxtGR"/>
        <w:ind w:left="2268" w:hanging="1134"/>
      </w:pPr>
      <w:r w:rsidRPr="00A27298">
        <w:t>"8.1</w:t>
      </w:r>
      <w:r w:rsidRPr="00A27298">
        <w:tab/>
      </w:r>
      <w:r w:rsidRPr="00A27298">
        <w:tab/>
        <w:t>Транспортное средство должно быть оснащено устройством опр</w:t>
      </w:r>
      <w:r w:rsidRPr="00A27298">
        <w:t>е</w:t>
      </w:r>
      <w:r w:rsidRPr="00A27298">
        <w:t>деления расхода реагента, прерывания процесса дозирования ре</w:t>
      </w:r>
      <w:r w:rsidRPr="00A27298">
        <w:t>а</w:t>
      </w:r>
      <w:r w:rsidRPr="00A27298">
        <w:t>гента и обеспечения внешнего доступа к показаниям расхода".</w:t>
      </w:r>
    </w:p>
    <w:p w:rsidR="00A457D7" w:rsidRPr="00A27298" w:rsidRDefault="00A457D7" w:rsidP="00A457D7">
      <w:pPr>
        <w:pStyle w:val="SingleTxtGR"/>
        <w:rPr>
          <w:i/>
        </w:rPr>
      </w:pPr>
      <w:r w:rsidRPr="00A27298">
        <w:rPr>
          <w:i/>
        </w:rPr>
        <w:t xml:space="preserve">Пункт 8.3.1 </w:t>
      </w:r>
      <w:r w:rsidRPr="00A27298">
        <w:rPr>
          <w:iCs/>
        </w:rPr>
        <w:t>изменить следующим образом</w:t>
      </w:r>
      <w:r w:rsidRPr="00A27298">
        <w:t>:</w:t>
      </w:r>
    </w:p>
    <w:p w:rsidR="00A457D7" w:rsidRPr="00A27298" w:rsidRDefault="00A457D7" w:rsidP="00A457D7">
      <w:pPr>
        <w:pStyle w:val="SingleTxtGR"/>
        <w:ind w:left="2268" w:hanging="1134"/>
      </w:pPr>
      <w:r w:rsidRPr="00A27298">
        <w:t>"8.3.1</w:t>
      </w:r>
      <w:r w:rsidRPr="00A27298">
        <w:tab/>
      </w:r>
      <w:r w:rsidRPr="00A27298">
        <w:tab/>
        <w:t xml:space="preserve">Максимальный период выявления недостаточного расхода реагента составляет </w:t>
      </w:r>
      <w:r w:rsidR="00A27298">
        <w:t xml:space="preserve">пять </w:t>
      </w:r>
      <w:r w:rsidRPr="00A27298">
        <w:t>часов или период, эквивалентный заданному ра</w:t>
      </w:r>
      <w:r w:rsidRPr="00A27298">
        <w:t>с</w:t>
      </w:r>
      <w:r w:rsidRPr="00A27298">
        <w:t xml:space="preserve">ходу реагента в количестве как минимум </w:t>
      </w:r>
      <w:r w:rsidR="00A27298">
        <w:t>два</w:t>
      </w:r>
      <w:r w:rsidRPr="00A27298">
        <w:t xml:space="preserve"> литра, в зависимости от того, какой период дольше".</w:t>
      </w:r>
    </w:p>
    <w:p w:rsidR="00A457D7" w:rsidRPr="00A27298" w:rsidRDefault="00A457D7" w:rsidP="00A457D7">
      <w:pPr>
        <w:pStyle w:val="SingleTxtGR"/>
      </w:pPr>
      <w:r w:rsidRPr="00A27298">
        <w:rPr>
          <w:i/>
        </w:rPr>
        <w:t>Включить новый пункт 8.3.1.1,</w:t>
      </w:r>
      <w:r w:rsidRPr="00A27298">
        <w:t xml:space="preserve"> следующего содержания:</w:t>
      </w:r>
    </w:p>
    <w:p w:rsidR="00A457D7" w:rsidRPr="00A27298" w:rsidRDefault="00A457D7" w:rsidP="00A457D7">
      <w:pPr>
        <w:pStyle w:val="SingleTxtGR"/>
        <w:ind w:left="2268" w:hanging="1134"/>
      </w:pPr>
      <w:r w:rsidRPr="00A27298">
        <w:t>"8.3.1.1</w:t>
      </w:r>
      <w:proofErr w:type="gramStart"/>
      <w:r w:rsidRPr="00A27298">
        <w:tab/>
        <w:t>Е</w:t>
      </w:r>
      <w:proofErr w:type="gramEnd"/>
      <w:r w:rsidRPr="00A27298">
        <w:t>сли контроль за расходом реагента осуществляется с использов</w:t>
      </w:r>
      <w:r w:rsidRPr="00A27298">
        <w:t>а</w:t>
      </w:r>
      <w:r w:rsidRPr="00A27298">
        <w:t xml:space="preserve">нием как минимум одного из следующих параметров: </w:t>
      </w:r>
    </w:p>
    <w:p w:rsidR="00A457D7" w:rsidRPr="00A27298" w:rsidRDefault="00A457D7" w:rsidP="00B30E00">
      <w:pPr>
        <w:pStyle w:val="SingleTxtGR"/>
        <w:ind w:left="2835" w:hanging="1701"/>
      </w:pPr>
      <w:r w:rsidRPr="00A27298">
        <w:tab/>
      </w:r>
      <w:r w:rsidR="00B30E00">
        <w:tab/>
      </w:r>
      <w:r w:rsidRPr="00A27298">
        <w:t>а)</w:t>
      </w:r>
      <w:r w:rsidRPr="00A27298">
        <w:tab/>
        <w:t>уровень реагента в бортовой заправочной емкости; или</w:t>
      </w:r>
    </w:p>
    <w:p w:rsidR="00A457D7" w:rsidRPr="00A27298" w:rsidRDefault="00A457D7" w:rsidP="00B30E00">
      <w:pPr>
        <w:pStyle w:val="SingleTxtGR"/>
        <w:ind w:left="2835" w:hanging="1701"/>
      </w:pPr>
      <w:r w:rsidRPr="00A27298">
        <w:tab/>
      </w:r>
      <w:r w:rsidR="00B30E00">
        <w:tab/>
      </w:r>
      <w:r w:rsidRPr="00A27298">
        <w:rPr>
          <w:lang w:val="en-US"/>
        </w:rPr>
        <w:t>b</w:t>
      </w:r>
      <w:r w:rsidRPr="00A27298">
        <w:t>)</w:t>
      </w:r>
      <w:r w:rsidRPr="00A27298">
        <w:tab/>
      </w:r>
      <w:proofErr w:type="gramStart"/>
      <w:r w:rsidRPr="00A27298">
        <w:t>расход</w:t>
      </w:r>
      <w:proofErr w:type="gramEnd"/>
      <w:r w:rsidRPr="00A27298">
        <w:t xml:space="preserve"> </w:t>
      </w:r>
      <w:r w:rsidR="00A27298">
        <w:t xml:space="preserve">реагента </w:t>
      </w:r>
      <w:r w:rsidRPr="00A27298">
        <w:t>или количество реагента, впрыснутого в то</w:t>
      </w:r>
      <w:r w:rsidRPr="00A27298">
        <w:t>ч</w:t>
      </w:r>
      <w:r w:rsidRPr="00A27298">
        <w:t>ке, расположенной как можно ближе, насколько это технич</w:t>
      </w:r>
      <w:r w:rsidRPr="00A27298">
        <w:t>е</w:t>
      </w:r>
      <w:r w:rsidRPr="00A27298">
        <w:t>ски возможно, к точке впрыска в систему последующей о</w:t>
      </w:r>
      <w:r w:rsidRPr="00A27298">
        <w:t>б</w:t>
      </w:r>
      <w:r w:rsidRPr="00A27298">
        <w:t xml:space="preserve">работки отработавших газов, </w:t>
      </w:r>
    </w:p>
    <w:p w:rsidR="00A457D7" w:rsidRPr="00A27298" w:rsidRDefault="00A457D7" w:rsidP="00A457D7">
      <w:pPr>
        <w:pStyle w:val="SingleTxtGR"/>
        <w:ind w:left="1701" w:hanging="567"/>
      </w:pPr>
      <w:r w:rsidRPr="00A27298">
        <w:tab/>
        <w:t>то максимальный период выявления недостаточного расхода реагента увеличивается до 48 часов или до периода, эквивалентного заданному расходу реагента в количестве как минимум 15 литров, в зависимости от того, какой период дольше".</w:t>
      </w:r>
    </w:p>
    <w:p w:rsidR="00A457D7" w:rsidRPr="00A27298" w:rsidRDefault="00A457D7" w:rsidP="00A457D7">
      <w:pPr>
        <w:pStyle w:val="SingleTxtGR"/>
        <w:rPr>
          <w:iCs/>
        </w:rPr>
      </w:pPr>
      <w:r w:rsidRPr="00A27298">
        <w:rPr>
          <w:i/>
        </w:rPr>
        <w:t xml:space="preserve">Пункт 8.3.2 </w:t>
      </w:r>
      <w:r w:rsidRPr="00A27298">
        <w:rPr>
          <w:iCs/>
        </w:rPr>
        <w:t>исключить.</w:t>
      </w:r>
    </w:p>
    <w:p w:rsidR="00A457D7" w:rsidRPr="00A27298" w:rsidRDefault="00A457D7" w:rsidP="00A457D7">
      <w:pPr>
        <w:pStyle w:val="SingleTxtGR"/>
      </w:pPr>
      <w:r w:rsidRPr="00A27298">
        <w:rPr>
          <w:i/>
        </w:rPr>
        <w:t xml:space="preserve">Пункт 8.4.1 </w:t>
      </w:r>
      <w:r w:rsidRPr="00A27298">
        <w:rPr>
          <w:iCs/>
        </w:rPr>
        <w:t>изменить следующим образом</w:t>
      </w:r>
      <w:r w:rsidRPr="00A27298">
        <w:t>:</w:t>
      </w:r>
    </w:p>
    <w:p w:rsidR="00A457D7" w:rsidRPr="007802A5" w:rsidRDefault="00A457D7" w:rsidP="00A457D7">
      <w:pPr>
        <w:pStyle w:val="SingleTxtGR"/>
        <w:ind w:left="2268" w:hanging="1134"/>
      </w:pPr>
      <w:proofErr w:type="gramStart"/>
      <w:r w:rsidRPr="00A27298">
        <w:t>"8.4.1</w:t>
      </w:r>
      <w:r w:rsidRPr="00A27298">
        <w:tab/>
      </w:r>
      <w:r w:rsidRPr="00A27298">
        <w:tab/>
        <w:t>Система предупреждения водителя, описанная в пункте 4, актив</w:t>
      </w:r>
      <w:r w:rsidRPr="00A27298">
        <w:t>и</w:t>
      </w:r>
      <w:r w:rsidRPr="00A27298">
        <w:t>руется в случае отклонения среднего расхода реагента более чем на п</w:t>
      </w:r>
      <w:r w:rsidRPr="007802A5">
        <w:t>ятьдесят % от среднего расхода реагента, заданного системой двигателя, в течение периода, определяемого по усмотрению изг</w:t>
      </w:r>
      <w:r w:rsidRPr="007802A5">
        <w:t>о</w:t>
      </w:r>
      <w:r w:rsidRPr="007802A5">
        <w:t>товителя, который все же должен быть не дольше максимального периода, указанного в пункте 8.3.1, или, если это применимо, в пункте 8.3.1.1.</w:t>
      </w:r>
      <w:proofErr w:type="gramEnd"/>
      <w:r w:rsidRPr="007802A5">
        <w:t xml:space="preserve"> Если система предупреждения включает в себя с</w:t>
      </w:r>
      <w:r w:rsidRPr="007802A5">
        <w:t>и</w:t>
      </w:r>
      <w:r w:rsidRPr="007802A5">
        <w:t>стему отображения сообщений, то высвечивается сообщение, ук</w:t>
      </w:r>
      <w:r w:rsidRPr="007802A5">
        <w:t>а</w:t>
      </w:r>
      <w:r w:rsidRPr="007802A5">
        <w:t>зывающее на причину предупреждения (например, "неправильная дозировка мочевины", «неправильная дозировка "</w:t>
      </w:r>
      <w:proofErr w:type="spellStart"/>
      <w:r w:rsidRPr="007802A5">
        <w:t>адблю</w:t>
      </w:r>
      <w:proofErr w:type="spellEnd"/>
      <w:r w:rsidRPr="007802A5">
        <w:t>"» или "н</w:t>
      </w:r>
      <w:r w:rsidRPr="007802A5">
        <w:t>е</w:t>
      </w:r>
      <w:r w:rsidRPr="007802A5">
        <w:t>правильная дозировка реагента")".</w:t>
      </w:r>
    </w:p>
    <w:p w:rsidR="007802A5" w:rsidRPr="007802A5" w:rsidRDefault="007802A5" w:rsidP="007802A5">
      <w:pPr>
        <w:pStyle w:val="SingleTxtGR"/>
      </w:pPr>
      <w:r w:rsidRPr="007802A5">
        <w:rPr>
          <w:i/>
        </w:rPr>
        <w:t xml:space="preserve">Пункт 8.4.1.1 </w:t>
      </w:r>
      <w:r w:rsidRPr="007802A5">
        <w:rPr>
          <w:iCs/>
        </w:rPr>
        <w:t>исключить</w:t>
      </w:r>
      <w:r w:rsidRPr="007802A5">
        <w:t>.</w:t>
      </w:r>
    </w:p>
    <w:p w:rsidR="007802A5" w:rsidRPr="007802A5" w:rsidRDefault="007802A5" w:rsidP="007802A5">
      <w:pPr>
        <w:pStyle w:val="SingleTxtGR"/>
      </w:pPr>
      <w:r w:rsidRPr="007802A5">
        <w:rPr>
          <w:i/>
        </w:rPr>
        <w:t>Добавление 2, пункт A.2.4.1.1</w:t>
      </w:r>
      <w:r w:rsidRPr="007802A5">
        <w:t xml:space="preserve"> изменить следующим образом: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>"A.2.4.1.1</w:t>
      </w:r>
      <w:r w:rsidRPr="007802A5">
        <w:tab/>
        <w:t>В соответствии с требованиями настоящего приложения данная с</w:t>
      </w:r>
      <w:r w:rsidRPr="007802A5">
        <w:t>и</w:t>
      </w:r>
      <w:r w:rsidRPr="007802A5">
        <w:t>стема включает счетчики для регистрации количества часов, в т</w:t>
      </w:r>
      <w:r w:rsidRPr="007802A5">
        <w:t>е</w:t>
      </w:r>
      <w:r w:rsidRPr="007802A5">
        <w:t>чение которых работал двигатель после обнаружения этой сист</w:t>
      </w:r>
      <w:r w:rsidRPr="007802A5">
        <w:t>е</w:t>
      </w:r>
      <w:r w:rsidRPr="007802A5">
        <w:t>мой любой из следующих неисправностей</w:t>
      </w:r>
      <w:proofErr w:type="gramStart"/>
      <w:r w:rsidRPr="007802A5">
        <w:t>:…".</w:t>
      </w:r>
      <w:proofErr w:type="gramEnd"/>
    </w:p>
    <w:p w:rsidR="007802A5" w:rsidRPr="007802A5" w:rsidRDefault="007802A5" w:rsidP="007802A5">
      <w:pPr>
        <w:pStyle w:val="SingleTxtGR"/>
        <w:keepNext/>
        <w:pageBreakBefore/>
        <w:spacing w:before="240"/>
        <w:rPr>
          <w:i/>
        </w:rPr>
      </w:pPr>
      <w:r w:rsidRPr="007802A5">
        <w:rPr>
          <w:i/>
        </w:rPr>
        <w:lastRenderedPageBreak/>
        <w:t>Приложение 15</w:t>
      </w:r>
    </w:p>
    <w:p w:rsidR="007802A5" w:rsidRPr="007802A5" w:rsidRDefault="007802A5" w:rsidP="007802A5">
      <w:pPr>
        <w:pStyle w:val="SingleTxtGR"/>
      </w:pPr>
      <w:r w:rsidRPr="007802A5">
        <w:rPr>
          <w:i/>
        </w:rPr>
        <w:t>Пункт 4.2.2</w:t>
      </w:r>
      <w:r w:rsidRPr="007802A5">
        <w:t xml:space="preserve"> изменить следующим образом: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>"4.2.2</w:t>
      </w:r>
      <w:r w:rsidRPr="007802A5">
        <w:tab/>
      </w:r>
      <w:r w:rsidRPr="007802A5">
        <w:tab/>
        <w:t xml:space="preserve">Эксплуатационное ограничение, применимое к </w:t>
      </w:r>
      <w:proofErr w:type="spellStart"/>
      <w:r w:rsidRPr="007802A5">
        <w:t>двухтопливным</w:t>
      </w:r>
      <w:proofErr w:type="spellEnd"/>
      <w:r w:rsidRPr="007802A5">
        <w:t xml:space="preserve"> транспортным средствам, когда они работают в сервисном режиме, приводится в действие "системой активной мотивации", указанной в приложении 11, либо в особом случае, описанном в пун</w:t>
      </w:r>
      <w:r w:rsidRPr="007802A5">
        <w:t>к</w:t>
      </w:r>
      <w:r w:rsidRPr="007802A5">
        <w:t>те</w:t>
      </w:r>
      <w:r w:rsidRPr="007802A5">
        <w:rPr>
          <w:lang w:val="en-US"/>
        </w:rPr>
        <w:t> </w:t>
      </w:r>
      <w:r w:rsidRPr="007802A5">
        <w:t>4.2.2.3, при ограничении мощности, предусмотренной в этом пункте".</w:t>
      </w:r>
    </w:p>
    <w:p w:rsidR="007802A5" w:rsidRPr="007802A5" w:rsidRDefault="007802A5" w:rsidP="007802A5">
      <w:pPr>
        <w:pStyle w:val="SingleTxtGR"/>
      </w:pPr>
      <w:r w:rsidRPr="007802A5">
        <w:rPr>
          <w:i/>
        </w:rPr>
        <w:t>Включить новые пункты 4.2.2.2−4.2.2.3.3</w:t>
      </w:r>
      <w:r w:rsidRPr="007802A5">
        <w:t xml:space="preserve"> следующего содержания:</w:t>
      </w:r>
    </w:p>
    <w:p w:rsidR="007802A5" w:rsidRPr="007802A5" w:rsidRDefault="007802A5" w:rsidP="007802A5">
      <w:pPr>
        <w:pStyle w:val="SingleTxtGR"/>
      </w:pPr>
      <w:r w:rsidRPr="007802A5">
        <w:t>"4.2.2.2</w:t>
      </w:r>
      <w:r w:rsidRPr="007802A5">
        <w:tab/>
        <w:t>Отключение эксплуатационного ограничения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ab/>
      </w:r>
      <w:r w:rsidRPr="007802A5">
        <w:tab/>
        <w:t>В случае порожнего газового баллона эксплуатационное огранич</w:t>
      </w:r>
      <w:r w:rsidRPr="007802A5">
        <w:t>е</w:t>
      </w:r>
      <w:r w:rsidRPr="007802A5">
        <w:t xml:space="preserve">ние в </w:t>
      </w:r>
      <w:proofErr w:type="spellStart"/>
      <w:r w:rsidRPr="007802A5">
        <w:t>двухтопливном</w:t>
      </w:r>
      <w:proofErr w:type="spellEnd"/>
      <w:r w:rsidRPr="007802A5">
        <w:t xml:space="preserve"> режиме из-за отсутствия газообразного то</w:t>
      </w:r>
      <w:r w:rsidRPr="007802A5">
        <w:t>п</w:t>
      </w:r>
      <w:r w:rsidRPr="007802A5">
        <w:t>лива должно быть деактивировано, как только газовый баллон наполняется выше критического уровня.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>4.2.2.3</w:t>
      </w:r>
      <w:r w:rsidRPr="007802A5">
        <w:tab/>
        <w:t xml:space="preserve">Ремонт и техническое обслуживание </w:t>
      </w:r>
      <w:proofErr w:type="spellStart"/>
      <w:r w:rsidRPr="007802A5">
        <w:t>двухтопливных</w:t>
      </w:r>
      <w:proofErr w:type="spellEnd"/>
      <w:r w:rsidRPr="007802A5">
        <w:t xml:space="preserve"> двигателей типа</w:t>
      </w:r>
      <w:proofErr w:type="gramStart"/>
      <w:r w:rsidRPr="007802A5">
        <w:t xml:space="preserve"> А</w:t>
      </w:r>
      <w:proofErr w:type="gramEnd"/>
      <w:r w:rsidRPr="007802A5">
        <w:t>, работающих на СПГ, и оснащенных такими двигателями транспортных средств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ab/>
      </w:r>
      <w:r w:rsidRPr="007802A5">
        <w:tab/>
        <w:t xml:space="preserve">В случае </w:t>
      </w:r>
      <w:proofErr w:type="spellStart"/>
      <w:r w:rsidRPr="007802A5">
        <w:t>двухтопливных</w:t>
      </w:r>
      <w:proofErr w:type="spellEnd"/>
      <w:r w:rsidRPr="007802A5">
        <w:t xml:space="preserve"> двигателей типа</w:t>
      </w:r>
      <w:proofErr w:type="gramStart"/>
      <w:r w:rsidRPr="007802A5">
        <w:t xml:space="preserve"> А</w:t>
      </w:r>
      <w:proofErr w:type="gramEnd"/>
      <w:r w:rsidRPr="007802A5">
        <w:t>, работающих на СПГ, и оснащенных такими двигателями транспортных средств изготов</w:t>
      </w:r>
      <w:r w:rsidRPr="007802A5">
        <w:t>и</w:t>
      </w:r>
      <w:r w:rsidRPr="007802A5">
        <w:t>тель может вместо ограничения скорости автомобиля до 20 км/ч выбрать вариант ограничения мощности двигателя до 20% от зая</w:t>
      </w:r>
      <w:r w:rsidRPr="007802A5">
        <w:t>в</w:t>
      </w:r>
      <w:r w:rsidRPr="007802A5">
        <w:t xml:space="preserve">ленной максимальной мощности в </w:t>
      </w:r>
      <w:proofErr w:type="spellStart"/>
      <w:r w:rsidRPr="007802A5">
        <w:t>двухтопливном</w:t>
      </w:r>
      <w:proofErr w:type="spellEnd"/>
      <w:r w:rsidRPr="007802A5">
        <w:t xml:space="preserve"> режиме, причем </w:t>
      </w:r>
      <w:r>
        <w:t xml:space="preserve">может </w:t>
      </w:r>
      <w:r w:rsidRPr="007802A5">
        <w:t>делать это при любой частоте вращения двигателя, когда во время операции по ремонту или обслуживанию активируется се</w:t>
      </w:r>
      <w:r w:rsidRPr="007802A5">
        <w:t>р</w:t>
      </w:r>
      <w:r w:rsidRPr="007802A5">
        <w:t>висный режим.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>4.2.2.3.1</w:t>
      </w:r>
      <w:r w:rsidRPr="007802A5">
        <w:tab/>
      </w:r>
      <w:r>
        <w:t>Функция</w:t>
      </w:r>
      <w:r w:rsidRPr="007802A5">
        <w:t xml:space="preserve"> ограничения мощности может быть активирован</w:t>
      </w:r>
      <w:r>
        <w:t>а</w:t>
      </w:r>
      <w:r w:rsidRPr="007802A5">
        <w:t xml:space="preserve"> только в том случае, если система выявляет отсутствие топлива в газовом баллоне не позднее чем через 5 минут с момента проворачивания коленчатого вала двигателя, когда двигатель работает на холостом ходу.</w:t>
      </w:r>
    </w:p>
    <w:p w:rsidR="007802A5" w:rsidRPr="007802A5" w:rsidRDefault="007802A5" w:rsidP="007802A5">
      <w:pPr>
        <w:pStyle w:val="SingleTxtGR"/>
        <w:ind w:left="2268" w:hanging="1134"/>
      </w:pPr>
      <w:r w:rsidRPr="007802A5">
        <w:t>4.2.2.3.2</w:t>
      </w:r>
      <w:r w:rsidRPr="007802A5">
        <w:tab/>
      </w:r>
      <w:r>
        <w:t>Функция</w:t>
      </w:r>
      <w:r w:rsidRPr="007802A5">
        <w:t xml:space="preserve"> ограничения мощности не должн</w:t>
      </w:r>
      <w:r>
        <w:t>а</w:t>
      </w:r>
      <w:r w:rsidRPr="007802A5">
        <w:t xml:space="preserve"> активироваться, когда система выявляет отсутствие топлива в газовом баллоне после предыдущего ездового цикла и газовый баллон не был вновь наполнен.</w:t>
      </w:r>
    </w:p>
    <w:p w:rsidR="007802A5" w:rsidRPr="00D97BE8" w:rsidRDefault="007802A5" w:rsidP="007802A5">
      <w:pPr>
        <w:pStyle w:val="SingleTxtGR"/>
        <w:ind w:left="2268" w:hanging="1134"/>
        <w:rPr>
          <w:b/>
        </w:rPr>
      </w:pPr>
      <w:r w:rsidRPr="007802A5">
        <w:t>4.2.2.3.3</w:t>
      </w:r>
      <w:proofErr w:type="gramStart"/>
      <w:r w:rsidRPr="007802A5">
        <w:tab/>
        <w:t>В</w:t>
      </w:r>
      <w:proofErr w:type="gramEnd"/>
      <w:r w:rsidRPr="007802A5">
        <w:t xml:space="preserve"> ходе официального утверждения типа изготовитель должен пр</w:t>
      </w:r>
      <w:r w:rsidRPr="007802A5">
        <w:t>о</w:t>
      </w:r>
      <w:r w:rsidRPr="007802A5">
        <w:t xml:space="preserve">демонстрировать, что </w:t>
      </w:r>
      <w:r>
        <w:t>функция</w:t>
      </w:r>
      <w:r w:rsidRPr="007802A5">
        <w:t xml:space="preserve"> ограничения мощности может быть активирован</w:t>
      </w:r>
      <w:r>
        <w:t>а</w:t>
      </w:r>
      <w:r w:rsidRPr="007802A5">
        <w:t xml:space="preserve"> только во время операции по ремонту или технич</w:t>
      </w:r>
      <w:r w:rsidRPr="007802A5">
        <w:t>е</w:t>
      </w:r>
      <w:r w:rsidRPr="007802A5">
        <w:t>скому обслуживанию".</w:t>
      </w:r>
    </w:p>
    <w:p w:rsidR="007802A5" w:rsidRPr="007802A5" w:rsidRDefault="007802A5" w:rsidP="007802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2A5" w:rsidRDefault="007802A5" w:rsidP="00A457D7">
      <w:pPr>
        <w:pStyle w:val="SingleTxtGR"/>
        <w:ind w:left="2268" w:hanging="1134"/>
      </w:pPr>
    </w:p>
    <w:p w:rsidR="00FE58A5" w:rsidRPr="00FE58A5" w:rsidRDefault="00FE58A5" w:rsidP="0039617C">
      <w:pPr>
        <w:pStyle w:val="SingleTxtGR"/>
      </w:pPr>
    </w:p>
    <w:sectPr w:rsidR="00FE58A5" w:rsidRPr="00FE58A5" w:rsidSect="00FB189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A5" w:rsidRDefault="007802A5">
      <w:r>
        <w:rPr>
          <w:lang w:val="en-US"/>
        </w:rPr>
        <w:tab/>
      </w:r>
      <w:r>
        <w:separator/>
      </w:r>
    </w:p>
  </w:endnote>
  <w:endnote w:type="continuationSeparator" w:id="0">
    <w:p w:rsidR="007802A5" w:rsidRDefault="007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1D1038" w:rsidRDefault="007802A5" w:rsidP="006C43F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D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GE.15-0</w:t>
    </w:r>
    <w:r w:rsidR="001D1038">
      <w:rPr>
        <w:lang w:val="ru-RU"/>
      </w:rPr>
      <w:t>7499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 w:rsidP="006C43F8">
    <w:pPr>
      <w:pStyle w:val="Footer"/>
    </w:pPr>
    <w:r>
      <w:rPr>
        <w:lang w:val="en-US"/>
      </w:rPr>
      <w:t>GE.15-0</w:t>
    </w:r>
    <w:r w:rsidR="001D1038">
      <w:rPr>
        <w:lang w:val="ru-RU"/>
      </w:rPr>
      <w:t>7499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DA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73"/>
      <w:gridCol w:w="4607"/>
      <w:gridCol w:w="1575"/>
    </w:tblGrid>
    <w:tr w:rsidR="007802A5" w:rsidTr="00296D2C">
      <w:trPr>
        <w:trHeight w:val="438"/>
      </w:trPr>
      <w:tc>
        <w:tcPr>
          <w:tcW w:w="4068" w:type="dxa"/>
          <w:vAlign w:val="bottom"/>
        </w:tcPr>
        <w:p w:rsidR="007802A5" w:rsidRDefault="007802A5" w:rsidP="001D1038">
          <w:r>
            <w:rPr>
              <w:lang w:val="en-US"/>
            </w:rPr>
            <w:t>GE.15-0</w:t>
          </w:r>
          <w:r w:rsidR="001D1038">
            <w:t>7499</w:t>
          </w:r>
          <w:r>
            <w:rPr>
              <w:lang w:val="en-US"/>
            </w:rPr>
            <w:t xml:space="preserve">  (R)   200515   200515</w:t>
          </w:r>
        </w:p>
      </w:tc>
      <w:tc>
        <w:tcPr>
          <w:tcW w:w="4663" w:type="dxa"/>
          <w:vMerge w:val="restart"/>
          <w:vAlign w:val="bottom"/>
        </w:tcPr>
        <w:p w:rsidR="007802A5" w:rsidRDefault="007802A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D29247A" wp14:editId="0E6953C2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802A5" w:rsidRDefault="007802A5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9BF017B" wp14:editId="2FA8BAE1">
                <wp:extent cx="862965" cy="862965"/>
                <wp:effectExtent l="0" t="0" r="0" b="0"/>
                <wp:docPr id="7" name="Рисунок 7" descr="http://undocs.org/m2/QRCode2.ashx?DS=ECE/TRANS/WP.29/2015/5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02A5" w:rsidRPr="00797A78" w:rsidTr="00296D2C">
      <w:tc>
        <w:tcPr>
          <w:tcW w:w="4068" w:type="dxa"/>
          <w:vAlign w:val="bottom"/>
        </w:tcPr>
        <w:p w:rsidR="007802A5" w:rsidRPr="001F08F1" w:rsidRDefault="007802A5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F08F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802A5" w:rsidRDefault="007802A5" w:rsidP="00296D2C"/>
      </w:tc>
      <w:tc>
        <w:tcPr>
          <w:tcW w:w="1124" w:type="dxa"/>
          <w:vMerge/>
        </w:tcPr>
        <w:p w:rsidR="007802A5" w:rsidRDefault="007802A5" w:rsidP="00296D2C"/>
      </w:tc>
    </w:tr>
  </w:tbl>
  <w:p w:rsidR="007802A5" w:rsidRDefault="007802A5" w:rsidP="00D6059C">
    <w:pPr>
      <w:spacing w:line="240" w:lineRule="auto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 w:rsidP="006C43F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34AE9" wp14:editId="075DADD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2A5" w:rsidRPr="009A6F4A" w:rsidRDefault="007802A5" w:rsidP="00A457D7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GE.15-0</w:t>
                          </w:r>
                          <w:r>
                            <w:rPr>
                              <w:lang w:val="ru-RU"/>
                            </w:rPr>
                            <w:t>7499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3DA2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7802A5" w:rsidRDefault="007802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-34pt;margin-top:0;width:17pt;height:48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N44AIAADIGAAAOAAAAZHJzL2Uyb0RvYy54bWysVM1uEzEQviPxDpbvdJNAKhp1U4WWIqSq&#10;rWhRzxOvnV3V6zG2k2x4GZ6CExLPkEdi7N1NSumBIi7e8fqbv29+jk+aWrOVdL5Ck/PhwYAzaQQW&#10;lVnk/PPt+au3nPkApgCNRuZ8Iz0/mb58cby2EznCEnUhHSMjxk/WNudlCHaSZV6UsgZ/gFYaelTo&#10;agh0dYuscLAm67XORoPBYbZGV1iHQnpPf8/aRz5N9pWSIlwp5WVgOucUW0inS+c8ntn0GCYLB7as&#10;RBcG/EMUNVSGnO5MnUEAtnTVH6bqSjj0qMKBwDpDpSohUw6UzXDwKJubEqxMuRA53u5o8v/PrLhc&#10;XTtWFTkfc2agphJtv21/bn9sv7NxZGdt/YRAN5ZgoXmHDVU5ZertBYp7T5DsAaZV8ISObDTK1fFL&#10;eTJSpAJsdqTLJjBBP0fD8dGAXgQ9HQ5Hwzd0iUb32tb58EFizaKQc0dFTRHA6sKHFtpDojOPuirO&#10;K63TJTaSPNWOrYBaYL4YdsZ/Q2nD1jk/Go+IBAHUhkpDILG2RIw3C85AL6i/RXDJs8Fon1zDJHo+&#10;A1+29pPVtqkcLk2RIKWE4r0pWNhYotfQHPDorpYFZ1qS2SglZIBK/w2SyNEmepepxTsaYhla5pMU&#10;NlpGjDafpKISpwI8wQkIIU3oeUnoiFKU4XMUO/w+qucot3mQRvKMJuyU68pgS3raCftSFvd9yKrF&#10;d43o27wjBaGZN6m3X0d64585FhtqZIftIvBWnFdUwAvw4RocTT41Im2zcEWH0khVwk7irET39an/&#10;EZ/zeFJZaZNQx3xZgqMi64+GRjWunV5wvTDvBbOsT5E6c0h70ookkoILuheVw/qOltwseqEnMIIi&#10;yTl5a8XT0O4zWpJCzmYJRMvFQrgwN1b08xob9ba5A2e7OQo0gZfY7xiYPBqnFhvrYXC2DKiqNGt7&#10;Fju+aTGlae2WaNx8D+8JtV/1018AAAD//wMAUEsDBBQABgAIAAAAIQAfBjUQ3wAAAAgBAAAPAAAA&#10;ZHJzL2Rvd25yZXYueG1sTI/BTsMwEETvSPyDtUjcUieAojbEqapKCHFCNZHguI3dOCW2Q+y2yd+z&#10;nOhlNatZzb4p15Pt2VmPofNOQLZIgWnXeNW5VkD98ZIsgYWITmHvnRYw6wDr6vamxEL5i9vps4wt&#10;oxAXChRgYhwKzkNjtMWw8IN25B38aDHSOrZcjXihcNvzhzTNucXO0QeDg94a3XzLkxXws/r8qrP6&#10;/U2+zjt5NFu5wWwW4v5u2jwDi3qK/8fwh0/oUBHT3p+cCqwXkORL6hIF0CQ7eXwisRewyknwquTX&#10;BapfAAAA//8DAFBLAQItABQABgAIAAAAIQC2gziS/gAAAOEBAAATAAAAAAAAAAAAAAAAAAAAAABb&#10;Q29udGVudF9UeXBlc10ueG1sUEsBAi0AFAAGAAgAAAAhADj9If/WAAAAlAEAAAsAAAAAAAAAAAAA&#10;AAAALwEAAF9yZWxzLy5yZWxzUEsBAi0AFAAGAAgAAAAhAKh9k3jgAgAAMgYAAA4AAAAAAAAAAAAA&#10;AAAALgIAAGRycy9lMm9Eb2MueG1sUEsBAi0AFAAGAAgAAAAhAB8GNRDfAAAACAEAAA8AAAAAAAAA&#10;AAAAAAAAOgUAAGRycy9kb3ducmV2LnhtbFBLBQYAAAAABAAEAPMAAABGBgAAAAA=&#10;" fillcolor="white [3212]" stroked="f">
              <v:stroke joinstyle="round"/>
              <v:path arrowok="t"/>
              <v:textbox style="layout-flow:vertical" inset="0,0,0,0">
                <w:txbxContent>
                  <w:p w:rsidR="007802A5" w:rsidRPr="009A6F4A" w:rsidRDefault="007802A5" w:rsidP="00A457D7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GE.15-0</w:t>
                    </w:r>
                    <w:r>
                      <w:rPr>
                        <w:lang w:val="ru-RU"/>
                      </w:rPr>
                      <w:t>7499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93DA2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7802A5" w:rsidRDefault="007802A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1D1038" w:rsidRDefault="007802A5" w:rsidP="006C43F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DA2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GE.15</w:t>
    </w:r>
    <w:r w:rsidR="001D1038">
      <w:rPr>
        <w:lang w:val="ru-RU"/>
      </w:rPr>
      <w:t>-</w:t>
    </w:r>
    <w:r w:rsidR="001D1038">
      <w:rPr>
        <w:lang w:val="en-US"/>
      </w:rPr>
      <w:t>0</w:t>
    </w:r>
    <w:r w:rsidR="001D1038">
      <w:rPr>
        <w:lang w:val="ru-RU"/>
      </w:rPr>
      <w:t>7499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 w:rsidP="002A5909">
    <w:pPr>
      <w:pStyle w:val="Footer"/>
    </w:pPr>
    <w:r>
      <w:rPr>
        <w:lang w:val="en-US"/>
      </w:rPr>
      <w:t>GE.15-0</w:t>
    </w:r>
    <w:r w:rsidR="001D1038">
      <w:rPr>
        <w:lang w:val="ru-RU"/>
      </w:rPr>
      <w:t>7499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DA2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 w:rsidP="005B381A">
    <w:pPr>
      <w:pStyle w:val="Footer"/>
      <w:rPr>
        <w:sz w:val="2"/>
        <w:szCs w:val="2"/>
        <w:lang w:val="en-US"/>
      </w:rPr>
    </w:pPr>
    <w:r>
      <w:rPr>
        <w:lang w:val="en-US"/>
      </w:rPr>
      <w:t>GE.15-0</w:t>
    </w:r>
    <w:r w:rsidR="00507250">
      <w:rPr>
        <w:lang w:val="ru-RU"/>
      </w:rPr>
      <w:t>7499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DA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A5" w:rsidRPr="00F71F63" w:rsidRDefault="007802A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02A5" w:rsidRPr="00F71F63" w:rsidRDefault="007802A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02A5" w:rsidRPr="00635E86" w:rsidRDefault="007802A5" w:rsidP="00635E86">
      <w:pPr>
        <w:pStyle w:val="Footer"/>
      </w:pPr>
    </w:p>
  </w:footnote>
  <w:footnote w:id="1">
    <w:p w:rsidR="007802A5" w:rsidRPr="008F5AD7" w:rsidRDefault="007802A5" w:rsidP="00853903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 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E71A0F" w:rsidRDefault="007802A5">
    <w:pPr>
      <w:pStyle w:val="Header"/>
      <w:rPr>
        <w:lang w:val="en-US"/>
      </w:rPr>
    </w:pPr>
    <w:r>
      <w:rPr>
        <w:lang w:val="en-US"/>
      </w:rPr>
      <w:t>ECE/</w:t>
    </w:r>
    <w:r w:rsidRPr="009477A9">
      <w:rPr>
        <w:lang w:val="en-US"/>
      </w:rPr>
      <w:t>TRANS/WP.29/</w:t>
    </w:r>
    <w:r>
      <w:rPr>
        <w:lang w:val="en-US"/>
      </w:rPr>
      <w:t>2015/55</w:t>
    </w:r>
  </w:p>
  <w:p w:rsidR="007802A5" w:rsidRDefault="00780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 w:rsidP="001F08F1">
    <w:pPr>
      <w:pStyle w:val="Header"/>
    </w:pPr>
    <w:r>
      <w:rPr>
        <w:lang w:val="en-US"/>
      </w:rPr>
      <w:tab/>
      <w:t>ECE/</w:t>
    </w:r>
    <w:r w:rsidRPr="009477A9">
      <w:rPr>
        <w:lang w:val="en-US"/>
      </w:rPr>
      <w:t>TRANS/WP.29/</w:t>
    </w:r>
    <w:r>
      <w:rPr>
        <w:lang w:val="en-US"/>
      </w:rPr>
      <w:t>2015/55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0815DF" w:rsidRDefault="007802A5" w:rsidP="000815DF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3F832E" wp14:editId="4D982A17">
              <wp:simplePos x="0" y="0"/>
              <wp:positionH relativeFrom="page">
                <wp:posOffset>9689455</wp:posOffset>
              </wp:positionH>
              <wp:positionV relativeFrom="margin">
                <wp:posOffset>67160</wp:posOffset>
              </wp:positionV>
              <wp:extent cx="215900" cy="61214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2A5" w:rsidRPr="001F13B8" w:rsidRDefault="007802A5" w:rsidP="00E576C8">
                          <w:pPr>
                            <w:pStyle w:val="Head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</w:t>
                          </w:r>
                          <w:r>
                            <w:rPr>
                              <w:lang w:val="ru-RU"/>
                            </w:rPr>
                            <w:t>2015/55</w:t>
                          </w:r>
                        </w:p>
                        <w:p w:rsidR="007802A5" w:rsidRDefault="007802A5" w:rsidP="00E576C8"/>
                        <w:p w:rsidR="007802A5" w:rsidRDefault="007802A5" w:rsidP="00E576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2.95pt;margin-top:5.3pt;width:17pt;height:48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JH3AIAACsGAAAOAAAAZHJzL2Uyb0RvYy54bWysVM1uEzEQviPxDpbvdJOIRjTqpgotRUhR&#10;qWhRzxOvnV3V6zG2k2x4GZ6CExLPkEdi7N1NSumBIi7e8fqbv29+Ts+aWrO1dL5Ck/Ph0YAzaQQW&#10;lVnm/PPt5as3nPkApgCNRuZ8Kz0/m758cbqxEznCEnUhHSMjxk82NudlCHaSZV6UsgZ/hFYaelTo&#10;agh0dcuscLAh67XORoPBONugK6xDIb2nvxftI58m+0pJET4q5WVgOucUW0inS+cintn0FCZLB7as&#10;RBcG/EMUNVSGnO5NXUAAtnLVH6bqSjj0qMKRwDpDpSohUw6UzXDwKJubEqxMuRA53u5p8v/PrLha&#10;XztWFTkfc2agphLtvu1+7n7svrNxZGdj/YRAN5ZgoXmLDVU5ZertHMW9J0j2ANMqeEJHNhrl6vil&#10;PBkpUgG2e9JlE5ign6Ph8cmAXgQ9jYej4Wu6RKMHbet8eC+xZlHIuaOipghgPfehhfaQ6MyjrorL&#10;Sut0iY0kz7Vja6AWWCyHnfHfUNqwTc5PjkfHFAdQGyoNgcTaEjHeLDkDvaT+FsElzwajfXINk+j5&#10;AnzZ2k9W26ZyuDJFgpQSinemYGFriV5Dc8Cju1oWnGlJZqOUkAEq/TdIIkeb6F2mFu9oiGVomU9S&#10;2GoZMdp8kopKnArwBCcghDSh5yWhI0pRhs9R7PCHqJ6j3OZBGskzmrBXriuDLelpJxxKWdz3IasW&#10;3zWib/OOFIRm0RCvUVxgsaUOdthuAG/FZUWVm4MP1+Bo5KkDaY2Fj3QojVQe7CTOSnRfn/of8TmP&#10;J9WTVgi1ypcVOKqu/mBoRuO+6QXXC4teMKv6HKklh7QgrUgiKbige1E5rO9ou82iF3oCIyiSnJO3&#10;VjwP7SKj7SjkbJZAtFUshLm5saIf1Niht80dONsNUKDRu8J+ucDk0Ry12FgIg7NVQFWlITuw2BFN&#10;GymNabc948p7eE+ow46f/gIAAP//AwBQSwMEFAAGAAgAAAAhADC9OpLhAAAADAEAAA8AAABkcnMv&#10;ZG93bnJldi54bWxMj8FOwzAQRO9I/IO1SNyok4oEksapqkoIcUI1kehxG5skENshdtvk79meym1n&#10;dzT7plhPpmcnPfrOWQHxIgKmbe1UZxsB1cfLwzMwH9Aq7J3VAmbtYV3e3hSYK3e2O32SoWEUYn2O&#10;AtoQhpxzX7faoF+4QVu6fbnRYCA5NlyNeKZw0/NlFKXcYGfpQ4uD3ra6/pFHI+A3+9xXcfX+Jl/n&#10;nfxut3KD8SzE/d20WQELegpXM1zwCR1KYjq4o1We9aSTZZKRl6YoBXZxJElGm4OA7OkxBV4W/H+J&#10;8g8AAP//AwBQSwECLQAUAAYACAAAACEAtoM4kv4AAADhAQAAEwAAAAAAAAAAAAAAAAAAAAAAW0Nv&#10;bnRlbnRfVHlwZXNdLnhtbFBLAQItABQABgAIAAAAIQA4/SH/1gAAAJQBAAALAAAAAAAAAAAAAAAA&#10;AC8BAABfcmVscy8ucmVsc1BLAQItABQABgAIAAAAIQCVjBJH3AIAACsGAAAOAAAAAAAAAAAAAAAA&#10;AC4CAABkcnMvZTJvRG9jLnhtbFBLAQItABQABgAIAAAAIQAwvTqS4QAAAAwBAAAPAAAAAAAAAAAA&#10;AAAAADYFAABkcnMvZG93bnJldi54bWxQSwUGAAAAAAQABADzAAAARAYAAAAA&#10;" fillcolor="white [3212]" stroked="f">
              <v:stroke joinstyle="round"/>
              <v:path arrowok="t"/>
              <v:textbox style="layout-flow:vertical" inset="0,0,0,0">
                <w:txbxContent>
                  <w:p w:rsidR="007802A5" w:rsidRPr="001F13B8" w:rsidRDefault="007802A5" w:rsidP="00E576C8">
                    <w:pPr>
                      <w:pStyle w:val="a9"/>
                      <w:rPr>
                        <w:lang w:val="ru-RU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r>
                      <w:rPr>
                        <w:lang w:val="ru-RU"/>
                      </w:rPr>
                      <w:t>2015/55</w:t>
                    </w:r>
                  </w:p>
                  <w:p w:rsidR="007802A5" w:rsidRDefault="007802A5" w:rsidP="00E576C8"/>
                  <w:p w:rsidR="007802A5" w:rsidRDefault="007802A5" w:rsidP="00E576C8"/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A0B697" wp14:editId="6D89BA1C">
              <wp:simplePos x="0" y="0"/>
              <wp:positionH relativeFrom="margin">
                <wp:posOffset>-260350</wp:posOffset>
              </wp:positionH>
              <wp:positionV relativeFrom="margin">
                <wp:posOffset>6350</wp:posOffset>
              </wp:positionV>
              <wp:extent cx="215900" cy="612140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2A5" w:rsidRPr="001F13B8" w:rsidRDefault="007802A5" w:rsidP="001F13B8">
                          <w:pPr>
                            <w:pStyle w:val="Footer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3DA2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ab/>
                            <w:t>GE.15-</w:t>
                          </w:r>
                          <w:r>
                            <w:rPr>
                              <w:lang w:val="ru-RU"/>
                            </w:rPr>
                            <w:t>07499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-20.5pt;margin-top:.5pt;width:17pt;height:48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ty3wIAADQGAAAOAAAAZHJzL2Uyb0RvYy54bWysVMtuEzEU3SPxD5b3NA/RikadVKGlCKkq&#10;FS3q2vHYmVE9trGdZMLP8BWskPiGfBLH9kxSShcUsfFcj899nfs4OW0bRVbC+drogo4OhpQIzU1Z&#10;60VBP99evHpDiQ9Ml0wZLQq6EZ6eTl++OFnbiRibyqhSOAIj2k/WtqBVCHYyGHheiYb5A2OFxqM0&#10;rmEBV7cYlI6tYb1Rg/FweDRYG1daZ7jwHn/P8yOdJvtSCh4+SulFIKqgiC2k06VzHs/B9IRNFo7Z&#10;quZdGOwfomhYreF0Z+qcBUaWrv7DVFNzZ7yR4YCbZmCkrLlIOSCb0fBRNjcVsyLlAnK83dHk/59Z&#10;frW6dqQuUbsRJZo1qNH22/bn9sf2O8Ev8LO2fgLYjQUwtG9NC2zK1dtLw+89IIMHmKzggY58tNI1&#10;8YtMCRRRgs2OdtEGwvFzPDo8HuKF4+loNB69xiUa3Wtb58N7YRoShYI6lDVFwFaXPmRoD4nOvFF1&#10;eVErlS6xlcSZcmTF0ATzRUoKxn9DKU3WBT0+HB8iDoZGlIoFiI0FNV4vKGFqgQ7nwSXP2kT7cM0m&#10;0fM581W2n6zmtnJmqcsEqQQr3+mShI0FvxqTQKO7RpSUKAGzUUrIwGr1N0jEr3T0LlKTdzTEMmTm&#10;kxQ2SkSM0p+ERJFTAZ7ghHEudOh5SeiIksjwOYodfh/Vc5RzHtBIno0OO+Wm1iaTnrbCvpTlfR+y&#10;zPiuEX3OO1IQ2nmbu7vv5LkpN2hkZ/Iq8JZf1CjgJfPhmjnMPhoR+yx8xCGVQZVMJ1FSGff1qf8R&#10;X9B4oqzYJeiYL0vmUGT1QWNY4+LpBdcL817Qy+bMoDMxf4gmiVBwQfWidKa5w5qbRS94YpojkoLC&#10;WxbPQt5oWJNczGYJhPViWbjUN5b38xob9ba9Y852cxQwgVem3zJs8micMjbWQ5vZMhhZp1mLvGYW&#10;O76xmtK0dms07r6H94TaL/vpLwAAAP//AwBQSwMEFAAGAAgAAAAhAIteZyfeAAAACAEAAA8AAABk&#10;cnMvZG93bnJldi54bWxMj8FOwzAQRO9I/IO1SNxSJwgKDXGqqhJCnFBNJDi6yRIH4nWI3Tb5e5ZT&#10;OY1WbzQ7U6wn14sjjqHzpCBbpCCQat901Cqo3p6SBxAhGmpM7wkVzBhgXV5eFCZv/Il2eNSxFRxC&#10;ITcKbIxDLmWoLToTFn5AYvbpR2cin2Mrm9GcONz18iZNl9KZjviDNQNuLdbf+uAU/KzeP6qsen3R&#10;z/NOf9mt3phsVur6ato8gog4xbMZ/upzdSi5094fqAmiV5DcZrwlMmBhntyz7hWslncpyLKQ/weU&#10;vwAAAP//AwBQSwECLQAUAAYACAAAACEAtoM4kv4AAADhAQAAEwAAAAAAAAAAAAAAAAAAAAAAW0Nv&#10;bnRlbnRfVHlwZXNdLnhtbFBLAQItABQABgAIAAAAIQA4/SH/1gAAAJQBAAALAAAAAAAAAAAAAAAA&#10;AC8BAABfcmVscy8ucmVsc1BLAQItABQABgAIAAAAIQD6PNty3wIAADQGAAAOAAAAAAAAAAAAAAAA&#10;AC4CAABkcnMvZTJvRG9jLnhtbFBLAQItABQABgAIAAAAIQCLXmcn3gAAAAgBAAAPAAAAAAAAAAAA&#10;AAAAADkFAABkcnMvZG93bnJldi54bWxQSwUGAAAAAAQABADzAAAARAYAAAAA&#10;" fillcolor="white [3212]" stroked="f">
              <v:stroke joinstyle="round"/>
              <v:path arrowok="t"/>
              <v:textbox style="layout-flow:vertical" inset="0,0,0,0">
                <w:txbxContent>
                  <w:p w:rsidR="007802A5" w:rsidRPr="001F13B8" w:rsidRDefault="007802A5" w:rsidP="001F13B8">
                    <w:pPr>
                      <w:pStyle w:val="Footer"/>
                      <w:rPr>
                        <w:lang w:val="ru-RU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93DA2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lang w:val="en-US"/>
                      </w:rPr>
                      <w:tab/>
                      <w:t>GE.15-</w:t>
                    </w:r>
                    <w:r>
                      <w:rPr>
                        <w:lang w:val="ru-RU"/>
                      </w:rPr>
                      <w:t>07499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A457D7" w:rsidRDefault="007802A5" w:rsidP="00A457D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4EC1C" wp14:editId="0332917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2A5" w:rsidRPr="001F13B8" w:rsidRDefault="007802A5" w:rsidP="00A457D7">
                          <w:pPr>
                            <w:pStyle w:val="Head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</w:t>
                          </w:r>
                          <w:r>
                            <w:rPr>
                              <w:lang w:val="ru-RU"/>
                            </w:rPr>
                            <w:t>2015/55</w:t>
                          </w:r>
                        </w:p>
                        <w:p w:rsidR="007802A5" w:rsidRDefault="007802A5" w:rsidP="00A457D7"/>
                        <w:p w:rsidR="007802A5" w:rsidRDefault="007802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771pt;margin-top:0;width:17pt;height:48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zG4AIAADIGAAAOAAAAZHJzL2Uyb0RvYy54bWysVM1uEzEQviPxDpbvdJOorWjUTRVaipCi&#10;tqJFPU+8dnZVr8fYTrLhZXgKTkg8Qx6JsXc3KaUHirh4x+tv/r75OT1ras1W0vkKTc6HBwPOpBFY&#10;VGaR8893l2/ecuYDmAI0GpnzjfT8bPL61enajuUIS9SFdIyMGD9e25yXIdhxlnlRyhr8AVpp6FGh&#10;qyHQ1S2ywsGarNc6Gw0Gx9kaXWEdCuk9/b1oH/kk2VdKinCtlJeB6ZxTbCGdLp3zeGaTUxgvHNiy&#10;El0Y8A9R1FAZcrozdQEB2NJVf5iqK+HQowoHAusMlaqETDlQNsPBk2xuS7Ay5ULkeLujyf8/s+Jq&#10;deNYVeT8kDMDNZVo+237c/tj+50dRnbW1o8JdGsJFpp32FCVU6bezlA8eIJkjzCtgid0ZKNRro5f&#10;ypORIhVgsyNdNoEJ+jkaHp0M6EXQ0/FwNDykSzS617bOhw8SaxaFnDsqaooAVjMfWmgPic486qq4&#10;rLROl9hI8lw7tgJqgfli2Bn/DaUNW+f85Gh0RHEAtaHSEEisLRHjzYIz0AvqbxFc8mww2ifXMI6e&#10;L8CXrf1ktW0qh0tTJEgpoXhvChY2lug1NAc8uqtlwZmWZDZKCRmg0n+DJHK0id5lavGOhliGlvkk&#10;hY2WEaPNJ6moxKkAz3ACQkgTel4SOqIUZfgSxQ6/j+olym0epJE8owk75boy2JKedsK+lMVDH7Jq&#10;8V0j+jbvSEFo5k3q7VGkN/6ZY7GhRnbYLgJvxWVFBZyBDzfgaPKpEWmbhWs6lEaqEnYSZyW6r8/9&#10;j/icx5PKSpuEOubLEhwVWX80NKpx7fSC64V5L5hlfY7UmUPak1YkkRRc0L2oHNb3tOSm0Qs9gREU&#10;Sc7JWyueh3af0ZIUcjpNIFouFsLM3FrRz2ts1LvmHpzt5ijQBF5hv2Ng/GScWmysh8HpMqCq0qzt&#10;Wez4psWUprVbonHzPb4n1H7VT34BAAD//wMAUEsDBBQABgAIAAAAIQDllzz94AAAAAoBAAAPAAAA&#10;ZHJzL2Rvd25yZXYueG1sTI/BTsMwEETvSPyDtUjcqJOqDW2IU1WVEOKEaiLRoxsvcSC2Q+y2yd+z&#10;PcFltaNZzb4pNqPt2BmH0HonIJ0lwNDVXreuEVC9Pz+sgIWonFaddyhgwgCb8vamULn2F7fHs4wN&#10;oxAXciXAxNjnnIfaoFVh5nt05H36wapIcmi4HtSFwm3H50mScataRx+M6nFnsP6WJyvgZ/1xqNLq&#10;7VW+THv5ZXZyq9JJiPu7cfsELOIY/47hik/oUBLT0Z+cDqwjvVzMqUwUQPPqLx8z2o4C1tkiAV4W&#10;/H+F8hcAAP//AwBQSwECLQAUAAYACAAAACEAtoM4kv4AAADhAQAAEwAAAAAAAAAAAAAAAAAAAAAA&#10;W0NvbnRlbnRfVHlwZXNdLnhtbFBLAQItABQABgAIAAAAIQA4/SH/1gAAAJQBAAALAAAAAAAAAAAA&#10;AAAAAC8BAABfcmVscy8ucmVsc1BLAQItABQABgAIAAAAIQC3SNzG4AIAADIGAAAOAAAAAAAAAAAA&#10;AAAAAC4CAABkcnMvZTJvRG9jLnhtbFBLAQItABQABgAIAAAAIQDllzz94AAAAAoBAAAPAAAAAAAA&#10;AAAAAAAAADoFAABkcnMvZG93bnJldi54bWxQSwUGAAAAAAQABADzAAAARwYAAAAA&#10;" fillcolor="white [3212]" stroked="f">
              <v:stroke joinstyle="round"/>
              <v:path arrowok="t"/>
              <v:textbox style="layout-flow:vertical" inset="0,0,0,0">
                <w:txbxContent>
                  <w:p w:rsidR="007802A5" w:rsidRPr="001F13B8" w:rsidRDefault="007802A5" w:rsidP="00A457D7">
                    <w:pPr>
                      <w:pStyle w:val="a9"/>
                      <w:rPr>
                        <w:lang w:val="ru-RU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r>
                      <w:rPr>
                        <w:lang w:val="ru-RU"/>
                      </w:rPr>
                      <w:t>2015/55</w:t>
                    </w:r>
                  </w:p>
                  <w:p w:rsidR="007802A5" w:rsidRDefault="007802A5" w:rsidP="00A457D7"/>
                  <w:p w:rsidR="007802A5" w:rsidRDefault="007802A5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Default="007802A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1D1038" w:rsidRDefault="007802A5">
    <w:pPr>
      <w:pStyle w:val="Header"/>
      <w:rPr>
        <w:lang w:val="ru-RU"/>
      </w:rPr>
    </w:pPr>
    <w:r>
      <w:rPr>
        <w:lang w:val="en-US"/>
      </w:rPr>
      <w:t>ECE/</w:t>
    </w:r>
    <w:r w:rsidRPr="009477A9">
      <w:rPr>
        <w:lang w:val="en-US"/>
      </w:rPr>
      <w:t>TRANS/WP.29/</w:t>
    </w:r>
    <w:r w:rsidR="001D1038">
      <w:rPr>
        <w:lang w:val="ru-RU"/>
      </w:rPr>
      <w:t>2015/55</w:t>
    </w:r>
  </w:p>
  <w:p w:rsidR="007802A5" w:rsidRDefault="007802A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9A6F4A" w:rsidRDefault="007802A5" w:rsidP="002A5909">
    <w:pPr>
      <w:pStyle w:val="Header"/>
      <w:rPr>
        <w:lang w:val="en-US"/>
      </w:rPr>
    </w:pPr>
    <w:r>
      <w:rPr>
        <w:lang w:val="en-US"/>
      </w:rPr>
      <w:tab/>
      <w:t>ECE/</w:t>
    </w:r>
    <w:r w:rsidRPr="009477A9">
      <w:rPr>
        <w:lang w:val="en-US"/>
      </w:rPr>
      <w:t>TRANS/WP.29/</w:t>
    </w:r>
    <w:r w:rsidR="001D1038">
      <w:rPr>
        <w:lang w:val="ru-RU"/>
      </w:rPr>
      <w:t>2015/55</w:t>
    </w:r>
  </w:p>
  <w:p w:rsidR="007802A5" w:rsidRPr="00A457D7" w:rsidRDefault="007802A5" w:rsidP="00A457D7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E6A30" wp14:editId="37AC9A3D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2A5" w:rsidRPr="009A6F4A" w:rsidRDefault="007802A5" w:rsidP="00A457D7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  <w:t>ECE/</w:t>
                          </w:r>
                          <w:r w:rsidRPr="009477A9">
                            <w:rPr>
                              <w:lang w:val="en-US"/>
                            </w:rPr>
                            <w:t>TRANS/WP.29/GRPE/70</w:t>
                          </w:r>
                        </w:p>
                        <w:p w:rsidR="007802A5" w:rsidRDefault="007802A5" w:rsidP="00A457D7"/>
                        <w:p w:rsidR="007802A5" w:rsidRDefault="007802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771pt;margin-top:0;width:17pt;height:48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SeSgMAAL4HAAAOAAAAZHJzL2Uyb0RvYy54bWzEVd1u0zAUvkfiHSzfd02qbKzVMrQfipAq&#10;hhiIa9dxmmiObWx3TUE8C0/BFRLPsEfis5N0bIDEEBI3zrHznXPs7/wdPW0bSa6FdbVWOU33EkqE&#10;4rqo1Sqnb9/MR4eUOM9UwaRWIqdb4ejT48ePjjZmJia60rIQlsCIcrONyWnlvZmNx45XomFuTxuh&#10;8LPUtmEeW7saF5ZtYL2R40mSHIw32hbGai6cw+l595MeR/tlKbi/KEsnPJE5xd18XG1cl2EdHx+x&#10;2coyU9W8vwb7i1s0rFZwujN1zjwja1v/ZKqpudVOl36P62asy7LmIr4Br0mTe6+5rJgR8S0gx5kd&#10;Te7fmeUvr19ZUhc5RaAUaxCim883326+3nwhh4GdjXEzgC4NYL491S2iHF/qzELzKwfI+AdMp+CA&#10;Dmy0pW3CF+8kUEQAtjvSResJx+Ek3Z8m+MPx6yCdpBk2weittrHOPxe6IUHIqUVQ4w3Y9cL5DjpA&#10;gjOnZV3MaynjJiSSOJOWXDOkAONcKJ/2Du4gpSKbnE73J/u4C0MqlpJ5iI0BOU6tKGFyhRzn3kbv&#10;SgcfcM9mwfs5c1XnI1rtEsvqtSoipBKseKYK4rcGFCvUAg3uGlFQIgXMBikiPavlnyBBkFTBu4hp&#10;3lGBXeshxnMQHFPw4zSdZMnpZDqaHxw+GWXzbH80fZIcjpJ0ejo9SLJpdj7/FB6VZrOqLgqhFrUS&#10;Qzmk2Z+lW1+YXSLHgngYoXeiESjdRW0pGb/6Vcz+E/F3aIqpCtaHb2Q/lkRXBaE4nN9KEWIi1WtR&#10;otxiMYSD2Oh+l58RHVAlMu0hij0+qHbZ8RDlnUb0rJXfKTe10l3y37t2cTWUVNnh+6bQvztQ4Ntl&#10;G/tMFgIZTpa62KKpWI2aRv07w+c1or5gzr9iFl0Yh5gs/gJLKTWqRfcSJZW2H351HvA5DSvKC10d&#10;lft+zSyKTb5QaJsw6QfBDsJyENS6OdPoEmm8TRShYL0cxNLq5h0Gzknwgl9Mcdwkp/DWiWe+my0Y&#10;WFycnEQQGr1hfqEuDR96Z8jbN+07Zk3f0zwS6KUe+j2b3WttHTbEQ+mTtddlHfveLYs93xgSMQ37&#10;gRam0I/7iLodu8ffAQAA//8DAFBLAwQUAAYACAAAACEATu7ajuAAAAAKAQAADwAAAGRycy9kb3du&#10;cmV2LnhtbEyPQU/CQBCF7yb+h82YeJOtBAqWbkk1kgg3sSEcl+7YNnZnm+4Wqr/e4aSXyby8yZvv&#10;pevRtuKMvW8cKXicRCCQSmcaqhQUH5uHJQgfNBndOkIF3+hhnd3epDox7kLveN6HSnAI+UQrqEPo&#10;Eil9WaPVfuI6JPY+XW91YNlX0vT6wuG2ldMoiqXVDfGHWnf4UmP5tR+sgu3uWDwvf7ZF3hw2+WH3&#10;hq/DApW6vxvzFYiAY/g7his+o0PGTCc3kPGiZT2fTblMUMDz6s8XMW8nBU/xLAKZpfJ/hewXAAD/&#10;/wMAUEsBAi0AFAAGAAgAAAAhALaDOJL+AAAA4QEAABMAAAAAAAAAAAAAAAAAAAAAAFtDb250ZW50&#10;X1R5cGVzXS54bWxQSwECLQAUAAYACAAAACEAOP0h/9YAAACUAQAACwAAAAAAAAAAAAAAAAAvAQAA&#10;X3JlbHMvLnJlbHNQSwECLQAUAAYACAAAACEAQXvUnkoDAAC+BwAADgAAAAAAAAAAAAAAAAAuAgAA&#10;ZHJzL2Uyb0RvYy54bWxQSwECLQAUAAYACAAAACEATu7ajuAAAAAKAQAADwAAAAAAAAAAAAAAAACk&#10;BQAAZHJzL2Rvd25yZXYueG1sUEsFBgAAAAAEAAQA8wAAALEGAAAAAA==&#10;" fillcolor="#4f81bd [3204]" stroked="f">
              <v:stroke joinstyle="round"/>
              <v:path arrowok="t"/>
              <v:textbox style="layout-flow:vertical" inset="0,0,0,0">
                <w:txbxContent>
                  <w:p w:rsidR="007802A5" w:rsidRPr="009A6F4A" w:rsidRDefault="007802A5" w:rsidP="00A457D7">
                    <w:pPr>
                      <w:pStyle w:val="a9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ECE</w:t>
                    </w:r>
                    <w:proofErr w:type="spellEnd"/>
                    <w:r>
                      <w:rPr>
                        <w:lang w:val="en-US"/>
                      </w:rPr>
                      <w:t>/</w:t>
                    </w:r>
                    <w:r w:rsidRPr="009477A9">
                      <w:rPr>
                        <w:lang w:val="en-US"/>
                      </w:rPr>
                      <w:t>TRANS/WP.29/</w:t>
                    </w:r>
                    <w:proofErr w:type="spellStart"/>
                    <w:r w:rsidRPr="009477A9">
                      <w:rPr>
                        <w:lang w:val="en-US"/>
                      </w:rPr>
                      <w:t>GRPE</w:t>
                    </w:r>
                    <w:proofErr w:type="spellEnd"/>
                    <w:r w:rsidRPr="009477A9">
                      <w:rPr>
                        <w:lang w:val="en-US"/>
                      </w:rPr>
                      <w:t>/70</w:t>
                    </w:r>
                  </w:p>
                  <w:p w:rsidR="007802A5" w:rsidRDefault="007802A5" w:rsidP="00A457D7"/>
                  <w:p w:rsidR="007802A5" w:rsidRDefault="007802A5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A5" w:rsidRPr="005629E7" w:rsidRDefault="007802A5" w:rsidP="005B381A">
    <w:pPr>
      <w:pStyle w:val="Header"/>
      <w:rPr>
        <w:lang w:val="ru-RU"/>
      </w:rPr>
    </w:pPr>
    <w:r>
      <w:rPr>
        <w:lang w:val="en-US"/>
      </w:rPr>
      <w:tab/>
      <w:t>ECE/</w:t>
    </w:r>
    <w:r w:rsidRPr="009477A9">
      <w:rPr>
        <w:lang w:val="en-US"/>
      </w:rPr>
      <w:t>TRANS/WP.29/</w:t>
    </w:r>
    <w:r w:rsidR="005629E7">
      <w:rPr>
        <w:lang w:val="ru-RU"/>
      </w:rPr>
      <w:t>2015/55</w:t>
    </w:r>
  </w:p>
  <w:p w:rsidR="007802A5" w:rsidRDefault="007802A5" w:rsidP="005B38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209"/>
    <w:rsid w:val="0006401A"/>
    <w:rsid w:val="00072C27"/>
    <w:rsid w:val="000815DF"/>
    <w:rsid w:val="00086182"/>
    <w:rsid w:val="00090891"/>
    <w:rsid w:val="00092E62"/>
    <w:rsid w:val="00096297"/>
    <w:rsid w:val="00097975"/>
    <w:rsid w:val="000A3DDF"/>
    <w:rsid w:val="000A60A0"/>
    <w:rsid w:val="000B66E0"/>
    <w:rsid w:val="000C3688"/>
    <w:rsid w:val="000D6863"/>
    <w:rsid w:val="0011659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67F3"/>
    <w:rsid w:val="001D07F7"/>
    <w:rsid w:val="001D1038"/>
    <w:rsid w:val="001D7B8F"/>
    <w:rsid w:val="001E48EE"/>
    <w:rsid w:val="001F08F1"/>
    <w:rsid w:val="001F13B8"/>
    <w:rsid w:val="001F2D04"/>
    <w:rsid w:val="0020059C"/>
    <w:rsid w:val="002019BD"/>
    <w:rsid w:val="00222829"/>
    <w:rsid w:val="0023160A"/>
    <w:rsid w:val="00232D42"/>
    <w:rsid w:val="00237334"/>
    <w:rsid w:val="00243682"/>
    <w:rsid w:val="002444F4"/>
    <w:rsid w:val="002629A0"/>
    <w:rsid w:val="0028492B"/>
    <w:rsid w:val="00291C8F"/>
    <w:rsid w:val="00296D2C"/>
    <w:rsid w:val="002A5909"/>
    <w:rsid w:val="002C5036"/>
    <w:rsid w:val="002C6A71"/>
    <w:rsid w:val="002C6D5F"/>
    <w:rsid w:val="002D15EA"/>
    <w:rsid w:val="002D662D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617C"/>
    <w:rsid w:val="003978C6"/>
    <w:rsid w:val="003A27C7"/>
    <w:rsid w:val="003A2B79"/>
    <w:rsid w:val="003B056A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1506E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3E87"/>
    <w:rsid w:val="004E65B4"/>
    <w:rsid w:val="004E6729"/>
    <w:rsid w:val="004F0E47"/>
    <w:rsid w:val="00507250"/>
    <w:rsid w:val="0051339C"/>
    <w:rsid w:val="0051412F"/>
    <w:rsid w:val="005179CC"/>
    <w:rsid w:val="00522B6F"/>
    <w:rsid w:val="0052430E"/>
    <w:rsid w:val="005276AD"/>
    <w:rsid w:val="00540A9A"/>
    <w:rsid w:val="00543522"/>
    <w:rsid w:val="00545680"/>
    <w:rsid w:val="005629E7"/>
    <w:rsid w:val="0056618E"/>
    <w:rsid w:val="00572164"/>
    <w:rsid w:val="00576F59"/>
    <w:rsid w:val="00577A34"/>
    <w:rsid w:val="00580AAD"/>
    <w:rsid w:val="00593A04"/>
    <w:rsid w:val="005A58F0"/>
    <w:rsid w:val="005A6D5A"/>
    <w:rsid w:val="005B1B28"/>
    <w:rsid w:val="005B381A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57A3D"/>
    <w:rsid w:val="00662ADE"/>
    <w:rsid w:val="00664106"/>
    <w:rsid w:val="006756F1"/>
    <w:rsid w:val="00677773"/>
    <w:rsid w:val="006805FC"/>
    <w:rsid w:val="006926C7"/>
    <w:rsid w:val="00693DA2"/>
    <w:rsid w:val="00694C37"/>
    <w:rsid w:val="006A1BEB"/>
    <w:rsid w:val="006A401C"/>
    <w:rsid w:val="006A7C6E"/>
    <w:rsid w:val="006B23D9"/>
    <w:rsid w:val="006C1814"/>
    <w:rsid w:val="006C2F45"/>
    <w:rsid w:val="006C361A"/>
    <w:rsid w:val="006C43F8"/>
    <w:rsid w:val="006C5657"/>
    <w:rsid w:val="006D5E4E"/>
    <w:rsid w:val="006E28C3"/>
    <w:rsid w:val="006E6860"/>
    <w:rsid w:val="006E7183"/>
    <w:rsid w:val="006F5FBF"/>
    <w:rsid w:val="0070327E"/>
    <w:rsid w:val="00707B5F"/>
    <w:rsid w:val="00720B87"/>
    <w:rsid w:val="007324AD"/>
    <w:rsid w:val="00735602"/>
    <w:rsid w:val="0075279B"/>
    <w:rsid w:val="00753748"/>
    <w:rsid w:val="00762446"/>
    <w:rsid w:val="007802A5"/>
    <w:rsid w:val="00780504"/>
    <w:rsid w:val="00781ACB"/>
    <w:rsid w:val="00787EE8"/>
    <w:rsid w:val="00791F41"/>
    <w:rsid w:val="007A79EB"/>
    <w:rsid w:val="007D4CA0"/>
    <w:rsid w:val="007D7A23"/>
    <w:rsid w:val="007E38C3"/>
    <w:rsid w:val="007E549E"/>
    <w:rsid w:val="007E71C9"/>
    <w:rsid w:val="007F7553"/>
    <w:rsid w:val="008013CF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B7F"/>
    <w:rsid w:val="00853903"/>
    <w:rsid w:val="00861C52"/>
    <w:rsid w:val="008727A1"/>
    <w:rsid w:val="00886B0F"/>
    <w:rsid w:val="00891C08"/>
    <w:rsid w:val="008A3879"/>
    <w:rsid w:val="008A5FA8"/>
    <w:rsid w:val="008A7575"/>
    <w:rsid w:val="008B5F47"/>
    <w:rsid w:val="008C4ED4"/>
    <w:rsid w:val="008C7B87"/>
    <w:rsid w:val="008D6A7A"/>
    <w:rsid w:val="008E3E87"/>
    <w:rsid w:val="008E4E03"/>
    <w:rsid w:val="008E7D1B"/>
    <w:rsid w:val="008E7F13"/>
    <w:rsid w:val="008F3185"/>
    <w:rsid w:val="0091047B"/>
    <w:rsid w:val="00911CCE"/>
    <w:rsid w:val="00915B0A"/>
    <w:rsid w:val="00926904"/>
    <w:rsid w:val="009372F0"/>
    <w:rsid w:val="009477A9"/>
    <w:rsid w:val="00955022"/>
    <w:rsid w:val="00957B4D"/>
    <w:rsid w:val="00964EEA"/>
    <w:rsid w:val="009663A9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27298"/>
    <w:rsid w:val="00A4025D"/>
    <w:rsid w:val="00A457D7"/>
    <w:rsid w:val="00A503CC"/>
    <w:rsid w:val="00A800D1"/>
    <w:rsid w:val="00A90347"/>
    <w:rsid w:val="00A92699"/>
    <w:rsid w:val="00AB2406"/>
    <w:rsid w:val="00AB5BF0"/>
    <w:rsid w:val="00AC1C95"/>
    <w:rsid w:val="00AC2CCB"/>
    <w:rsid w:val="00AC443A"/>
    <w:rsid w:val="00AD2C13"/>
    <w:rsid w:val="00AD6D37"/>
    <w:rsid w:val="00AE60E2"/>
    <w:rsid w:val="00B0169F"/>
    <w:rsid w:val="00B05F21"/>
    <w:rsid w:val="00B14EA9"/>
    <w:rsid w:val="00B17D67"/>
    <w:rsid w:val="00B30A3C"/>
    <w:rsid w:val="00B30E00"/>
    <w:rsid w:val="00B81305"/>
    <w:rsid w:val="00B94512"/>
    <w:rsid w:val="00BB17DC"/>
    <w:rsid w:val="00BB1AF9"/>
    <w:rsid w:val="00BB4C4A"/>
    <w:rsid w:val="00BB4C84"/>
    <w:rsid w:val="00BD3CAE"/>
    <w:rsid w:val="00BD5F3C"/>
    <w:rsid w:val="00C06622"/>
    <w:rsid w:val="00C07C0F"/>
    <w:rsid w:val="00C145C4"/>
    <w:rsid w:val="00C17BE3"/>
    <w:rsid w:val="00C20D2F"/>
    <w:rsid w:val="00C2131B"/>
    <w:rsid w:val="00C37AF8"/>
    <w:rsid w:val="00C37C79"/>
    <w:rsid w:val="00C41BBC"/>
    <w:rsid w:val="00C43C57"/>
    <w:rsid w:val="00C51419"/>
    <w:rsid w:val="00C54056"/>
    <w:rsid w:val="00C570B1"/>
    <w:rsid w:val="00C663A3"/>
    <w:rsid w:val="00C75CB2"/>
    <w:rsid w:val="00C804DC"/>
    <w:rsid w:val="00C90723"/>
    <w:rsid w:val="00C90D5C"/>
    <w:rsid w:val="00CA3559"/>
    <w:rsid w:val="00CA609E"/>
    <w:rsid w:val="00CA7DA4"/>
    <w:rsid w:val="00CB31FB"/>
    <w:rsid w:val="00CB4AF9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62670"/>
    <w:rsid w:val="00D770A9"/>
    <w:rsid w:val="00D809D1"/>
    <w:rsid w:val="00D84ECF"/>
    <w:rsid w:val="00D91BE4"/>
    <w:rsid w:val="00DA2851"/>
    <w:rsid w:val="00DA2B7C"/>
    <w:rsid w:val="00DA5686"/>
    <w:rsid w:val="00DB2FC0"/>
    <w:rsid w:val="00DB3E94"/>
    <w:rsid w:val="00DB74B5"/>
    <w:rsid w:val="00DD77C8"/>
    <w:rsid w:val="00DF18FA"/>
    <w:rsid w:val="00DF36E8"/>
    <w:rsid w:val="00DF49CA"/>
    <w:rsid w:val="00DF5EA1"/>
    <w:rsid w:val="00DF775B"/>
    <w:rsid w:val="00E007F3"/>
    <w:rsid w:val="00E00DEA"/>
    <w:rsid w:val="00E06EF0"/>
    <w:rsid w:val="00E11679"/>
    <w:rsid w:val="00E307D1"/>
    <w:rsid w:val="00E30E1C"/>
    <w:rsid w:val="00E33B4F"/>
    <w:rsid w:val="00E43346"/>
    <w:rsid w:val="00E46A04"/>
    <w:rsid w:val="00E576C8"/>
    <w:rsid w:val="00E717A8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2B1C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6ABE"/>
    <w:rsid w:val="00F462C7"/>
    <w:rsid w:val="00F52A0E"/>
    <w:rsid w:val="00F71F63"/>
    <w:rsid w:val="00F74E4C"/>
    <w:rsid w:val="00F76758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E319B"/>
    <w:rsid w:val="00FE58A5"/>
    <w:rsid w:val="00FF6C8A"/>
    <w:rsid w:val="00FF730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D626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character" w:customStyle="1" w:styleId="SingleTxtGChar">
    <w:name w:val="_ Single Txt_G Char"/>
    <w:link w:val="SingleTxtG"/>
    <w:rsid w:val="00D62670"/>
    <w:rPr>
      <w:lang w:val="en-GB"/>
    </w:rPr>
  </w:style>
  <w:style w:type="paragraph" w:customStyle="1" w:styleId="SingleTxtG">
    <w:name w:val="_ Single Txt_G"/>
    <w:basedOn w:val="Normal"/>
    <w:link w:val="SingleTxtGChar"/>
    <w:rsid w:val="00D6267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ru-RU"/>
    </w:rPr>
  </w:style>
  <w:style w:type="paragraph" w:customStyle="1" w:styleId="H1G">
    <w:name w:val="_ H_1_G"/>
    <w:basedOn w:val="Normal"/>
    <w:next w:val="Normal"/>
    <w:link w:val="H1GChar"/>
    <w:rsid w:val="00D626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1GChar">
    <w:name w:val="_ H_1_G Char"/>
    <w:link w:val="H1G"/>
    <w:rsid w:val="00D62670"/>
    <w:rPr>
      <w:b/>
      <w:sz w:val="24"/>
      <w:lang w:val="x-none" w:eastAsia="en-US"/>
    </w:rPr>
  </w:style>
  <w:style w:type="character" w:customStyle="1" w:styleId="HChGChar">
    <w:name w:val="_ H _Ch_G Char"/>
    <w:link w:val="HChG"/>
    <w:rsid w:val="00D62670"/>
    <w:rPr>
      <w:b/>
      <w:sz w:val="28"/>
      <w:lang w:val="x-none"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0815DF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0815DF"/>
    <w:rPr>
      <w:sz w:val="16"/>
      <w:lang w:val="en-GB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53903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853903"/>
    <w:rPr>
      <w:spacing w:val="4"/>
      <w:w w:val="103"/>
      <w:kern w:val="14"/>
      <w:lang w:eastAsia="en-US"/>
    </w:rPr>
  </w:style>
  <w:style w:type="character" w:customStyle="1" w:styleId="Heading1Char">
    <w:name w:val="Heading 1 Char"/>
    <w:aliases w:val="Table_GR Char,Table_G Char"/>
    <w:link w:val="Heading1"/>
    <w:rsid w:val="00853903"/>
    <w:rPr>
      <w:rFonts w:cs="Arial"/>
      <w:b/>
      <w:bCs/>
      <w:spacing w:val="4"/>
      <w:w w:val="103"/>
      <w:kern w:val="1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ChG">
    <w:name w:val="_ H _Ch_G"/>
    <w:basedOn w:val="Normal"/>
    <w:next w:val="Normal"/>
    <w:link w:val="HChGChar"/>
    <w:rsid w:val="00D626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x-none"/>
    </w:rPr>
  </w:style>
  <w:style w:type="character" w:customStyle="1" w:styleId="SingleTxtGChar">
    <w:name w:val="_ Single Txt_G Char"/>
    <w:link w:val="SingleTxtG"/>
    <w:rsid w:val="00D62670"/>
    <w:rPr>
      <w:lang w:val="en-GB"/>
    </w:rPr>
  </w:style>
  <w:style w:type="paragraph" w:customStyle="1" w:styleId="SingleTxtG">
    <w:name w:val="_ Single Txt_G"/>
    <w:basedOn w:val="Normal"/>
    <w:link w:val="SingleTxtGChar"/>
    <w:rsid w:val="00D6267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 w:eastAsia="ru-RU"/>
    </w:rPr>
  </w:style>
  <w:style w:type="paragraph" w:customStyle="1" w:styleId="H1G">
    <w:name w:val="_ H_1_G"/>
    <w:basedOn w:val="Normal"/>
    <w:next w:val="Normal"/>
    <w:link w:val="H1GChar"/>
    <w:rsid w:val="00D626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character" w:customStyle="1" w:styleId="H1GChar">
    <w:name w:val="_ H_1_G Char"/>
    <w:link w:val="H1G"/>
    <w:rsid w:val="00D62670"/>
    <w:rPr>
      <w:b/>
      <w:sz w:val="24"/>
      <w:lang w:val="x-none" w:eastAsia="en-US"/>
    </w:rPr>
  </w:style>
  <w:style w:type="character" w:customStyle="1" w:styleId="HChGChar">
    <w:name w:val="_ H _Ch_G Char"/>
    <w:link w:val="HChG"/>
    <w:rsid w:val="00D62670"/>
    <w:rPr>
      <w:b/>
      <w:sz w:val="28"/>
      <w:lang w:val="x-none" w:eastAsia="en-US"/>
    </w:rPr>
  </w:style>
  <w:style w:type="character" w:customStyle="1" w:styleId="HeaderChar">
    <w:name w:val="Header Char"/>
    <w:aliases w:val="6_GR Char"/>
    <w:basedOn w:val="DefaultParagraphFont"/>
    <w:link w:val="Header"/>
    <w:rsid w:val="000815DF"/>
    <w:rPr>
      <w:b/>
      <w:sz w:val="18"/>
      <w:lang w:val="en-GB"/>
    </w:rPr>
  </w:style>
  <w:style w:type="character" w:customStyle="1" w:styleId="FooterChar">
    <w:name w:val="Footer Char"/>
    <w:aliases w:val="3_GR Char"/>
    <w:basedOn w:val="DefaultParagraphFont"/>
    <w:link w:val="Footer"/>
    <w:rsid w:val="000815DF"/>
    <w:rPr>
      <w:sz w:val="16"/>
      <w:lang w:val="en-GB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53903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853903"/>
    <w:rPr>
      <w:spacing w:val="4"/>
      <w:w w:val="103"/>
      <w:kern w:val="14"/>
      <w:lang w:eastAsia="en-US"/>
    </w:rPr>
  </w:style>
  <w:style w:type="character" w:customStyle="1" w:styleId="Heading1Char">
    <w:name w:val="Heading 1 Char"/>
    <w:aliases w:val="Table_GR Char,Table_G Char"/>
    <w:link w:val="Heading1"/>
    <w:rsid w:val="00853903"/>
    <w:rPr>
      <w:rFonts w:cs="Arial"/>
      <w:b/>
      <w:bCs/>
      <w:spacing w:val="4"/>
      <w:w w:val="103"/>
      <w:kern w:val="1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unece.org/trans/main/wp29/wp29wgs/wp29gen/wp29resolutions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unece.org/trans/main/wp29/wp29wgs/wp29gen/wp29resolution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EBD-200D-4F60-93E0-14BF9DA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3762</Words>
  <Characters>21446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Luciolle</cp:lastModifiedBy>
  <cp:revision>2</cp:revision>
  <cp:lastPrinted>2015-05-20T12:10:00Z</cp:lastPrinted>
  <dcterms:created xsi:type="dcterms:W3CDTF">2015-05-21T13:06:00Z</dcterms:created>
  <dcterms:modified xsi:type="dcterms:W3CDTF">2015-05-21T13:06:00Z</dcterms:modified>
</cp:coreProperties>
</file>