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27114">
            <w:bookmarkStart w:id="0" w:name="_GoBack"/>
            <w:bookmarkEnd w:id="0"/>
          </w:p>
        </w:tc>
        <w:tc>
          <w:tcPr>
            <w:tcW w:w="2268" w:type="dxa"/>
            <w:tcBorders>
              <w:bottom w:val="single" w:sz="4" w:space="0" w:color="auto"/>
            </w:tcBorders>
            <w:vAlign w:val="bottom"/>
          </w:tcPr>
          <w:p w:rsidR="00F35BAF" w:rsidRPr="00DB58B5" w:rsidRDefault="00F35BAF" w:rsidP="006D05C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27114" w:rsidP="00827114">
            <w:pPr>
              <w:jc w:val="right"/>
            </w:pPr>
            <w:r w:rsidRPr="00827114">
              <w:rPr>
                <w:sz w:val="40"/>
              </w:rPr>
              <w:t>ECE</w:t>
            </w:r>
            <w:r>
              <w:t>/TRANS/WP.11/233</w:t>
            </w:r>
          </w:p>
        </w:tc>
      </w:tr>
      <w:tr w:rsidR="00F35BAF" w:rsidRPr="00DB58B5" w:rsidTr="006D05C6">
        <w:trPr>
          <w:trHeight w:hRule="exact" w:val="2835"/>
        </w:trPr>
        <w:tc>
          <w:tcPr>
            <w:tcW w:w="1276" w:type="dxa"/>
            <w:tcBorders>
              <w:top w:val="single" w:sz="4" w:space="0" w:color="auto"/>
              <w:bottom w:val="single" w:sz="12" w:space="0" w:color="auto"/>
            </w:tcBorders>
          </w:tcPr>
          <w:p w:rsidR="00F35BAF" w:rsidRPr="00DB58B5" w:rsidRDefault="00F35BAF" w:rsidP="006D05C6">
            <w:pPr>
              <w:spacing w:before="120"/>
              <w:jc w:val="center"/>
            </w:pPr>
            <w:r>
              <w:rPr>
                <w:noProof/>
                <w:lang w:val="en-US"/>
              </w:rPr>
              <w:drawing>
                <wp:inline distT="0" distB="0" distL="0" distR="0" wp14:anchorId="1410A1D4" wp14:editId="5D1D0B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6D05C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27114" w:rsidP="006D05C6">
            <w:pPr>
              <w:spacing w:before="240"/>
            </w:pPr>
            <w:r>
              <w:t>Distr. générale</w:t>
            </w:r>
          </w:p>
          <w:p w:rsidR="00827114" w:rsidRDefault="00827114" w:rsidP="00827114">
            <w:pPr>
              <w:spacing w:line="240" w:lineRule="exact"/>
            </w:pPr>
            <w:r>
              <w:t>29 octobre 2015</w:t>
            </w:r>
          </w:p>
          <w:p w:rsidR="00827114" w:rsidRDefault="00827114" w:rsidP="00827114">
            <w:pPr>
              <w:spacing w:line="240" w:lineRule="exact"/>
            </w:pPr>
            <w:r>
              <w:t>Français</w:t>
            </w:r>
          </w:p>
          <w:p w:rsidR="00827114" w:rsidRPr="00DB58B5" w:rsidRDefault="00827114" w:rsidP="0082711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6343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27114" w:rsidRPr="00827114" w:rsidRDefault="00827114" w:rsidP="00827114">
      <w:pPr>
        <w:spacing w:before="120"/>
        <w:rPr>
          <w:b/>
          <w:sz w:val="24"/>
          <w:szCs w:val="24"/>
          <w:lang w:val="fr-FR"/>
        </w:rPr>
      </w:pPr>
      <w:r w:rsidRPr="00827114">
        <w:rPr>
          <w:b/>
          <w:sz w:val="24"/>
          <w:szCs w:val="24"/>
          <w:lang w:val="fr-FR"/>
        </w:rPr>
        <w:t>Groupe de travail du transport des denrées périssables</w:t>
      </w:r>
    </w:p>
    <w:p w:rsidR="00827114" w:rsidRPr="00827114" w:rsidRDefault="00827114" w:rsidP="00827114">
      <w:pPr>
        <w:spacing w:before="120"/>
        <w:rPr>
          <w:lang w:val="fr-FR"/>
        </w:rPr>
      </w:pPr>
      <w:r w:rsidRPr="00827114">
        <w:rPr>
          <w:b/>
          <w:lang w:val="fr-FR"/>
        </w:rPr>
        <w:t>Soixante et onzième session</w:t>
      </w:r>
    </w:p>
    <w:p w:rsidR="00827114" w:rsidRPr="00827114" w:rsidRDefault="00827114" w:rsidP="00827114">
      <w:pPr>
        <w:pStyle w:val="HChG"/>
        <w:rPr>
          <w:lang w:val="fr-FR"/>
        </w:rPr>
      </w:pPr>
      <w:r w:rsidRPr="00827114">
        <w:rPr>
          <w:lang w:val="fr-FR"/>
        </w:rPr>
        <w:tab/>
      </w:r>
      <w:r w:rsidRPr="00827114">
        <w:rPr>
          <w:lang w:val="fr-FR"/>
        </w:rPr>
        <w:tab/>
      </w:r>
      <w:bookmarkStart w:id="1" w:name="_Toc401569431"/>
      <w:r w:rsidRPr="00827114">
        <w:rPr>
          <w:lang w:val="fr-FR"/>
        </w:rPr>
        <w:t>Rapport du Groupe de travail du transport des denrées périssables sur sa soixante et onzième session</w:t>
      </w:r>
      <w:bookmarkEnd w:id="1"/>
    </w:p>
    <w:p w:rsidR="00F9573C" w:rsidRDefault="00827114" w:rsidP="00827114">
      <w:pPr>
        <w:pStyle w:val="H56G"/>
        <w:rPr>
          <w:lang w:val="fr-FR"/>
        </w:rPr>
      </w:pPr>
      <w:r>
        <w:rPr>
          <w:lang w:val="fr-FR"/>
        </w:rPr>
        <w:tab/>
      </w:r>
      <w:r>
        <w:rPr>
          <w:lang w:val="fr-FR"/>
        </w:rPr>
        <w:tab/>
      </w:r>
      <w:r w:rsidRPr="00827114">
        <w:rPr>
          <w:lang w:val="fr-FR"/>
        </w:rPr>
        <w:t>tenue à Genève du 6 au 9</w:t>
      </w:r>
      <w:r>
        <w:rPr>
          <w:lang w:val="fr-FR"/>
        </w:rPr>
        <w:t> </w:t>
      </w:r>
      <w:r w:rsidRPr="00827114">
        <w:rPr>
          <w:lang w:val="fr-FR"/>
        </w:rPr>
        <w:t>octobre 2015</w:t>
      </w:r>
    </w:p>
    <w:p w:rsidR="00827114" w:rsidRPr="00827114" w:rsidRDefault="00827114" w:rsidP="00827114">
      <w:pPr>
        <w:spacing w:after="120"/>
        <w:rPr>
          <w:sz w:val="28"/>
          <w:lang w:val="fr-FR"/>
        </w:rPr>
      </w:pPr>
      <w:r>
        <w:rPr>
          <w:lang w:val="fr-FR"/>
        </w:rPr>
        <w:br w:type="page"/>
      </w:r>
      <w:r w:rsidRPr="00827114">
        <w:rPr>
          <w:sz w:val="28"/>
          <w:lang w:val="fr-FR"/>
        </w:rPr>
        <w:lastRenderedPageBreak/>
        <w:t>Table des matières</w:t>
      </w:r>
    </w:p>
    <w:p w:rsidR="00827114" w:rsidRPr="00827114" w:rsidRDefault="00827114" w:rsidP="00827114">
      <w:pPr>
        <w:tabs>
          <w:tab w:val="right" w:pos="8929"/>
          <w:tab w:val="right" w:pos="9638"/>
        </w:tabs>
        <w:spacing w:after="120"/>
        <w:ind w:left="283"/>
        <w:rPr>
          <w:i/>
          <w:sz w:val="18"/>
        </w:rPr>
      </w:pPr>
      <w:r w:rsidRPr="00827114">
        <w:rPr>
          <w:i/>
          <w:sz w:val="18"/>
        </w:rPr>
        <w:tab/>
        <w:t>Paragraphes</w:t>
      </w:r>
      <w:r w:rsidRPr="00827114">
        <w:rPr>
          <w:i/>
          <w:sz w:val="18"/>
        </w:rPr>
        <w:tab/>
        <w:t>Page</w:t>
      </w:r>
    </w:p>
    <w:p w:rsidR="00827114" w:rsidRDefault="00827114" w:rsidP="00827114">
      <w:pPr>
        <w:tabs>
          <w:tab w:val="right" w:pos="850"/>
          <w:tab w:val="right" w:leader="dot" w:pos="7654"/>
          <w:tab w:val="right" w:pos="8929"/>
          <w:tab w:val="right" w:pos="9638"/>
        </w:tabs>
        <w:spacing w:after="120"/>
        <w:ind w:left="1134" w:hanging="1134"/>
      </w:pPr>
      <w:r>
        <w:tab/>
        <w:t>I.</w:t>
      </w:r>
      <w:r>
        <w:tab/>
      </w:r>
      <w:r w:rsidR="005F0B13" w:rsidRPr="004B2AF9">
        <w:rPr>
          <w:lang w:val="fr-FR"/>
        </w:rPr>
        <w:t>Participation</w:t>
      </w:r>
      <w:r>
        <w:tab/>
      </w:r>
      <w:r>
        <w:tab/>
      </w:r>
      <w:r w:rsidR="005F0B13">
        <w:t>1</w:t>
      </w:r>
      <w:r w:rsidR="006652DF">
        <w:t>−</w:t>
      </w:r>
      <w:r w:rsidR="005F0B13">
        <w:t>2</w:t>
      </w:r>
      <w:r>
        <w:tab/>
      </w:r>
      <w:r w:rsidR="005F0B13">
        <w:t>4</w:t>
      </w:r>
    </w:p>
    <w:p w:rsidR="00827114" w:rsidRDefault="00827114" w:rsidP="00827114">
      <w:pPr>
        <w:tabs>
          <w:tab w:val="right" w:pos="850"/>
          <w:tab w:val="right" w:leader="dot" w:pos="7654"/>
          <w:tab w:val="right" w:pos="8929"/>
          <w:tab w:val="right" w:pos="9638"/>
        </w:tabs>
        <w:spacing w:after="120"/>
        <w:ind w:left="1134" w:hanging="1134"/>
      </w:pPr>
      <w:r>
        <w:tab/>
        <w:t>II.</w:t>
      </w:r>
      <w:r>
        <w:tab/>
      </w:r>
      <w:r w:rsidR="006652DF" w:rsidRPr="000E4E5A">
        <w:t>Adoption</w:t>
      </w:r>
      <w:r w:rsidR="006652DF" w:rsidRPr="004B2AF9">
        <w:rPr>
          <w:lang w:val="fr-FR"/>
        </w:rPr>
        <w:t xml:space="preserve"> de l</w:t>
      </w:r>
      <w:r w:rsidR="0006343E">
        <w:rPr>
          <w:lang w:val="fr-FR"/>
        </w:rPr>
        <w:t>’</w:t>
      </w:r>
      <w:r w:rsidR="006652DF" w:rsidRPr="004B2AF9">
        <w:rPr>
          <w:lang w:val="fr-FR"/>
        </w:rPr>
        <w:t>ordre du jour (point 1 de l</w:t>
      </w:r>
      <w:r w:rsidR="0006343E">
        <w:rPr>
          <w:lang w:val="fr-FR"/>
        </w:rPr>
        <w:t>’</w:t>
      </w:r>
      <w:r w:rsidR="006652DF" w:rsidRPr="004B2AF9">
        <w:rPr>
          <w:lang w:val="fr-FR"/>
        </w:rPr>
        <w:t>ordre du jour)</w:t>
      </w:r>
      <w:r>
        <w:tab/>
      </w:r>
      <w:r>
        <w:tab/>
      </w:r>
      <w:r w:rsidR="00C92E25">
        <w:t>3</w:t>
      </w:r>
      <w:r>
        <w:tab/>
      </w:r>
      <w:r w:rsidR="006652DF">
        <w:t>4</w:t>
      </w:r>
    </w:p>
    <w:p w:rsidR="00827114" w:rsidRDefault="00827114" w:rsidP="00827114">
      <w:pPr>
        <w:tabs>
          <w:tab w:val="right" w:pos="850"/>
          <w:tab w:val="right" w:leader="dot" w:pos="7654"/>
          <w:tab w:val="right" w:pos="8929"/>
          <w:tab w:val="right" w:pos="9638"/>
        </w:tabs>
        <w:spacing w:after="120"/>
        <w:ind w:left="1134" w:hanging="1134"/>
      </w:pPr>
      <w:r>
        <w:tab/>
        <w:t>III.</w:t>
      </w:r>
      <w:r>
        <w:tab/>
      </w:r>
      <w:r w:rsidR="006652DF" w:rsidRPr="004B2AF9">
        <w:rPr>
          <w:lang w:val="fr-FR"/>
        </w:rPr>
        <w:t>Activités des organes de la CEE intéressant le Groupe de</w:t>
      </w:r>
      <w:r w:rsidR="006652DF">
        <w:rPr>
          <w:lang w:val="fr-FR"/>
        </w:rPr>
        <w:t xml:space="preserve"> </w:t>
      </w:r>
      <w:r w:rsidR="006652DF" w:rsidRPr="004B2AF9">
        <w:rPr>
          <w:lang w:val="fr-FR"/>
        </w:rPr>
        <w:t xml:space="preserve">travail </w:t>
      </w:r>
      <w:r w:rsidR="006652DF">
        <w:rPr>
          <w:lang w:val="fr-FR"/>
        </w:rPr>
        <w:br/>
      </w:r>
      <w:r w:rsidR="006652DF" w:rsidRPr="004B2AF9">
        <w:rPr>
          <w:lang w:val="fr-FR"/>
        </w:rPr>
        <w:t>(point 2 de l</w:t>
      </w:r>
      <w:r w:rsidR="0006343E">
        <w:rPr>
          <w:lang w:val="fr-FR"/>
        </w:rPr>
        <w:t>’</w:t>
      </w:r>
      <w:r w:rsidR="006652DF" w:rsidRPr="004B2AF9">
        <w:rPr>
          <w:lang w:val="fr-FR"/>
        </w:rPr>
        <w:t>ordre du jour)</w:t>
      </w:r>
      <w:r>
        <w:tab/>
      </w:r>
      <w:r>
        <w:tab/>
      </w:r>
      <w:r w:rsidR="00C92E25">
        <w:t>4–10</w:t>
      </w:r>
      <w:r>
        <w:tab/>
      </w:r>
      <w:r w:rsidR="006652DF">
        <w:t>4</w:t>
      </w:r>
    </w:p>
    <w:p w:rsidR="00827114" w:rsidRDefault="00827114" w:rsidP="00827114">
      <w:pPr>
        <w:tabs>
          <w:tab w:val="right" w:leader="dot" w:pos="7654"/>
          <w:tab w:val="right" w:pos="8929"/>
          <w:tab w:val="right" w:pos="9638"/>
        </w:tabs>
        <w:spacing w:after="120"/>
        <w:ind w:left="1559" w:hanging="425"/>
      </w:pPr>
      <w:r>
        <w:t>A.</w:t>
      </w:r>
      <w:r>
        <w:tab/>
      </w:r>
      <w:r w:rsidR="006652DF" w:rsidRPr="004B2AF9">
        <w:rPr>
          <w:lang w:val="fr-FR"/>
        </w:rPr>
        <w:t>Comité des transports intérieurs (CTI)</w:t>
      </w:r>
      <w:r>
        <w:tab/>
      </w:r>
      <w:r>
        <w:tab/>
      </w:r>
      <w:r w:rsidR="00C92E25">
        <w:t>4</w:t>
      </w:r>
      <w:r w:rsidR="006652DF">
        <w:t>−</w:t>
      </w:r>
      <w:r w:rsidR="00C92E25">
        <w:t>8</w:t>
      </w:r>
      <w:r>
        <w:tab/>
      </w:r>
      <w:r w:rsidR="006652DF">
        <w:t>4</w:t>
      </w:r>
    </w:p>
    <w:p w:rsidR="00827114" w:rsidRDefault="00827114" w:rsidP="00827114">
      <w:pPr>
        <w:tabs>
          <w:tab w:val="right" w:leader="dot" w:pos="7654"/>
          <w:tab w:val="right" w:pos="8929"/>
          <w:tab w:val="right" w:pos="9638"/>
        </w:tabs>
        <w:spacing w:after="120"/>
        <w:ind w:left="1559" w:hanging="425"/>
      </w:pPr>
      <w:r>
        <w:t>B.</w:t>
      </w:r>
      <w:r>
        <w:tab/>
      </w:r>
      <w:r w:rsidR="006652DF" w:rsidRPr="004B2AF9">
        <w:rPr>
          <w:lang w:val="fr-FR"/>
        </w:rPr>
        <w:t>Groupe d</w:t>
      </w:r>
      <w:r w:rsidR="006652DF" w:rsidRPr="00F8558C">
        <w:t>e</w:t>
      </w:r>
      <w:r w:rsidR="006652DF" w:rsidRPr="004B2AF9">
        <w:rPr>
          <w:lang w:val="fr-FR"/>
        </w:rPr>
        <w:t xml:space="preserve"> travail des normes de qualité des produits agricoles (WP.7)</w:t>
      </w:r>
      <w:r>
        <w:tab/>
      </w:r>
      <w:r>
        <w:tab/>
      </w:r>
      <w:r w:rsidR="00C92E25">
        <w:t>9</w:t>
      </w:r>
      <w:r w:rsidR="006652DF">
        <w:t>−</w:t>
      </w:r>
      <w:r w:rsidR="00C92E25">
        <w:t>10</w:t>
      </w:r>
      <w:r>
        <w:tab/>
      </w:r>
      <w:r w:rsidR="006652DF">
        <w:t>5</w:t>
      </w:r>
    </w:p>
    <w:p w:rsidR="00827114" w:rsidRDefault="00827114" w:rsidP="00827114">
      <w:pPr>
        <w:tabs>
          <w:tab w:val="right" w:pos="850"/>
          <w:tab w:val="right" w:leader="dot" w:pos="7654"/>
          <w:tab w:val="right" w:pos="8929"/>
          <w:tab w:val="right" w:pos="9638"/>
        </w:tabs>
        <w:spacing w:after="120"/>
        <w:ind w:left="1134" w:hanging="1134"/>
      </w:pPr>
      <w:r>
        <w:tab/>
        <w:t>IV.</w:t>
      </w:r>
      <w:r>
        <w:tab/>
      </w:r>
      <w:r w:rsidR="006652DF" w:rsidRPr="004B2AF9">
        <w:rPr>
          <w:lang w:val="fr-FR"/>
        </w:rPr>
        <w:t>Activités d</w:t>
      </w:r>
      <w:r w:rsidR="0006343E">
        <w:rPr>
          <w:lang w:val="fr-FR"/>
        </w:rPr>
        <w:t>’</w:t>
      </w:r>
      <w:r w:rsidR="006652DF" w:rsidRPr="004B2AF9">
        <w:rPr>
          <w:lang w:val="fr-FR"/>
        </w:rPr>
        <w:t>autres organisations internationales qui s</w:t>
      </w:r>
      <w:r w:rsidR="0006343E">
        <w:rPr>
          <w:lang w:val="fr-FR"/>
        </w:rPr>
        <w:t>’</w:t>
      </w:r>
      <w:r w:rsidR="006652DF" w:rsidRPr="004B2AF9">
        <w:rPr>
          <w:lang w:val="fr-FR"/>
        </w:rPr>
        <w:t xml:space="preserve">occupent de problèmes </w:t>
      </w:r>
      <w:r w:rsidR="006652DF">
        <w:rPr>
          <w:lang w:val="fr-FR"/>
        </w:rPr>
        <w:br/>
      </w:r>
      <w:r w:rsidR="006652DF" w:rsidRPr="004B2AF9">
        <w:rPr>
          <w:lang w:val="fr-FR"/>
        </w:rPr>
        <w:t>intéressant le Groupe de travail (point 3 de l</w:t>
      </w:r>
      <w:r w:rsidR="0006343E">
        <w:rPr>
          <w:lang w:val="fr-FR"/>
        </w:rPr>
        <w:t>’</w:t>
      </w:r>
      <w:r w:rsidR="006652DF" w:rsidRPr="004B2AF9">
        <w:rPr>
          <w:lang w:val="fr-FR"/>
        </w:rPr>
        <w:t>ordre du jour)</w:t>
      </w:r>
      <w:r>
        <w:tab/>
      </w:r>
      <w:r>
        <w:tab/>
      </w:r>
      <w:r w:rsidR="00C92E25">
        <w:t>11</w:t>
      </w:r>
      <w:r w:rsidR="006652DF">
        <w:t>−</w:t>
      </w:r>
      <w:r w:rsidR="00C92E25">
        <w:t>14</w:t>
      </w:r>
      <w:r>
        <w:tab/>
      </w:r>
      <w:r w:rsidR="006652DF">
        <w:t>5</w:t>
      </w:r>
    </w:p>
    <w:p w:rsidR="00827114" w:rsidRDefault="00827114" w:rsidP="00827114">
      <w:pPr>
        <w:tabs>
          <w:tab w:val="right" w:leader="dot" w:pos="7654"/>
          <w:tab w:val="right" w:pos="8929"/>
          <w:tab w:val="right" w:pos="9638"/>
        </w:tabs>
        <w:spacing w:after="120"/>
        <w:ind w:left="1559" w:hanging="425"/>
      </w:pPr>
      <w:r>
        <w:t>A.</w:t>
      </w:r>
      <w:r>
        <w:tab/>
      </w:r>
      <w:r w:rsidR="006652DF" w:rsidRPr="004B2AF9">
        <w:rPr>
          <w:lang w:val="fr-FR"/>
        </w:rPr>
        <w:t>Institut international du froid (IIF)</w:t>
      </w:r>
      <w:r>
        <w:tab/>
      </w:r>
      <w:r>
        <w:tab/>
      </w:r>
      <w:r w:rsidR="00C92E25">
        <w:t>11</w:t>
      </w:r>
      <w:r>
        <w:tab/>
      </w:r>
      <w:r w:rsidR="006652DF">
        <w:t>5</w:t>
      </w:r>
    </w:p>
    <w:p w:rsidR="00827114" w:rsidRDefault="00827114" w:rsidP="00827114">
      <w:pPr>
        <w:tabs>
          <w:tab w:val="right" w:leader="dot" w:pos="7654"/>
          <w:tab w:val="right" w:pos="8929"/>
          <w:tab w:val="right" w:pos="9638"/>
        </w:tabs>
        <w:spacing w:after="120"/>
        <w:ind w:left="1559" w:hanging="425"/>
      </w:pPr>
      <w:r>
        <w:t>B.</w:t>
      </w:r>
      <w:r>
        <w:tab/>
      </w:r>
      <w:r w:rsidR="006652DF" w:rsidRPr="004B2AF9">
        <w:rPr>
          <w:rFonts w:eastAsia="Arial Unicode MS"/>
          <w:lang w:val="fr-FR"/>
        </w:rPr>
        <w:t>Transfrigoroute</w:t>
      </w:r>
      <w:r w:rsidR="006652DF" w:rsidRPr="004B2AF9">
        <w:rPr>
          <w:lang w:val="fr-FR"/>
        </w:rPr>
        <w:t xml:space="preserve"> International</w:t>
      </w:r>
      <w:r>
        <w:tab/>
      </w:r>
      <w:r>
        <w:tab/>
      </w:r>
      <w:r w:rsidR="00C92E25">
        <w:t>12</w:t>
      </w:r>
      <w:r w:rsidR="006652DF">
        <w:t>−</w:t>
      </w:r>
      <w:r w:rsidR="00C92E25">
        <w:t>13</w:t>
      </w:r>
      <w:r>
        <w:tab/>
      </w:r>
      <w:r w:rsidR="006652DF">
        <w:t>5</w:t>
      </w:r>
    </w:p>
    <w:p w:rsidR="00827114" w:rsidRDefault="00827114" w:rsidP="00827114">
      <w:pPr>
        <w:tabs>
          <w:tab w:val="right" w:leader="dot" w:pos="7654"/>
          <w:tab w:val="right" w:pos="8929"/>
          <w:tab w:val="right" w:pos="9638"/>
        </w:tabs>
        <w:spacing w:after="120"/>
        <w:ind w:left="1559" w:hanging="425"/>
      </w:pPr>
      <w:r>
        <w:t>C.</w:t>
      </w:r>
      <w:r>
        <w:tab/>
      </w:r>
      <w:r w:rsidR="006652DF" w:rsidRPr="004B2AF9">
        <w:rPr>
          <w:lang w:val="fr-FR"/>
        </w:rPr>
        <w:t>Comité européen de normalisation (CEN)</w:t>
      </w:r>
      <w:r>
        <w:tab/>
      </w:r>
      <w:r>
        <w:tab/>
      </w:r>
      <w:r w:rsidR="00C92E25">
        <w:t>14</w:t>
      </w:r>
      <w:r>
        <w:tab/>
      </w:r>
      <w:r w:rsidR="006652DF">
        <w:t>6</w:t>
      </w:r>
    </w:p>
    <w:p w:rsidR="00827114" w:rsidRDefault="00827114" w:rsidP="00827114">
      <w:pPr>
        <w:tabs>
          <w:tab w:val="right" w:pos="850"/>
          <w:tab w:val="right" w:leader="dot" w:pos="7654"/>
          <w:tab w:val="right" w:pos="8929"/>
          <w:tab w:val="right" w:pos="9638"/>
        </w:tabs>
        <w:spacing w:after="120"/>
        <w:ind w:left="1134" w:hanging="1134"/>
      </w:pPr>
      <w:r>
        <w:tab/>
        <w:t>V.</w:t>
      </w:r>
      <w:r>
        <w:tab/>
      </w:r>
      <w:r w:rsidR="006652DF" w:rsidRPr="004B2AF9">
        <w:rPr>
          <w:lang w:val="fr-FR"/>
        </w:rPr>
        <w:t>État et mise en œuvre de l</w:t>
      </w:r>
      <w:r w:rsidR="0006343E">
        <w:rPr>
          <w:lang w:val="fr-FR"/>
        </w:rPr>
        <w:t>’</w:t>
      </w:r>
      <w:r w:rsidR="006652DF" w:rsidRPr="004B2AF9">
        <w:rPr>
          <w:lang w:val="fr-FR"/>
        </w:rPr>
        <w:t xml:space="preserve">Accord relatif aux transports internationaux </w:t>
      </w:r>
      <w:r w:rsidR="006652DF">
        <w:rPr>
          <w:lang w:val="fr-FR"/>
        </w:rPr>
        <w:br/>
      </w:r>
      <w:r w:rsidR="006652DF" w:rsidRPr="004B2AF9">
        <w:rPr>
          <w:lang w:val="fr-FR"/>
        </w:rPr>
        <w:t xml:space="preserve">de denrées périssables et aux engins spéciaux à utiliser pour ces transports (ATP) </w:t>
      </w:r>
      <w:r w:rsidR="006652DF" w:rsidRPr="004B2AF9">
        <w:rPr>
          <w:lang w:val="fr-FR"/>
        </w:rPr>
        <w:br/>
        <w:t>(point 4 de l</w:t>
      </w:r>
      <w:r w:rsidR="0006343E">
        <w:rPr>
          <w:lang w:val="fr-FR"/>
        </w:rPr>
        <w:t>’</w:t>
      </w:r>
      <w:r w:rsidR="006652DF" w:rsidRPr="004B2AF9">
        <w:rPr>
          <w:lang w:val="fr-FR"/>
        </w:rPr>
        <w:t>ordre du jour)</w:t>
      </w:r>
      <w:r>
        <w:tab/>
      </w:r>
      <w:r>
        <w:tab/>
      </w:r>
      <w:r w:rsidR="00C92E25">
        <w:t>15</w:t>
      </w:r>
      <w:r w:rsidR="006652DF">
        <w:t>−</w:t>
      </w:r>
      <w:r w:rsidR="00C92E25">
        <w:t>29</w:t>
      </w:r>
      <w:r>
        <w:tab/>
      </w:r>
      <w:r w:rsidR="006652DF">
        <w:t>6</w:t>
      </w:r>
    </w:p>
    <w:p w:rsidR="00827114" w:rsidRDefault="00827114" w:rsidP="00827114">
      <w:pPr>
        <w:tabs>
          <w:tab w:val="right" w:leader="dot" w:pos="7654"/>
          <w:tab w:val="right" w:pos="8929"/>
          <w:tab w:val="right" w:pos="9638"/>
        </w:tabs>
        <w:spacing w:after="120"/>
        <w:ind w:left="1559" w:hanging="425"/>
      </w:pPr>
      <w:r>
        <w:t>A.</w:t>
      </w:r>
      <w:r>
        <w:tab/>
      </w:r>
      <w:r w:rsidR="006652DF" w:rsidRPr="004B2AF9">
        <w:rPr>
          <w:lang w:val="fr-FR"/>
        </w:rPr>
        <w:t>État de l</w:t>
      </w:r>
      <w:r w:rsidR="0006343E">
        <w:rPr>
          <w:lang w:val="fr-FR"/>
        </w:rPr>
        <w:t>’</w:t>
      </w:r>
      <w:r w:rsidR="006652DF" w:rsidRPr="004B2AF9">
        <w:rPr>
          <w:lang w:val="fr-FR"/>
        </w:rPr>
        <w:t>Accord</w:t>
      </w:r>
      <w:r>
        <w:tab/>
      </w:r>
      <w:r>
        <w:tab/>
      </w:r>
      <w:r w:rsidR="00C92E25">
        <w:t>15</w:t>
      </w:r>
      <w:r>
        <w:tab/>
      </w:r>
      <w:r w:rsidR="006652DF">
        <w:t>6</w:t>
      </w:r>
    </w:p>
    <w:p w:rsidR="00827114" w:rsidRDefault="00827114" w:rsidP="00827114">
      <w:pPr>
        <w:tabs>
          <w:tab w:val="right" w:leader="dot" w:pos="7654"/>
          <w:tab w:val="right" w:pos="8929"/>
          <w:tab w:val="right" w:pos="9638"/>
        </w:tabs>
        <w:spacing w:after="120"/>
        <w:ind w:left="1559" w:hanging="425"/>
      </w:pPr>
      <w:r>
        <w:t>B.</w:t>
      </w:r>
      <w:r>
        <w:tab/>
      </w:r>
      <w:r w:rsidR="006652DF" w:rsidRPr="004B2AF9">
        <w:rPr>
          <w:lang w:val="fr-FR"/>
        </w:rPr>
        <w:t>État des amendements</w:t>
      </w:r>
      <w:r>
        <w:tab/>
      </w:r>
      <w:r>
        <w:tab/>
      </w:r>
      <w:r w:rsidR="00C92E25">
        <w:t>16</w:t>
      </w:r>
      <w:r w:rsidR="006652DF">
        <w:t>−</w:t>
      </w:r>
      <w:r w:rsidR="00C92E25">
        <w:t>21</w:t>
      </w:r>
      <w:r>
        <w:tab/>
      </w:r>
      <w:r w:rsidR="006652DF">
        <w:t>6</w:t>
      </w:r>
    </w:p>
    <w:p w:rsidR="00827114" w:rsidRDefault="00827114" w:rsidP="00827114">
      <w:pPr>
        <w:tabs>
          <w:tab w:val="right" w:leader="dot" w:pos="7654"/>
          <w:tab w:val="right" w:pos="8929"/>
          <w:tab w:val="right" w:pos="9638"/>
        </w:tabs>
        <w:spacing w:after="120"/>
        <w:ind w:left="1559" w:hanging="425"/>
      </w:pPr>
      <w:r>
        <w:t>C.</w:t>
      </w:r>
      <w:r>
        <w:tab/>
      </w:r>
      <w:r w:rsidR="006652DF" w:rsidRPr="004B2AF9">
        <w:rPr>
          <w:lang w:val="fr-FR"/>
        </w:rPr>
        <w:t>Stations d</w:t>
      </w:r>
      <w:r w:rsidR="0006343E">
        <w:rPr>
          <w:lang w:val="fr-FR"/>
        </w:rPr>
        <w:t>’</w:t>
      </w:r>
      <w:r w:rsidR="006652DF" w:rsidRPr="004B2AF9">
        <w:rPr>
          <w:lang w:val="fr-FR"/>
        </w:rPr>
        <w:t>essai officiellement désignées par l</w:t>
      </w:r>
      <w:r w:rsidR="0006343E">
        <w:rPr>
          <w:lang w:val="fr-FR"/>
        </w:rPr>
        <w:t>’</w:t>
      </w:r>
      <w:r w:rsidR="006652DF" w:rsidRPr="004B2AF9">
        <w:rPr>
          <w:lang w:val="fr-FR"/>
        </w:rPr>
        <w:t>autorité compétente</w:t>
      </w:r>
      <w:r w:rsidR="006652DF">
        <w:rPr>
          <w:lang w:val="fr-FR"/>
        </w:rPr>
        <w:t xml:space="preserve"> </w:t>
      </w:r>
      <w:r w:rsidR="006652DF" w:rsidRPr="004B2AF9">
        <w:rPr>
          <w:lang w:val="fr-FR"/>
        </w:rPr>
        <w:br/>
        <w:t>des pays Parties à l</w:t>
      </w:r>
      <w:r w:rsidR="0006343E">
        <w:rPr>
          <w:lang w:val="fr-FR"/>
        </w:rPr>
        <w:t>’</w:t>
      </w:r>
      <w:r w:rsidR="006652DF" w:rsidRPr="004B2AF9">
        <w:rPr>
          <w:lang w:val="fr-FR"/>
        </w:rPr>
        <w:t>ATP</w:t>
      </w:r>
      <w:r>
        <w:tab/>
      </w:r>
      <w:r>
        <w:tab/>
      </w:r>
      <w:r w:rsidR="00C92E25">
        <w:t>22</w:t>
      </w:r>
      <w:r w:rsidR="006652DF">
        <w:t>−</w:t>
      </w:r>
      <w:r w:rsidR="00C92E25">
        <w:t>23</w:t>
      </w:r>
      <w:r>
        <w:tab/>
      </w:r>
      <w:r w:rsidR="006652DF">
        <w:t>7</w:t>
      </w:r>
    </w:p>
    <w:p w:rsidR="00F34287" w:rsidRDefault="00F34287" w:rsidP="00F34287">
      <w:pPr>
        <w:tabs>
          <w:tab w:val="right" w:leader="dot" w:pos="7654"/>
          <w:tab w:val="right" w:pos="8929"/>
          <w:tab w:val="right" w:pos="9638"/>
        </w:tabs>
        <w:spacing w:after="120"/>
        <w:ind w:left="1559" w:hanging="425"/>
      </w:pPr>
      <w:r>
        <w:t>D.</w:t>
      </w:r>
      <w:r>
        <w:tab/>
      </w:r>
      <w:r w:rsidR="006652DF" w:rsidRPr="004B2AF9">
        <w:rPr>
          <w:lang w:val="fr-FR"/>
        </w:rPr>
        <w:t>Échange d</w:t>
      </w:r>
      <w:r w:rsidR="0006343E">
        <w:rPr>
          <w:lang w:val="fr-FR"/>
        </w:rPr>
        <w:t>’</w:t>
      </w:r>
      <w:r w:rsidR="006652DF" w:rsidRPr="004B2AF9">
        <w:rPr>
          <w:lang w:val="fr-FR"/>
        </w:rPr>
        <w:t>informations entre les Parties en vertu de l</w:t>
      </w:r>
      <w:r w:rsidR="0006343E">
        <w:rPr>
          <w:lang w:val="fr-FR"/>
        </w:rPr>
        <w:t>’</w:t>
      </w:r>
      <w:r w:rsidR="006652DF" w:rsidRPr="004B2AF9">
        <w:rPr>
          <w:lang w:val="fr-FR"/>
        </w:rPr>
        <w:t>article</w:t>
      </w:r>
      <w:r w:rsidR="006652DF">
        <w:rPr>
          <w:lang w:val="fr-FR"/>
        </w:rPr>
        <w:t> </w:t>
      </w:r>
      <w:r w:rsidR="006652DF" w:rsidRPr="004B2AF9">
        <w:rPr>
          <w:lang w:val="fr-FR"/>
        </w:rPr>
        <w:t>6 de l</w:t>
      </w:r>
      <w:r w:rsidR="0006343E">
        <w:rPr>
          <w:lang w:val="fr-FR"/>
        </w:rPr>
        <w:t>’</w:t>
      </w:r>
      <w:r w:rsidR="006652DF" w:rsidRPr="004B2AF9">
        <w:rPr>
          <w:lang w:val="fr-FR"/>
        </w:rPr>
        <w:t>ATP</w:t>
      </w:r>
      <w:r>
        <w:tab/>
      </w:r>
      <w:r>
        <w:tab/>
      </w:r>
      <w:r w:rsidR="00C92E25">
        <w:t>24</w:t>
      </w:r>
      <w:r>
        <w:tab/>
      </w:r>
      <w:r w:rsidR="006652DF">
        <w:t>7</w:t>
      </w:r>
    </w:p>
    <w:p w:rsidR="00F34287" w:rsidRDefault="00F34287" w:rsidP="00F34287">
      <w:pPr>
        <w:tabs>
          <w:tab w:val="right" w:leader="dot" w:pos="7654"/>
          <w:tab w:val="right" w:pos="8929"/>
          <w:tab w:val="right" w:pos="9638"/>
        </w:tabs>
        <w:spacing w:after="120"/>
        <w:ind w:left="1559" w:hanging="425"/>
      </w:pPr>
      <w:r>
        <w:t>E.</w:t>
      </w:r>
      <w:r>
        <w:tab/>
      </w:r>
      <w:r w:rsidR="006652DF" w:rsidRPr="004B2AF9">
        <w:rPr>
          <w:lang w:val="fr-FR"/>
        </w:rPr>
        <w:t>Échange d</w:t>
      </w:r>
      <w:r w:rsidR="0006343E">
        <w:rPr>
          <w:lang w:val="fr-FR"/>
        </w:rPr>
        <w:t>’</w:t>
      </w:r>
      <w:r w:rsidR="006652DF" w:rsidRPr="004B2AF9">
        <w:rPr>
          <w:lang w:val="fr-FR"/>
        </w:rPr>
        <w:t xml:space="preserve">informations sur les bonnes pratiques à adopter pour améliorer </w:t>
      </w:r>
      <w:r w:rsidR="006652DF">
        <w:rPr>
          <w:lang w:val="fr-FR"/>
        </w:rPr>
        <w:br/>
      </w:r>
      <w:r w:rsidR="006652DF" w:rsidRPr="004B2AF9">
        <w:rPr>
          <w:lang w:val="fr-FR"/>
        </w:rPr>
        <w:t>l</w:t>
      </w:r>
      <w:r w:rsidR="0006343E">
        <w:rPr>
          <w:lang w:val="fr-FR"/>
        </w:rPr>
        <w:t>’</w:t>
      </w:r>
      <w:r w:rsidR="006652DF" w:rsidRPr="004B2AF9">
        <w:rPr>
          <w:lang w:val="fr-FR"/>
        </w:rPr>
        <w:t>application de l</w:t>
      </w:r>
      <w:r w:rsidR="0006343E">
        <w:rPr>
          <w:lang w:val="fr-FR"/>
        </w:rPr>
        <w:t>’</w:t>
      </w:r>
      <w:r w:rsidR="006652DF" w:rsidRPr="004B2AF9">
        <w:rPr>
          <w:lang w:val="fr-FR"/>
        </w:rPr>
        <w:t>ATP</w:t>
      </w:r>
      <w:r>
        <w:tab/>
      </w:r>
      <w:r>
        <w:tab/>
      </w:r>
      <w:r w:rsidR="00C92E25">
        <w:t>25</w:t>
      </w:r>
      <w:r w:rsidR="006652DF">
        <w:t>−</w:t>
      </w:r>
      <w:r w:rsidR="00C92E25">
        <w:t>28</w:t>
      </w:r>
      <w:r>
        <w:tab/>
      </w:r>
      <w:r w:rsidR="006652DF">
        <w:t>7</w:t>
      </w:r>
    </w:p>
    <w:p w:rsidR="00F34287" w:rsidRDefault="00F34287" w:rsidP="00F34287">
      <w:pPr>
        <w:tabs>
          <w:tab w:val="right" w:leader="dot" w:pos="7654"/>
          <w:tab w:val="right" w:pos="8929"/>
          <w:tab w:val="right" w:pos="9638"/>
        </w:tabs>
        <w:spacing w:after="120"/>
        <w:ind w:left="1559" w:hanging="425"/>
      </w:pPr>
      <w:r>
        <w:t>F.</w:t>
      </w:r>
      <w:r>
        <w:tab/>
      </w:r>
      <w:r w:rsidR="006652DF" w:rsidRPr="004B2AF9">
        <w:rPr>
          <w:lang w:val="fr-FR"/>
        </w:rPr>
        <w:t>Interprétation de l</w:t>
      </w:r>
      <w:r w:rsidR="0006343E">
        <w:rPr>
          <w:lang w:val="fr-FR"/>
        </w:rPr>
        <w:t>’</w:t>
      </w:r>
      <w:r w:rsidR="006652DF" w:rsidRPr="004B2AF9">
        <w:rPr>
          <w:lang w:val="fr-FR"/>
        </w:rPr>
        <w:t>ATP</w:t>
      </w:r>
      <w:r>
        <w:tab/>
      </w:r>
      <w:r>
        <w:tab/>
      </w:r>
      <w:r w:rsidR="00C92E25">
        <w:t>29</w:t>
      </w:r>
      <w:r>
        <w:tab/>
      </w:r>
      <w:r w:rsidR="006652DF">
        <w:t>8</w:t>
      </w:r>
    </w:p>
    <w:p w:rsidR="00F34287" w:rsidRDefault="00F34287" w:rsidP="00F34287">
      <w:pPr>
        <w:tabs>
          <w:tab w:val="right" w:pos="850"/>
          <w:tab w:val="right" w:leader="dot" w:pos="7654"/>
          <w:tab w:val="right" w:pos="8929"/>
          <w:tab w:val="right" w:pos="9638"/>
        </w:tabs>
        <w:spacing w:after="120"/>
        <w:ind w:left="1134" w:hanging="1134"/>
      </w:pPr>
      <w:r>
        <w:tab/>
        <w:t>VI.</w:t>
      </w:r>
      <w:r>
        <w:tab/>
      </w:r>
      <w:r w:rsidR="006652DF" w:rsidRPr="004B2AF9">
        <w:rPr>
          <w:lang w:val="fr-FR"/>
        </w:rPr>
        <w:t>Propositions d</w:t>
      </w:r>
      <w:r w:rsidR="0006343E">
        <w:rPr>
          <w:lang w:val="fr-FR"/>
        </w:rPr>
        <w:t>’</w:t>
      </w:r>
      <w:r w:rsidR="006652DF" w:rsidRPr="004B2AF9">
        <w:rPr>
          <w:lang w:val="fr-FR"/>
        </w:rPr>
        <w:t>amendement à l</w:t>
      </w:r>
      <w:r w:rsidR="0006343E">
        <w:rPr>
          <w:lang w:val="fr-FR"/>
        </w:rPr>
        <w:t>’</w:t>
      </w:r>
      <w:r w:rsidR="006652DF" w:rsidRPr="004B2AF9">
        <w:rPr>
          <w:lang w:val="fr-FR"/>
        </w:rPr>
        <w:t>ATP (point 5 de l</w:t>
      </w:r>
      <w:r w:rsidR="0006343E">
        <w:rPr>
          <w:lang w:val="fr-FR"/>
        </w:rPr>
        <w:t>’</w:t>
      </w:r>
      <w:r w:rsidR="006652DF" w:rsidRPr="004B2AF9">
        <w:rPr>
          <w:lang w:val="fr-FR"/>
        </w:rPr>
        <w:t>ordre du jour)</w:t>
      </w:r>
      <w:r>
        <w:tab/>
      </w:r>
      <w:r>
        <w:tab/>
      </w:r>
      <w:r w:rsidR="00C92E25">
        <w:t>30</w:t>
      </w:r>
      <w:r w:rsidR="006652DF">
        <w:t>−</w:t>
      </w:r>
      <w:r w:rsidR="00C92E25">
        <w:t>76</w:t>
      </w:r>
      <w:r>
        <w:tab/>
      </w:r>
      <w:r w:rsidR="006652DF">
        <w:t>8</w:t>
      </w:r>
    </w:p>
    <w:p w:rsidR="00F34287" w:rsidRDefault="00F34287" w:rsidP="00F34287">
      <w:pPr>
        <w:tabs>
          <w:tab w:val="right" w:leader="dot" w:pos="7654"/>
          <w:tab w:val="right" w:pos="8929"/>
          <w:tab w:val="right" w:pos="9638"/>
        </w:tabs>
        <w:spacing w:after="120"/>
        <w:ind w:left="1559" w:hanging="425"/>
      </w:pPr>
      <w:r>
        <w:t>A.</w:t>
      </w:r>
      <w:r>
        <w:tab/>
      </w:r>
      <w:r w:rsidR="006652DF" w:rsidRPr="004B2AF9">
        <w:rPr>
          <w:lang w:val="fr-FR"/>
        </w:rPr>
        <w:t>Propositions en suspens</w:t>
      </w:r>
      <w:r>
        <w:tab/>
      </w:r>
      <w:r>
        <w:tab/>
      </w:r>
      <w:r w:rsidR="00C92E25">
        <w:t>30</w:t>
      </w:r>
      <w:r w:rsidR="006652DF">
        <w:t>−</w:t>
      </w:r>
      <w:r w:rsidR="00C92E25">
        <w:t>53</w:t>
      </w:r>
      <w:r>
        <w:tab/>
      </w:r>
      <w:r w:rsidR="006652DF">
        <w:t>8</w:t>
      </w:r>
    </w:p>
    <w:p w:rsidR="00827114" w:rsidRDefault="00827114" w:rsidP="00827114">
      <w:pPr>
        <w:tabs>
          <w:tab w:val="right" w:leader="dot" w:pos="7654"/>
          <w:tab w:val="right" w:pos="8929"/>
          <w:tab w:val="right" w:pos="9638"/>
        </w:tabs>
        <w:spacing w:after="120"/>
        <w:ind w:left="1984" w:hanging="425"/>
      </w:pPr>
      <w:r>
        <w:t>1.</w:t>
      </w:r>
      <w:r>
        <w:tab/>
      </w:r>
      <w:r w:rsidR="006652DF" w:rsidRPr="004B2AF9">
        <w:rPr>
          <w:lang w:val="fr-FR"/>
        </w:rPr>
        <w:t>Éclaircissements concernant l</w:t>
      </w:r>
      <w:r w:rsidR="0006343E">
        <w:rPr>
          <w:lang w:val="fr-FR"/>
        </w:rPr>
        <w:t>’</w:t>
      </w:r>
      <w:r w:rsidR="006652DF" w:rsidRPr="004B2AF9">
        <w:rPr>
          <w:lang w:val="fr-FR"/>
        </w:rPr>
        <w:t>expression «</w:t>
      </w:r>
      <w:r w:rsidR="006652DF">
        <w:rPr>
          <w:lang w:val="fr-FR"/>
        </w:rPr>
        <w:t> </w:t>
      </w:r>
      <w:r w:rsidR="006652DF" w:rsidRPr="004B2AF9">
        <w:rPr>
          <w:lang w:val="fr-FR"/>
        </w:rPr>
        <w:t>immatriculé ou enregistré</w:t>
      </w:r>
      <w:r w:rsidR="006652DF">
        <w:rPr>
          <w:lang w:val="fr-FR"/>
        </w:rPr>
        <w:t> </w:t>
      </w:r>
      <w:r w:rsidR="006652DF" w:rsidRPr="004B2AF9">
        <w:rPr>
          <w:lang w:val="fr-FR"/>
        </w:rPr>
        <w:t xml:space="preserve">» </w:t>
      </w:r>
      <w:r w:rsidR="006652DF" w:rsidRPr="004B2AF9">
        <w:rPr>
          <w:lang w:val="fr-FR"/>
        </w:rPr>
        <w:br/>
        <w:t>dans l</w:t>
      </w:r>
      <w:r w:rsidR="0006343E">
        <w:rPr>
          <w:lang w:val="fr-FR"/>
        </w:rPr>
        <w:t>’</w:t>
      </w:r>
      <w:r w:rsidR="006652DF" w:rsidRPr="004B2AF9">
        <w:rPr>
          <w:lang w:val="fr-FR"/>
        </w:rPr>
        <w:t>appendice 1 de l</w:t>
      </w:r>
      <w:r w:rsidR="0006343E">
        <w:rPr>
          <w:lang w:val="fr-FR"/>
        </w:rPr>
        <w:t>’</w:t>
      </w:r>
      <w:r w:rsidR="006652DF" w:rsidRPr="004B2AF9">
        <w:rPr>
          <w:lang w:val="fr-FR"/>
        </w:rPr>
        <w:t>annexe 1</w:t>
      </w:r>
      <w:r>
        <w:tab/>
      </w:r>
      <w:r>
        <w:tab/>
      </w:r>
      <w:r w:rsidR="00C92E25">
        <w:t>30</w:t>
      </w:r>
      <w:r w:rsidR="006652DF">
        <w:t>−</w:t>
      </w:r>
      <w:r w:rsidR="00C92E25">
        <w:t>32</w:t>
      </w:r>
      <w:r>
        <w:tab/>
      </w:r>
      <w:r w:rsidR="006652DF">
        <w:t>8</w:t>
      </w:r>
    </w:p>
    <w:p w:rsidR="00F34287" w:rsidRDefault="00F34287" w:rsidP="00827114">
      <w:pPr>
        <w:tabs>
          <w:tab w:val="right" w:leader="dot" w:pos="7654"/>
          <w:tab w:val="right" w:pos="8929"/>
          <w:tab w:val="right" w:pos="9638"/>
        </w:tabs>
        <w:spacing w:after="120"/>
        <w:ind w:left="1984" w:hanging="425"/>
      </w:pPr>
      <w:r>
        <w:t>2.</w:t>
      </w:r>
      <w:r>
        <w:tab/>
      </w:r>
      <w:r w:rsidR="006652DF" w:rsidRPr="004B2AF9">
        <w:rPr>
          <w:lang w:val="fr-FR"/>
        </w:rPr>
        <w:t>Validité des attestations délivrées à des engins fabriqués en vue d</w:t>
      </w:r>
      <w:r w:rsidR="0006343E">
        <w:rPr>
          <w:lang w:val="fr-FR"/>
        </w:rPr>
        <w:t>’</w:t>
      </w:r>
      <w:r w:rsidR="006652DF" w:rsidRPr="004B2AF9">
        <w:rPr>
          <w:lang w:val="fr-FR"/>
        </w:rPr>
        <w:t>être</w:t>
      </w:r>
      <w:r w:rsidR="006652DF">
        <w:rPr>
          <w:lang w:val="fr-FR"/>
        </w:rPr>
        <w:t xml:space="preserve"> </w:t>
      </w:r>
      <w:r w:rsidR="006652DF">
        <w:rPr>
          <w:lang w:val="fr-FR"/>
        </w:rPr>
        <w:br/>
      </w:r>
      <w:r w:rsidR="006652DF" w:rsidRPr="004B2AF9">
        <w:rPr>
          <w:lang w:val="fr-FR"/>
        </w:rPr>
        <w:t>transférés dans un autre pays</w:t>
      </w:r>
      <w:r>
        <w:tab/>
      </w:r>
      <w:r>
        <w:tab/>
      </w:r>
      <w:r w:rsidR="00C92E25">
        <w:t>33</w:t>
      </w:r>
      <w:r w:rsidR="006652DF">
        <w:t>−</w:t>
      </w:r>
      <w:r w:rsidR="00C92E25">
        <w:t>37</w:t>
      </w:r>
      <w:r>
        <w:tab/>
      </w:r>
      <w:r w:rsidR="006652DF">
        <w:t>8</w:t>
      </w:r>
    </w:p>
    <w:p w:rsidR="00F34287" w:rsidRDefault="00F34287" w:rsidP="00827114">
      <w:pPr>
        <w:tabs>
          <w:tab w:val="right" w:leader="dot" w:pos="7654"/>
          <w:tab w:val="right" w:pos="8929"/>
          <w:tab w:val="right" w:pos="9638"/>
        </w:tabs>
        <w:spacing w:after="120"/>
        <w:ind w:left="1984" w:hanging="425"/>
      </w:pPr>
      <w:r>
        <w:t>3.</w:t>
      </w:r>
      <w:r>
        <w:tab/>
      </w:r>
      <w:r w:rsidR="006652DF" w:rsidRPr="004B2AF9">
        <w:rPr>
          <w:lang w:val="fr-FR"/>
        </w:rPr>
        <w:t>Mesure de la surface extérieure des fourgons</w:t>
      </w:r>
      <w:r>
        <w:tab/>
      </w:r>
      <w:r>
        <w:tab/>
      </w:r>
      <w:r w:rsidR="00C92E25">
        <w:t>38</w:t>
      </w:r>
      <w:r w:rsidR="006652DF">
        <w:t>−</w:t>
      </w:r>
      <w:r w:rsidR="00C92E25">
        <w:t>39</w:t>
      </w:r>
      <w:r>
        <w:tab/>
      </w:r>
      <w:r w:rsidR="006652DF">
        <w:t>9</w:t>
      </w:r>
    </w:p>
    <w:p w:rsidR="00F34287" w:rsidRDefault="00F34287" w:rsidP="00827114">
      <w:pPr>
        <w:tabs>
          <w:tab w:val="right" w:leader="dot" w:pos="7654"/>
          <w:tab w:val="right" w:pos="8929"/>
          <w:tab w:val="right" w:pos="9638"/>
        </w:tabs>
        <w:spacing w:after="120"/>
        <w:ind w:left="1984" w:hanging="425"/>
      </w:pPr>
      <w:r>
        <w:t>4.</w:t>
      </w:r>
      <w:r>
        <w:tab/>
      </w:r>
      <w:r w:rsidR="006652DF">
        <w:rPr>
          <w:lang w:val="fr-FR"/>
        </w:rPr>
        <w:t>Essai</w:t>
      </w:r>
      <w:r w:rsidR="006652DF" w:rsidRPr="004B2AF9">
        <w:rPr>
          <w:lang w:val="fr-FR"/>
        </w:rPr>
        <w:t xml:space="preserve"> en vue du renouvellement à six et neuf ans des attestations ATP </w:t>
      </w:r>
      <w:r w:rsidR="006652DF" w:rsidRPr="004B2AF9">
        <w:rPr>
          <w:lang w:val="fr-FR"/>
        </w:rPr>
        <w:br/>
        <w:t>pour les engins non autonomes</w:t>
      </w:r>
      <w:r>
        <w:tab/>
      </w:r>
      <w:r>
        <w:tab/>
      </w:r>
      <w:r w:rsidR="00C92E25">
        <w:t>40</w:t>
      </w:r>
      <w:r w:rsidR="006652DF">
        <w:t>−</w:t>
      </w:r>
      <w:r w:rsidR="00C92E25">
        <w:t>42</w:t>
      </w:r>
      <w:r>
        <w:tab/>
      </w:r>
      <w:r w:rsidR="006652DF">
        <w:t>9</w:t>
      </w:r>
    </w:p>
    <w:p w:rsidR="00F34287" w:rsidRDefault="00F34287" w:rsidP="00827114">
      <w:pPr>
        <w:tabs>
          <w:tab w:val="right" w:leader="dot" w:pos="7654"/>
          <w:tab w:val="right" w:pos="8929"/>
          <w:tab w:val="right" w:pos="9638"/>
        </w:tabs>
        <w:spacing w:after="120"/>
        <w:ind w:left="1984" w:hanging="425"/>
      </w:pPr>
      <w:r>
        <w:t>5.</w:t>
      </w:r>
      <w:r>
        <w:tab/>
      </w:r>
      <w:r w:rsidR="006652DF" w:rsidRPr="004B2AF9">
        <w:rPr>
          <w:lang w:val="fr-FR"/>
        </w:rPr>
        <w:t>Essai des engins à températures multiples en service</w:t>
      </w:r>
      <w:r>
        <w:tab/>
      </w:r>
      <w:r>
        <w:tab/>
      </w:r>
      <w:r w:rsidR="00C92E25">
        <w:t>43</w:t>
      </w:r>
      <w:r w:rsidR="006652DF">
        <w:t>−</w:t>
      </w:r>
      <w:r w:rsidR="00C92E25">
        <w:t>47</w:t>
      </w:r>
      <w:r>
        <w:tab/>
      </w:r>
      <w:r w:rsidR="006652DF">
        <w:t>9</w:t>
      </w:r>
    </w:p>
    <w:p w:rsidR="00F34287" w:rsidRDefault="00F34287" w:rsidP="00827114">
      <w:pPr>
        <w:tabs>
          <w:tab w:val="right" w:leader="dot" w:pos="7654"/>
          <w:tab w:val="right" w:pos="8929"/>
          <w:tab w:val="right" w:pos="9638"/>
        </w:tabs>
        <w:spacing w:after="120"/>
        <w:ind w:left="1984" w:hanging="425"/>
      </w:pPr>
      <w:r>
        <w:t>6.</w:t>
      </w:r>
      <w:r>
        <w:tab/>
      </w:r>
      <w:r w:rsidR="006652DF" w:rsidRPr="004B2AF9">
        <w:rPr>
          <w:lang w:val="fr-FR"/>
        </w:rPr>
        <w:t>Marques d</w:t>
      </w:r>
      <w:r w:rsidR="0006343E">
        <w:rPr>
          <w:lang w:val="fr-FR"/>
        </w:rPr>
        <w:t>’</w:t>
      </w:r>
      <w:r w:rsidR="006652DF" w:rsidRPr="004B2AF9">
        <w:rPr>
          <w:lang w:val="fr-FR"/>
        </w:rPr>
        <w:t xml:space="preserve">identification des engins à températures multiples </w:t>
      </w:r>
      <w:r>
        <w:tab/>
      </w:r>
      <w:r>
        <w:tab/>
      </w:r>
      <w:r w:rsidR="00C92E25">
        <w:t>48</w:t>
      </w:r>
      <w:r w:rsidR="006652DF">
        <w:t>−</w:t>
      </w:r>
      <w:r w:rsidR="00C92E25">
        <w:t>50</w:t>
      </w:r>
      <w:r>
        <w:tab/>
      </w:r>
      <w:r w:rsidR="006652DF">
        <w:t>10</w:t>
      </w:r>
    </w:p>
    <w:p w:rsidR="00F34287" w:rsidRDefault="00F34287" w:rsidP="00827114">
      <w:pPr>
        <w:tabs>
          <w:tab w:val="right" w:leader="dot" w:pos="7654"/>
          <w:tab w:val="right" w:pos="8929"/>
          <w:tab w:val="right" w:pos="9638"/>
        </w:tabs>
        <w:spacing w:after="120"/>
        <w:ind w:left="1984" w:hanging="425"/>
      </w:pPr>
      <w:r>
        <w:t>7.</w:t>
      </w:r>
      <w:r>
        <w:tab/>
      </w:r>
      <w:r w:rsidR="006652DF" w:rsidRPr="004B2AF9">
        <w:rPr>
          <w:lang w:val="fr-FR"/>
        </w:rPr>
        <w:t>Renvois à des normes dans l</w:t>
      </w:r>
      <w:r w:rsidR="0006343E">
        <w:rPr>
          <w:lang w:val="fr-FR"/>
        </w:rPr>
        <w:t>’</w:t>
      </w:r>
      <w:r w:rsidR="006652DF" w:rsidRPr="004B2AF9">
        <w:rPr>
          <w:lang w:val="fr-FR"/>
        </w:rPr>
        <w:t>ATP et révision de ces normes</w:t>
      </w:r>
      <w:r>
        <w:tab/>
      </w:r>
      <w:r>
        <w:tab/>
      </w:r>
      <w:r w:rsidR="00C92E25">
        <w:t>51</w:t>
      </w:r>
      <w:r w:rsidR="006652DF">
        <w:t>−</w:t>
      </w:r>
      <w:r w:rsidR="00C92E25">
        <w:t>53</w:t>
      </w:r>
      <w:r>
        <w:tab/>
      </w:r>
      <w:r w:rsidR="006652DF">
        <w:t>10</w:t>
      </w:r>
    </w:p>
    <w:p w:rsidR="00F34287" w:rsidRDefault="00F34287" w:rsidP="00F34287">
      <w:pPr>
        <w:tabs>
          <w:tab w:val="right" w:leader="dot" w:pos="7654"/>
          <w:tab w:val="right" w:pos="8929"/>
          <w:tab w:val="right" w:pos="9638"/>
        </w:tabs>
        <w:spacing w:after="120"/>
        <w:ind w:left="1559" w:hanging="425"/>
      </w:pPr>
      <w:r>
        <w:t>B.</w:t>
      </w:r>
      <w:r>
        <w:tab/>
      </w:r>
      <w:r w:rsidR="006652DF" w:rsidRPr="004B2AF9">
        <w:rPr>
          <w:lang w:val="fr-FR"/>
        </w:rPr>
        <w:t>Nouvelles propositions</w:t>
      </w:r>
      <w:r>
        <w:tab/>
      </w:r>
      <w:r>
        <w:tab/>
      </w:r>
      <w:r w:rsidR="00C92E25">
        <w:t>54</w:t>
      </w:r>
      <w:r w:rsidR="006652DF">
        <w:t>−</w:t>
      </w:r>
      <w:r w:rsidR="00C92E25">
        <w:t>76</w:t>
      </w:r>
      <w:r>
        <w:tab/>
      </w:r>
      <w:r w:rsidR="006652DF">
        <w:t>11</w:t>
      </w:r>
    </w:p>
    <w:p w:rsidR="00F34287" w:rsidRDefault="00F34287" w:rsidP="00F34287">
      <w:pPr>
        <w:tabs>
          <w:tab w:val="right" w:leader="dot" w:pos="7654"/>
          <w:tab w:val="right" w:pos="8929"/>
          <w:tab w:val="right" w:pos="9638"/>
        </w:tabs>
        <w:spacing w:after="120"/>
        <w:ind w:left="1984" w:hanging="425"/>
      </w:pPr>
      <w:r>
        <w:t>1.</w:t>
      </w:r>
      <w:r>
        <w:tab/>
      </w:r>
      <w:r w:rsidR="00ED1E10" w:rsidRPr="004B2AF9">
        <w:rPr>
          <w:lang w:val="fr-FR"/>
        </w:rPr>
        <w:t>Accréditation des autorités compétentes</w:t>
      </w:r>
      <w:r>
        <w:tab/>
      </w:r>
      <w:r>
        <w:tab/>
      </w:r>
      <w:r w:rsidR="00C92E25">
        <w:t>54</w:t>
      </w:r>
      <w:r w:rsidR="006652DF">
        <w:t>−</w:t>
      </w:r>
      <w:r w:rsidR="00C92E25">
        <w:t>55</w:t>
      </w:r>
      <w:r>
        <w:tab/>
      </w:r>
      <w:r w:rsidR="00ED1E10">
        <w:t>11</w:t>
      </w:r>
    </w:p>
    <w:p w:rsidR="00F34287" w:rsidRDefault="00F34287" w:rsidP="00F34287">
      <w:pPr>
        <w:tabs>
          <w:tab w:val="right" w:leader="dot" w:pos="7654"/>
          <w:tab w:val="right" w:pos="8929"/>
          <w:tab w:val="right" w:pos="9638"/>
        </w:tabs>
        <w:spacing w:after="120"/>
        <w:ind w:left="1984" w:hanging="425"/>
      </w:pPr>
      <w:r>
        <w:lastRenderedPageBreak/>
        <w:t>2.</w:t>
      </w:r>
      <w:r>
        <w:tab/>
      </w:r>
      <w:r w:rsidR="00ED1E10" w:rsidRPr="004B2AF9">
        <w:rPr>
          <w:lang w:val="fr-FR"/>
        </w:rPr>
        <w:t>Article 18</w:t>
      </w:r>
      <w:r>
        <w:tab/>
      </w:r>
      <w:r>
        <w:tab/>
      </w:r>
      <w:r w:rsidR="00C92E25">
        <w:t>56</w:t>
      </w:r>
      <w:r w:rsidR="006652DF">
        <w:t>−</w:t>
      </w:r>
      <w:r w:rsidR="00C92E25">
        <w:t>57</w:t>
      </w:r>
      <w:r>
        <w:tab/>
      </w:r>
      <w:r w:rsidR="00ED1E10">
        <w:t>11</w:t>
      </w:r>
    </w:p>
    <w:p w:rsidR="00F34287" w:rsidRDefault="00F34287" w:rsidP="00F34287">
      <w:pPr>
        <w:tabs>
          <w:tab w:val="right" w:leader="dot" w:pos="7654"/>
          <w:tab w:val="right" w:pos="8929"/>
          <w:tab w:val="right" w:pos="9638"/>
        </w:tabs>
        <w:spacing w:after="120"/>
        <w:ind w:left="1984" w:hanging="425"/>
      </w:pPr>
      <w:r>
        <w:t>3.</w:t>
      </w:r>
      <w:r>
        <w:tab/>
      </w:r>
      <w:r w:rsidR="00ED1E10" w:rsidRPr="004B2AF9">
        <w:rPr>
          <w:lang w:val="fr-FR"/>
        </w:rPr>
        <w:t>Définitions à ajouter à l</w:t>
      </w:r>
      <w:r w:rsidR="0006343E">
        <w:rPr>
          <w:lang w:val="fr-FR"/>
        </w:rPr>
        <w:t>’</w:t>
      </w:r>
      <w:r w:rsidR="00ED1E10" w:rsidRPr="004B2AF9">
        <w:rPr>
          <w:lang w:val="fr-FR"/>
        </w:rPr>
        <w:t>annexe 1</w:t>
      </w:r>
      <w:r>
        <w:tab/>
      </w:r>
      <w:r>
        <w:tab/>
      </w:r>
      <w:r w:rsidR="00C92E25">
        <w:t>58</w:t>
      </w:r>
      <w:r w:rsidR="006652DF">
        <w:t>−</w:t>
      </w:r>
      <w:r w:rsidR="00C92E25">
        <w:t>61</w:t>
      </w:r>
      <w:r>
        <w:tab/>
      </w:r>
      <w:r w:rsidR="00ED1E10">
        <w:t>11</w:t>
      </w:r>
    </w:p>
    <w:p w:rsidR="00F34287" w:rsidRDefault="00F34287" w:rsidP="00F34287">
      <w:pPr>
        <w:tabs>
          <w:tab w:val="right" w:leader="dot" w:pos="7654"/>
          <w:tab w:val="right" w:pos="8929"/>
          <w:tab w:val="right" w:pos="9638"/>
        </w:tabs>
        <w:spacing w:after="120"/>
        <w:ind w:left="1984" w:hanging="425"/>
      </w:pPr>
      <w:r>
        <w:t>4.</w:t>
      </w:r>
      <w:r>
        <w:tab/>
      </w:r>
      <w:r w:rsidR="00ED1E10" w:rsidRPr="004B2AF9">
        <w:rPr>
          <w:lang w:val="fr-FR"/>
        </w:rPr>
        <w:t>Accréditation des stations d</w:t>
      </w:r>
      <w:r w:rsidR="0006343E">
        <w:rPr>
          <w:lang w:val="fr-FR"/>
        </w:rPr>
        <w:t>’</w:t>
      </w:r>
      <w:r w:rsidR="00ED1E10" w:rsidRPr="004B2AF9">
        <w:rPr>
          <w:lang w:val="fr-FR"/>
        </w:rPr>
        <w:t>essai</w:t>
      </w:r>
      <w:r>
        <w:tab/>
      </w:r>
      <w:r>
        <w:tab/>
      </w:r>
      <w:r w:rsidR="00C92E25">
        <w:t>62</w:t>
      </w:r>
      <w:r w:rsidR="006652DF">
        <w:t>−</w:t>
      </w:r>
      <w:r w:rsidR="00C92E25">
        <w:t>64</w:t>
      </w:r>
      <w:r>
        <w:tab/>
      </w:r>
      <w:r w:rsidR="00ED1E10">
        <w:t>12</w:t>
      </w:r>
    </w:p>
    <w:p w:rsidR="00F34287" w:rsidRDefault="00F34287" w:rsidP="00F34287">
      <w:pPr>
        <w:tabs>
          <w:tab w:val="right" w:leader="dot" w:pos="7654"/>
          <w:tab w:val="right" w:pos="8929"/>
          <w:tab w:val="right" w:pos="9638"/>
        </w:tabs>
        <w:spacing w:after="120"/>
        <w:ind w:left="1984" w:hanging="425"/>
      </w:pPr>
      <w:r>
        <w:t>5.</w:t>
      </w:r>
      <w:r>
        <w:tab/>
      </w:r>
      <w:r w:rsidR="00ED1E10">
        <w:rPr>
          <w:lang w:val="fr-FR"/>
        </w:rPr>
        <w:t>Modèle n</w:t>
      </w:r>
      <w:r w:rsidR="00ED1E10" w:rsidRPr="009E3358">
        <w:rPr>
          <w:vertAlign w:val="superscript"/>
          <w:lang w:val="fr-FR"/>
        </w:rPr>
        <w:t>o</w:t>
      </w:r>
      <w:r w:rsidR="00ED1E10">
        <w:rPr>
          <w:lang w:val="fr-FR"/>
        </w:rPr>
        <w:t> </w:t>
      </w:r>
      <w:r w:rsidR="00ED1E10" w:rsidRPr="004B2AF9">
        <w:rPr>
          <w:lang w:val="fr-FR"/>
        </w:rPr>
        <w:t>10 de procès-verbal d</w:t>
      </w:r>
      <w:r w:rsidR="0006343E">
        <w:rPr>
          <w:lang w:val="fr-FR"/>
        </w:rPr>
        <w:t>’</w:t>
      </w:r>
      <w:r w:rsidR="00ED1E10" w:rsidRPr="004B2AF9">
        <w:rPr>
          <w:lang w:val="fr-FR"/>
        </w:rPr>
        <w:t>essai</w:t>
      </w:r>
      <w:r>
        <w:tab/>
      </w:r>
      <w:r>
        <w:tab/>
      </w:r>
      <w:r w:rsidR="00C92E25">
        <w:t>65</w:t>
      </w:r>
      <w:r w:rsidR="006652DF">
        <w:t>−</w:t>
      </w:r>
      <w:r w:rsidR="00C92E25">
        <w:t>66</w:t>
      </w:r>
      <w:r>
        <w:tab/>
      </w:r>
      <w:r w:rsidR="00ED1E10">
        <w:t>12</w:t>
      </w:r>
    </w:p>
    <w:p w:rsidR="00F34287" w:rsidRDefault="00F34287" w:rsidP="00F34287">
      <w:pPr>
        <w:tabs>
          <w:tab w:val="right" w:leader="dot" w:pos="7654"/>
          <w:tab w:val="right" w:pos="8929"/>
          <w:tab w:val="right" w:pos="9638"/>
        </w:tabs>
        <w:spacing w:after="120"/>
        <w:ind w:left="1984" w:hanging="425"/>
      </w:pPr>
      <w:r>
        <w:t>6.</w:t>
      </w:r>
      <w:r>
        <w:tab/>
      </w:r>
      <w:r w:rsidR="00ED1E10" w:rsidRPr="004B2AF9">
        <w:rPr>
          <w:lang w:val="fr-FR"/>
        </w:rPr>
        <w:t xml:space="preserve">Suivi et enregistrement de la température des denrées alimentaires </w:t>
      </w:r>
      <w:r w:rsidR="00ED1E10">
        <w:rPr>
          <w:lang w:val="fr-FR"/>
        </w:rPr>
        <w:br/>
      </w:r>
      <w:r w:rsidR="00ED1E10" w:rsidRPr="004B2AF9">
        <w:rPr>
          <w:lang w:val="fr-FR"/>
        </w:rPr>
        <w:t>réfrigérées</w:t>
      </w:r>
      <w:r>
        <w:tab/>
      </w:r>
      <w:r>
        <w:tab/>
      </w:r>
      <w:r w:rsidR="006652DF">
        <w:t>67−69</w:t>
      </w:r>
      <w:r>
        <w:tab/>
      </w:r>
      <w:r w:rsidR="00ED1E10">
        <w:t>12</w:t>
      </w:r>
    </w:p>
    <w:p w:rsidR="00F34287" w:rsidRDefault="00F34287" w:rsidP="00F34287">
      <w:pPr>
        <w:tabs>
          <w:tab w:val="right" w:leader="dot" w:pos="7654"/>
          <w:tab w:val="right" w:pos="8929"/>
          <w:tab w:val="right" w:pos="9638"/>
        </w:tabs>
        <w:spacing w:after="120"/>
        <w:ind w:left="1984" w:hanging="425"/>
      </w:pPr>
      <w:r>
        <w:t>7.</w:t>
      </w:r>
      <w:r>
        <w:tab/>
      </w:r>
      <w:r w:rsidR="00ED1E10" w:rsidRPr="004B2AF9">
        <w:rPr>
          <w:lang w:val="fr-FR"/>
        </w:rPr>
        <w:t>Référentiel d</w:t>
      </w:r>
      <w:r w:rsidR="0006343E">
        <w:rPr>
          <w:lang w:val="fr-FR"/>
        </w:rPr>
        <w:t>’</w:t>
      </w:r>
      <w:r w:rsidR="00ED1E10" w:rsidRPr="004B2AF9">
        <w:rPr>
          <w:lang w:val="fr-FR"/>
        </w:rPr>
        <w:t>audit des constructeurs d</w:t>
      </w:r>
      <w:r w:rsidR="0006343E">
        <w:rPr>
          <w:lang w:val="fr-FR"/>
        </w:rPr>
        <w:t>’</w:t>
      </w:r>
      <w:r w:rsidR="00ED1E10" w:rsidRPr="004B2AF9">
        <w:rPr>
          <w:lang w:val="fr-FR"/>
        </w:rPr>
        <w:t xml:space="preserve">engins de transport sous </w:t>
      </w:r>
      <w:r w:rsidR="00ED1E10">
        <w:rPr>
          <w:lang w:val="fr-FR"/>
        </w:rPr>
        <w:br/>
      </w:r>
      <w:r w:rsidR="00ED1E10" w:rsidRPr="004B2AF9">
        <w:rPr>
          <w:lang w:val="fr-FR"/>
        </w:rPr>
        <w:t>température dirigée</w:t>
      </w:r>
      <w:r>
        <w:tab/>
      </w:r>
      <w:r>
        <w:tab/>
      </w:r>
      <w:r w:rsidR="006652DF">
        <w:t>70−71</w:t>
      </w:r>
      <w:r>
        <w:tab/>
      </w:r>
      <w:r w:rsidR="00ED1E10">
        <w:t>12</w:t>
      </w:r>
    </w:p>
    <w:p w:rsidR="00F34287" w:rsidRDefault="00F34287" w:rsidP="00F34287">
      <w:pPr>
        <w:tabs>
          <w:tab w:val="right" w:leader="dot" w:pos="7654"/>
          <w:tab w:val="right" w:pos="8929"/>
          <w:tab w:val="right" w:pos="9638"/>
        </w:tabs>
        <w:spacing w:after="120"/>
        <w:ind w:left="1984" w:hanging="425"/>
      </w:pPr>
      <w:r>
        <w:t>8.</w:t>
      </w:r>
      <w:r>
        <w:tab/>
      </w:r>
      <w:r w:rsidR="00ED1E10" w:rsidRPr="004B2AF9">
        <w:rPr>
          <w:lang w:val="fr-FR"/>
        </w:rPr>
        <w:t>Nouvelle annexe relative au transport de fruits et légumes</w:t>
      </w:r>
      <w:r>
        <w:tab/>
      </w:r>
      <w:r>
        <w:tab/>
      </w:r>
      <w:r w:rsidR="006652DF">
        <w:t>72−74</w:t>
      </w:r>
      <w:r>
        <w:tab/>
      </w:r>
      <w:r w:rsidR="00ED1E10">
        <w:t>13</w:t>
      </w:r>
    </w:p>
    <w:p w:rsidR="00F34287" w:rsidRDefault="00F34287" w:rsidP="00F34287">
      <w:pPr>
        <w:tabs>
          <w:tab w:val="right" w:leader="dot" w:pos="7654"/>
          <w:tab w:val="right" w:pos="8929"/>
          <w:tab w:val="right" w:pos="9638"/>
        </w:tabs>
        <w:spacing w:after="120"/>
        <w:ind w:left="1984" w:hanging="425"/>
      </w:pPr>
      <w:r>
        <w:t>9.</w:t>
      </w:r>
      <w:r>
        <w:tab/>
      </w:r>
      <w:r w:rsidR="00ED1E10" w:rsidRPr="004B2AF9">
        <w:rPr>
          <w:lang w:val="fr-FR"/>
        </w:rPr>
        <w:t>Propositions de diverses corrections rédactionnelles</w:t>
      </w:r>
      <w:r>
        <w:tab/>
      </w:r>
      <w:r>
        <w:tab/>
      </w:r>
      <w:r w:rsidR="006652DF">
        <w:t>75−76</w:t>
      </w:r>
      <w:r>
        <w:tab/>
      </w:r>
      <w:r w:rsidR="00ED1E10">
        <w:t>13</w:t>
      </w:r>
    </w:p>
    <w:p w:rsidR="00F34287" w:rsidRDefault="00F34287" w:rsidP="00F34287">
      <w:pPr>
        <w:tabs>
          <w:tab w:val="right" w:pos="850"/>
          <w:tab w:val="right" w:leader="dot" w:pos="7654"/>
          <w:tab w:val="right" w:pos="8929"/>
          <w:tab w:val="right" w:pos="9638"/>
        </w:tabs>
        <w:spacing w:after="120"/>
        <w:ind w:left="1134" w:hanging="1134"/>
      </w:pPr>
      <w:r>
        <w:tab/>
        <w:t>VII.</w:t>
      </w:r>
      <w:r>
        <w:tab/>
      </w:r>
      <w:r w:rsidR="00ED1E10" w:rsidRPr="004B2AF9">
        <w:rPr>
          <w:lang w:val="fr-FR"/>
        </w:rPr>
        <w:t>Manuel ATP (point 6 de l</w:t>
      </w:r>
      <w:r w:rsidR="0006343E">
        <w:rPr>
          <w:lang w:val="fr-FR"/>
        </w:rPr>
        <w:t>’</w:t>
      </w:r>
      <w:r w:rsidR="00ED1E10" w:rsidRPr="004B2AF9">
        <w:rPr>
          <w:lang w:val="fr-FR"/>
        </w:rPr>
        <w:t>ordre du jour)</w:t>
      </w:r>
      <w:r>
        <w:tab/>
      </w:r>
      <w:r>
        <w:tab/>
      </w:r>
      <w:r w:rsidR="006652DF">
        <w:t>77−87</w:t>
      </w:r>
      <w:r>
        <w:tab/>
      </w:r>
      <w:r w:rsidR="00ED1E10">
        <w:t>13</w:t>
      </w:r>
    </w:p>
    <w:p w:rsidR="00F34287" w:rsidRDefault="00F34287" w:rsidP="00F34287">
      <w:pPr>
        <w:tabs>
          <w:tab w:val="right" w:leader="dot" w:pos="7654"/>
          <w:tab w:val="right" w:pos="8929"/>
          <w:tab w:val="right" w:pos="9638"/>
        </w:tabs>
        <w:spacing w:after="120"/>
        <w:ind w:left="1559" w:hanging="425"/>
      </w:pPr>
      <w:r>
        <w:t>A.</w:t>
      </w:r>
      <w:r>
        <w:tab/>
      </w:r>
      <w:r w:rsidR="00ED1E10" w:rsidRPr="004B2AF9">
        <w:rPr>
          <w:lang w:val="fr-FR"/>
        </w:rPr>
        <w:t>Définition des denrées périssables</w:t>
      </w:r>
      <w:r>
        <w:tab/>
      </w:r>
      <w:r>
        <w:tab/>
      </w:r>
      <w:r w:rsidR="006652DF">
        <w:t>78−80</w:t>
      </w:r>
      <w:r>
        <w:tab/>
      </w:r>
      <w:r w:rsidR="00ED1E10">
        <w:t>13</w:t>
      </w:r>
    </w:p>
    <w:p w:rsidR="00F34287" w:rsidRDefault="00F34287" w:rsidP="00F34287">
      <w:pPr>
        <w:tabs>
          <w:tab w:val="right" w:leader="dot" w:pos="7654"/>
          <w:tab w:val="right" w:pos="8929"/>
          <w:tab w:val="right" w:pos="9638"/>
        </w:tabs>
        <w:spacing w:after="120"/>
        <w:ind w:left="1559" w:hanging="425"/>
      </w:pPr>
      <w:r>
        <w:t>B.</w:t>
      </w:r>
      <w:r>
        <w:tab/>
      </w:r>
      <w:r w:rsidR="00ED1E10" w:rsidRPr="004B2AF9">
        <w:rPr>
          <w:lang w:val="fr-FR"/>
        </w:rPr>
        <w:t>Mesure de la surface extérieure des fourgons</w:t>
      </w:r>
      <w:r>
        <w:tab/>
      </w:r>
      <w:r>
        <w:tab/>
      </w:r>
      <w:r w:rsidR="006652DF">
        <w:t>81</w:t>
      </w:r>
      <w:r>
        <w:tab/>
      </w:r>
      <w:r w:rsidR="00ED1E10">
        <w:t>14</w:t>
      </w:r>
    </w:p>
    <w:p w:rsidR="00F34287" w:rsidRDefault="00F34287" w:rsidP="00F34287">
      <w:pPr>
        <w:tabs>
          <w:tab w:val="right" w:leader="dot" w:pos="7654"/>
          <w:tab w:val="right" w:pos="8929"/>
          <w:tab w:val="right" w:pos="9638"/>
        </w:tabs>
        <w:spacing w:after="120"/>
        <w:ind w:left="1559" w:hanging="425"/>
      </w:pPr>
      <w:r>
        <w:t>C.</w:t>
      </w:r>
      <w:r>
        <w:tab/>
      </w:r>
      <w:r w:rsidR="00ED1E10" w:rsidRPr="004B2AF9">
        <w:rPr>
          <w:lang w:val="fr-FR"/>
        </w:rPr>
        <w:t xml:space="preserve">Surfaces </w:t>
      </w:r>
      <w:r w:rsidR="00ED1E10">
        <w:rPr>
          <w:lang w:val="fr-FR"/>
        </w:rPr>
        <w:t>in</w:t>
      </w:r>
      <w:r w:rsidR="00ED1E10" w:rsidRPr="0057464F">
        <w:rPr>
          <w:lang w:val="fr-FR"/>
        </w:rPr>
        <w:t>térieure</w:t>
      </w:r>
      <w:r w:rsidR="00ED1E10">
        <w:rPr>
          <w:lang w:val="fr-FR"/>
        </w:rPr>
        <w:t>s</w:t>
      </w:r>
      <w:r w:rsidR="00ED1E10" w:rsidRPr="0057464F">
        <w:rPr>
          <w:lang w:val="fr-FR"/>
        </w:rPr>
        <w:t xml:space="preserve"> </w:t>
      </w:r>
      <w:r w:rsidR="00ED1E10" w:rsidRPr="004B2AF9">
        <w:rPr>
          <w:lang w:val="fr-FR"/>
        </w:rPr>
        <w:t xml:space="preserve">et </w:t>
      </w:r>
      <w:r w:rsidR="00ED1E10" w:rsidRPr="0057464F">
        <w:rPr>
          <w:lang w:val="fr-FR"/>
        </w:rPr>
        <w:t>extérieure</w:t>
      </w:r>
      <w:r w:rsidR="00ED1E10">
        <w:rPr>
          <w:lang w:val="fr-FR"/>
        </w:rPr>
        <w:t>s</w:t>
      </w:r>
      <w:r w:rsidR="00ED1E10" w:rsidRPr="0057464F">
        <w:rPr>
          <w:lang w:val="fr-FR"/>
        </w:rPr>
        <w:t xml:space="preserve"> </w:t>
      </w:r>
      <w:r w:rsidR="00ED1E10" w:rsidRPr="004B2AF9">
        <w:rPr>
          <w:lang w:val="fr-FR"/>
        </w:rPr>
        <w:t xml:space="preserve">de transfert thermique des wagons </w:t>
      </w:r>
      <w:r w:rsidR="00ED1E10">
        <w:rPr>
          <w:lang w:val="fr-FR"/>
        </w:rPr>
        <w:br/>
      </w:r>
      <w:r w:rsidR="00ED1E10" w:rsidRPr="004B2AF9">
        <w:rPr>
          <w:lang w:val="fr-FR"/>
        </w:rPr>
        <w:t>ferroviaires</w:t>
      </w:r>
      <w:r>
        <w:tab/>
      </w:r>
      <w:r>
        <w:tab/>
      </w:r>
      <w:r w:rsidR="006652DF">
        <w:t>82−84</w:t>
      </w:r>
      <w:r>
        <w:tab/>
      </w:r>
      <w:r w:rsidR="00ED1E10">
        <w:t>14</w:t>
      </w:r>
    </w:p>
    <w:p w:rsidR="00F34287" w:rsidRDefault="00F34287" w:rsidP="00F34287">
      <w:pPr>
        <w:tabs>
          <w:tab w:val="right" w:leader="dot" w:pos="7654"/>
          <w:tab w:val="right" w:pos="8929"/>
          <w:tab w:val="right" w:pos="9638"/>
        </w:tabs>
        <w:spacing w:after="120"/>
        <w:ind w:left="1559" w:hanging="425"/>
      </w:pPr>
      <w:r>
        <w:t>D.</w:t>
      </w:r>
      <w:r>
        <w:tab/>
      </w:r>
      <w:r w:rsidR="00ED1E10" w:rsidRPr="004B2AF9">
        <w:rPr>
          <w:lang w:val="fr-FR"/>
        </w:rPr>
        <w:t>Modifications mineures et limitées d</w:t>
      </w:r>
      <w:r w:rsidR="0006343E">
        <w:rPr>
          <w:lang w:val="fr-FR"/>
        </w:rPr>
        <w:t>’</w:t>
      </w:r>
      <w:r w:rsidR="00ED1E10" w:rsidRPr="004B2AF9">
        <w:rPr>
          <w:lang w:val="fr-FR"/>
        </w:rPr>
        <w:t>engins produits en série</w:t>
      </w:r>
      <w:r>
        <w:tab/>
      </w:r>
      <w:r>
        <w:tab/>
      </w:r>
      <w:r w:rsidR="006652DF">
        <w:t>85−86</w:t>
      </w:r>
      <w:r>
        <w:tab/>
      </w:r>
      <w:r w:rsidR="00ED1E10">
        <w:t>14</w:t>
      </w:r>
    </w:p>
    <w:p w:rsidR="00F34287" w:rsidRDefault="00F34287" w:rsidP="00F34287">
      <w:pPr>
        <w:tabs>
          <w:tab w:val="right" w:leader="dot" w:pos="7654"/>
          <w:tab w:val="right" w:pos="8929"/>
          <w:tab w:val="right" w:pos="9638"/>
        </w:tabs>
        <w:spacing w:after="120"/>
        <w:ind w:left="1559" w:hanging="425"/>
      </w:pPr>
      <w:r>
        <w:t>E.</w:t>
      </w:r>
      <w:r>
        <w:tab/>
      </w:r>
      <w:r w:rsidR="00ED1E10" w:rsidRPr="004B2AF9">
        <w:rPr>
          <w:lang w:val="fr-FR"/>
        </w:rPr>
        <w:t>Immatriculé ou enregistré</w:t>
      </w:r>
      <w:r>
        <w:tab/>
      </w:r>
      <w:r>
        <w:tab/>
      </w:r>
      <w:r w:rsidR="006652DF">
        <w:t>87</w:t>
      </w:r>
      <w:r>
        <w:tab/>
      </w:r>
      <w:r w:rsidR="00ED1E10">
        <w:t>14</w:t>
      </w:r>
    </w:p>
    <w:p w:rsidR="00F34287" w:rsidRDefault="00F34287" w:rsidP="00F34287">
      <w:pPr>
        <w:tabs>
          <w:tab w:val="right" w:pos="850"/>
          <w:tab w:val="right" w:leader="dot" w:pos="7654"/>
          <w:tab w:val="right" w:pos="8929"/>
          <w:tab w:val="right" w:pos="9638"/>
        </w:tabs>
        <w:spacing w:after="120"/>
        <w:ind w:left="1134" w:hanging="1134"/>
      </w:pPr>
      <w:r>
        <w:tab/>
        <w:t>VIII.</w:t>
      </w:r>
      <w:r>
        <w:tab/>
      </w:r>
      <w:r w:rsidR="00060D40" w:rsidRPr="004B2AF9">
        <w:rPr>
          <w:lang w:val="fr-FR"/>
        </w:rPr>
        <w:t>Portée de l</w:t>
      </w:r>
      <w:r w:rsidR="0006343E">
        <w:rPr>
          <w:lang w:val="fr-FR"/>
        </w:rPr>
        <w:t>’</w:t>
      </w:r>
      <w:r w:rsidR="00060D40" w:rsidRPr="004B2AF9">
        <w:rPr>
          <w:lang w:val="fr-FR"/>
        </w:rPr>
        <w:t>ATP (point 7 de l</w:t>
      </w:r>
      <w:r w:rsidR="0006343E">
        <w:rPr>
          <w:lang w:val="fr-FR"/>
        </w:rPr>
        <w:t>’</w:t>
      </w:r>
      <w:r w:rsidR="00060D40" w:rsidRPr="004B2AF9">
        <w:rPr>
          <w:lang w:val="fr-FR"/>
        </w:rPr>
        <w:t>ordre du jour)</w:t>
      </w:r>
      <w:r>
        <w:tab/>
      </w:r>
      <w:r>
        <w:tab/>
      </w:r>
      <w:r w:rsidR="006652DF">
        <w:t>88−92</w:t>
      </w:r>
      <w:r>
        <w:tab/>
      </w:r>
      <w:r w:rsidR="00060D40">
        <w:t>15</w:t>
      </w:r>
    </w:p>
    <w:p w:rsidR="00F34287" w:rsidRDefault="00F34287" w:rsidP="00F34287">
      <w:pPr>
        <w:tabs>
          <w:tab w:val="right" w:leader="dot" w:pos="7654"/>
          <w:tab w:val="right" w:pos="8929"/>
          <w:tab w:val="right" w:pos="9638"/>
        </w:tabs>
        <w:spacing w:after="120"/>
        <w:ind w:left="1559" w:hanging="425"/>
      </w:pPr>
      <w:r>
        <w:t>A.</w:t>
      </w:r>
      <w:r>
        <w:tab/>
      </w:r>
      <w:r w:rsidR="00060D40" w:rsidRPr="004B2AF9">
        <w:rPr>
          <w:lang w:val="fr-FR"/>
        </w:rPr>
        <w:t>Accords multilatéraux</w:t>
      </w:r>
      <w:r>
        <w:tab/>
      </w:r>
      <w:r>
        <w:tab/>
      </w:r>
      <w:r w:rsidR="006652DF">
        <w:t>88−90</w:t>
      </w:r>
      <w:r>
        <w:tab/>
      </w:r>
      <w:r w:rsidR="00060D40">
        <w:t>15</w:t>
      </w:r>
    </w:p>
    <w:p w:rsidR="00F34287" w:rsidRDefault="00F34287" w:rsidP="00F34287">
      <w:pPr>
        <w:tabs>
          <w:tab w:val="right" w:leader="dot" w:pos="7654"/>
          <w:tab w:val="right" w:pos="8929"/>
          <w:tab w:val="right" w:pos="9638"/>
        </w:tabs>
        <w:spacing w:after="120"/>
        <w:ind w:left="1559" w:hanging="425"/>
      </w:pPr>
      <w:r>
        <w:t>B.</w:t>
      </w:r>
      <w:r>
        <w:tab/>
      </w:r>
      <w:r w:rsidR="00060D40" w:rsidRPr="004B2AF9">
        <w:rPr>
          <w:lang w:val="fr-FR"/>
        </w:rPr>
        <w:t>Projet de feuille de route</w:t>
      </w:r>
      <w:r>
        <w:tab/>
      </w:r>
      <w:r>
        <w:tab/>
      </w:r>
      <w:r w:rsidR="006652DF">
        <w:t>91−92</w:t>
      </w:r>
      <w:r>
        <w:tab/>
      </w:r>
      <w:r w:rsidR="00060D40">
        <w:t>15</w:t>
      </w:r>
    </w:p>
    <w:p w:rsidR="00F34287" w:rsidRDefault="00F34287" w:rsidP="00F34287">
      <w:pPr>
        <w:tabs>
          <w:tab w:val="right" w:pos="850"/>
          <w:tab w:val="right" w:leader="dot" w:pos="7654"/>
          <w:tab w:val="right" w:pos="8929"/>
          <w:tab w:val="right" w:pos="9638"/>
        </w:tabs>
        <w:spacing w:after="120"/>
        <w:ind w:left="1134" w:hanging="1134"/>
      </w:pPr>
      <w:r>
        <w:tab/>
        <w:t>IX.</w:t>
      </w:r>
      <w:r>
        <w:tab/>
      </w:r>
      <w:r w:rsidR="00060D40" w:rsidRPr="004B2AF9">
        <w:rPr>
          <w:lang w:val="fr-FR"/>
        </w:rPr>
        <w:t>Étiquetage énergétique, fluides frigorigènes et agents d</w:t>
      </w:r>
      <w:r w:rsidR="0006343E">
        <w:rPr>
          <w:lang w:val="fr-FR"/>
        </w:rPr>
        <w:t>’</w:t>
      </w:r>
      <w:r w:rsidR="00060D40" w:rsidRPr="004B2AF9">
        <w:rPr>
          <w:lang w:val="fr-FR"/>
        </w:rPr>
        <w:t xml:space="preserve">expansion </w:t>
      </w:r>
      <w:r w:rsidR="00060D40">
        <w:rPr>
          <w:lang w:val="fr-FR"/>
        </w:rPr>
        <w:br/>
      </w:r>
      <w:r w:rsidR="00060D40" w:rsidRPr="004B2AF9">
        <w:rPr>
          <w:lang w:val="fr-FR"/>
        </w:rPr>
        <w:t>(point 8 de l</w:t>
      </w:r>
      <w:r w:rsidR="0006343E">
        <w:rPr>
          <w:lang w:val="fr-FR"/>
        </w:rPr>
        <w:t>’</w:t>
      </w:r>
      <w:r w:rsidR="00060D40" w:rsidRPr="004B2AF9">
        <w:rPr>
          <w:lang w:val="fr-FR"/>
        </w:rPr>
        <w:t>ordre du jour)</w:t>
      </w:r>
      <w:r>
        <w:tab/>
      </w:r>
      <w:r>
        <w:tab/>
      </w:r>
      <w:r w:rsidR="006652DF">
        <w:t>93−94</w:t>
      </w:r>
      <w:r>
        <w:tab/>
      </w:r>
      <w:r w:rsidR="00060D40">
        <w:t>15</w:t>
      </w:r>
    </w:p>
    <w:p w:rsidR="00F34287" w:rsidRDefault="00F34287" w:rsidP="00F34287">
      <w:pPr>
        <w:tabs>
          <w:tab w:val="right" w:pos="850"/>
          <w:tab w:val="right" w:leader="dot" w:pos="7654"/>
          <w:tab w:val="right" w:pos="8929"/>
          <w:tab w:val="right" w:pos="9638"/>
        </w:tabs>
        <w:spacing w:after="120"/>
        <w:ind w:left="1134" w:hanging="1134"/>
      </w:pPr>
      <w:r>
        <w:tab/>
        <w:t>X.</w:t>
      </w:r>
      <w:r>
        <w:tab/>
      </w:r>
      <w:r w:rsidR="00060D40" w:rsidRPr="004B2AF9">
        <w:rPr>
          <w:lang w:val="fr-FR"/>
        </w:rPr>
        <w:t>Programme de travail et évaluation bisannuelle (point 9 de l</w:t>
      </w:r>
      <w:r w:rsidR="0006343E">
        <w:rPr>
          <w:lang w:val="fr-FR"/>
        </w:rPr>
        <w:t>’</w:t>
      </w:r>
      <w:r w:rsidR="00060D40" w:rsidRPr="004B2AF9">
        <w:rPr>
          <w:lang w:val="fr-FR"/>
        </w:rPr>
        <w:t>ordre du jour)</w:t>
      </w:r>
      <w:r>
        <w:tab/>
      </w:r>
      <w:r>
        <w:tab/>
      </w:r>
      <w:r w:rsidR="006652DF">
        <w:t>95−97</w:t>
      </w:r>
      <w:r>
        <w:tab/>
      </w:r>
      <w:r w:rsidR="00060D40">
        <w:t>16</w:t>
      </w:r>
    </w:p>
    <w:p w:rsidR="00F34287" w:rsidRDefault="00F34287" w:rsidP="00F34287">
      <w:pPr>
        <w:tabs>
          <w:tab w:val="right" w:pos="850"/>
          <w:tab w:val="right" w:leader="dot" w:pos="7654"/>
          <w:tab w:val="right" w:pos="8929"/>
          <w:tab w:val="right" w:pos="9638"/>
        </w:tabs>
        <w:spacing w:after="120"/>
        <w:ind w:left="1134" w:hanging="1134"/>
      </w:pPr>
      <w:r>
        <w:tab/>
        <w:t>XI.</w:t>
      </w:r>
      <w:r>
        <w:tab/>
      </w:r>
      <w:r w:rsidR="00060D40" w:rsidRPr="004B2AF9">
        <w:rPr>
          <w:lang w:val="fr-FR"/>
        </w:rPr>
        <w:t>Élection du Bureau (point 10 de l</w:t>
      </w:r>
      <w:r w:rsidR="0006343E">
        <w:rPr>
          <w:lang w:val="fr-FR"/>
        </w:rPr>
        <w:t>’</w:t>
      </w:r>
      <w:r w:rsidR="00060D40" w:rsidRPr="004B2AF9">
        <w:rPr>
          <w:lang w:val="fr-FR"/>
        </w:rPr>
        <w:t>ordre du jour)</w:t>
      </w:r>
      <w:r>
        <w:tab/>
      </w:r>
      <w:r>
        <w:tab/>
      </w:r>
      <w:r w:rsidR="006652DF">
        <w:t>98</w:t>
      </w:r>
      <w:r>
        <w:tab/>
      </w:r>
      <w:r w:rsidR="00060D40">
        <w:t>16</w:t>
      </w:r>
    </w:p>
    <w:p w:rsidR="00F34287" w:rsidRDefault="00F34287" w:rsidP="00F34287">
      <w:pPr>
        <w:tabs>
          <w:tab w:val="right" w:pos="850"/>
          <w:tab w:val="right" w:leader="dot" w:pos="7654"/>
          <w:tab w:val="right" w:pos="8929"/>
          <w:tab w:val="right" w:pos="9638"/>
        </w:tabs>
        <w:spacing w:after="120"/>
        <w:ind w:left="1134" w:hanging="1134"/>
      </w:pPr>
      <w:r>
        <w:tab/>
        <w:t>XII.</w:t>
      </w:r>
      <w:r>
        <w:tab/>
      </w:r>
      <w:r w:rsidR="00060D40" w:rsidRPr="004B2AF9">
        <w:rPr>
          <w:lang w:val="fr-FR"/>
        </w:rPr>
        <w:t>Questions diverses (point 11 de l</w:t>
      </w:r>
      <w:r w:rsidR="0006343E">
        <w:rPr>
          <w:lang w:val="fr-FR"/>
        </w:rPr>
        <w:t>’</w:t>
      </w:r>
      <w:r w:rsidR="00060D40" w:rsidRPr="004B2AF9">
        <w:rPr>
          <w:lang w:val="fr-FR"/>
        </w:rPr>
        <w:t>ordre du jour)</w:t>
      </w:r>
      <w:r>
        <w:tab/>
      </w:r>
      <w:r>
        <w:tab/>
      </w:r>
      <w:r w:rsidR="006652DF">
        <w:t>99−101</w:t>
      </w:r>
      <w:r>
        <w:tab/>
      </w:r>
      <w:r w:rsidR="00060D40">
        <w:t>17</w:t>
      </w:r>
    </w:p>
    <w:p w:rsidR="00F34287" w:rsidRDefault="00F34287" w:rsidP="00F34287">
      <w:pPr>
        <w:tabs>
          <w:tab w:val="right" w:leader="dot" w:pos="7654"/>
          <w:tab w:val="right" w:pos="8929"/>
          <w:tab w:val="right" w:pos="9638"/>
        </w:tabs>
        <w:spacing w:after="120"/>
        <w:ind w:left="1559" w:hanging="425"/>
      </w:pPr>
      <w:r>
        <w:t>A.</w:t>
      </w:r>
      <w:r>
        <w:tab/>
      </w:r>
      <w:r w:rsidR="00060D40" w:rsidRPr="004B2AF9">
        <w:rPr>
          <w:lang w:val="fr-FR"/>
        </w:rPr>
        <w:t>Dates de la soixante-douzième session</w:t>
      </w:r>
      <w:r>
        <w:tab/>
      </w:r>
      <w:r>
        <w:tab/>
      </w:r>
      <w:r w:rsidR="006652DF">
        <w:t>99</w:t>
      </w:r>
      <w:r>
        <w:tab/>
      </w:r>
      <w:r w:rsidR="00060D40">
        <w:t>17</w:t>
      </w:r>
    </w:p>
    <w:p w:rsidR="00F34287" w:rsidRDefault="00F34287" w:rsidP="00F34287">
      <w:pPr>
        <w:tabs>
          <w:tab w:val="right" w:leader="dot" w:pos="7654"/>
          <w:tab w:val="right" w:pos="8929"/>
          <w:tab w:val="right" w:pos="9638"/>
        </w:tabs>
        <w:spacing w:after="120"/>
        <w:ind w:left="1559" w:hanging="425"/>
      </w:pPr>
      <w:r>
        <w:t>B.</w:t>
      </w:r>
      <w:r>
        <w:tab/>
      </w:r>
      <w:r w:rsidR="00060D40" w:rsidRPr="004B2AF9">
        <w:rPr>
          <w:lang w:val="fr-FR"/>
        </w:rPr>
        <w:t>Secrétaire</w:t>
      </w:r>
      <w:r>
        <w:tab/>
      </w:r>
      <w:r>
        <w:tab/>
      </w:r>
      <w:r w:rsidR="006652DF">
        <w:t>100</w:t>
      </w:r>
      <w:r>
        <w:tab/>
      </w:r>
      <w:r w:rsidR="00060D40">
        <w:t>17</w:t>
      </w:r>
    </w:p>
    <w:p w:rsidR="00F34287" w:rsidRDefault="00F34287" w:rsidP="00F34287">
      <w:pPr>
        <w:tabs>
          <w:tab w:val="right" w:leader="dot" w:pos="7654"/>
          <w:tab w:val="right" w:pos="8929"/>
          <w:tab w:val="right" w:pos="9638"/>
        </w:tabs>
        <w:spacing w:after="120"/>
        <w:ind w:left="1559" w:hanging="425"/>
      </w:pPr>
      <w:r>
        <w:t>C.</w:t>
      </w:r>
      <w:r>
        <w:tab/>
      </w:r>
      <w:r w:rsidR="00060D40" w:rsidRPr="004B2AF9">
        <w:rPr>
          <w:lang w:val="fr-FR"/>
        </w:rPr>
        <w:t>Autres questions</w:t>
      </w:r>
      <w:r>
        <w:tab/>
      </w:r>
      <w:r>
        <w:tab/>
      </w:r>
      <w:r w:rsidR="006652DF">
        <w:t>101</w:t>
      </w:r>
      <w:r>
        <w:tab/>
      </w:r>
      <w:r w:rsidR="00060D40">
        <w:t>17</w:t>
      </w:r>
    </w:p>
    <w:p w:rsidR="00F34287" w:rsidRDefault="00F34287" w:rsidP="00F34287">
      <w:pPr>
        <w:tabs>
          <w:tab w:val="right" w:pos="850"/>
          <w:tab w:val="right" w:leader="dot" w:pos="7654"/>
          <w:tab w:val="right" w:pos="8929"/>
          <w:tab w:val="right" w:pos="9638"/>
        </w:tabs>
        <w:spacing w:after="120"/>
        <w:ind w:left="1134" w:hanging="1134"/>
      </w:pPr>
      <w:r>
        <w:tab/>
        <w:t>XIII.</w:t>
      </w:r>
      <w:r>
        <w:tab/>
      </w:r>
      <w:r w:rsidR="00060D40" w:rsidRPr="004B2AF9">
        <w:rPr>
          <w:lang w:val="fr-FR"/>
        </w:rPr>
        <w:t>Adoption du rapport (point 12 de l</w:t>
      </w:r>
      <w:r w:rsidR="0006343E">
        <w:rPr>
          <w:lang w:val="fr-FR"/>
        </w:rPr>
        <w:t>’</w:t>
      </w:r>
      <w:r w:rsidR="00060D40" w:rsidRPr="004B2AF9">
        <w:rPr>
          <w:lang w:val="fr-FR"/>
        </w:rPr>
        <w:t>ordre du jour)</w:t>
      </w:r>
      <w:r>
        <w:tab/>
      </w:r>
      <w:r>
        <w:tab/>
      </w:r>
      <w:r w:rsidR="006652DF">
        <w:t>102</w:t>
      </w:r>
      <w:r>
        <w:tab/>
      </w:r>
      <w:r w:rsidR="00060D40">
        <w:t>17</w:t>
      </w:r>
    </w:p>
    <w:p w:rsidR="00827114" w:rsidRPr="00827114" w:rsidRDefault="00827114" w:rsidP="00827114">
      <w:pPr>
        <w:tabs>
          <w:tab w:val="right" w:pos="850"/>
        </w:tabs>
        <w:spacing w:after="120"/>
      </w:pPr>
      <w:r>
        <w:tab/>
        <w:t>Annexes</w:t>
      </w:r>
    </w:p>
    <w:p w:rsidR="00827114" w:rsidRDefault="00827114" w:rsidP="00827114">
      <w:pPr>
        <w:tabs>
          <w:tab w:val="right" w:pos="850"/>
          <w:tab w:val="right" w:leader="dot" w:pos="8929"/>
          <w:tab w:val="right" w:pos="9638"/>
        </w:tabs>
        <w:spacing w:after="120"/>
        <w:ind w:left="1134" w:hanging="1134"/>
      </w:pPr>
      <w:r>
        <w:tab/>
        <w:t>I.</w:t>
      </w:r>
      <w:r>
        <w:tab/>
      </w:r>
      <w:r w:rsidR="00060D40" w:rsidRPr="004B2AF9">
        <w:rPr>
          <w:lang w:val="fr-FR"/>
        </w:rPr>
        <w:t>Propositions d</w:t>
      </w:r>
      <w:r w:rsidR="0006343E">
        <w:rPr>
          <w:lang w:val="fr-FR"/>
        </w:rPr>
        <w:t>’</w:t>
      </w:r>
      <w:r w:rsidR="00060D40" w:rsidRPr="004B2AF9">
        <w:rPr>
          <w:lang w:val="fr-FR"/>
        </w:rPr>
        <w:t>amendement à l</w:t>
      </w:r>
      <w:r w:rsidR="0006343E">
        <w:rPr>
          <w:lang w:val="fr-FR"/>
        </w:rPr>
        <w:t>’</w:t>
      </w:r>
      <w:r w:rsidR="00060D40" w:rsidRPr="004B2AF9">
        <w:rPr>
          <w:lang w:val="fr-FR"/>
        </w:rPr>
        <w:t>ATP</w:t>
      </w:r>
      <w:r>
        <w:tab/>
      </w:r>
      <w:r>
        <w:tab/>
      </w:r>
      <w:r w:rsidR="00060D40">
        <w:t>18</w:t>
      </w:r>
    </w:p>
    <w:p w:rsidR="00D651C4" w:rsidRDefault="00D651C4" w:rsidP="00D651C4">
      <w:pPr>
        <w:tabs>
          <w:tab w:val="right" w:pos="850"/>
          <w:tab w:val="right" w:leader="dot" w:pos="8929"/>
          <w:tab w:val="right" w:pos="9638"/>
        </w:tabs>
        <w:spacing w:after="120"/>
        <w:ind w:left="1134" w:hanging="1134"/>
      </w:pPr>
      <w:r>
        <w:tab/>
        <w:t>II.</w:t>
      </w:r>
      <w:r>
        <w:tab/>
      </w:r>
      <w:r w:rsidR="00060D40" w:rsidRPr="004B2AF9">
        <w:rPr>
          <w:lang w:val="fr-FR"/>
        </w:rPr>
        <w:t>Rectification de l</w:t>
      </w:r>
      <w:r w:rsidR="0006343E">
        <w:rPr>
          <w:lang w:val="fr-FR"/>
        </w:rPr>
        <w:t>’</w:t>
      </w:r>
      <w:r w:rsidR="00060D40" w:rsidRPr="004B2AF9">
        <w:rPr>
          <w:lang w:val="fr-FR"/>
        </w:rPr>
        <w:t>ATP</w:t>
      </w:r>
      <w:r>
        <w:tab/>
      </w:r>
      <w:r>
        <w:tab/>
      </w:r>
      <w:r w:rsidR="00060D40">
        <w:t>21</w:t>
      </w:r>
    </w:p>
    <w:p w:rsidR="00D651C4" w:rsidRDefault="00D651C4" w:rsidP="00D651C4">
      <w:pPr>
        <w:tabs>
          <w:tab w:val="right" w:pos="850"/>
          <w:tab w:val="right" w:leader="dot" w:pos="8929"/>
          <w:tab w:val="right" w:pos="9638"/>
        </w:tabs>
        <w:spacing w:after="120"/>
        <w:ind w:left="1134" w:hanging="1134"/>
      </w:pPr>
      <w:r>
        <w:tab/>
        <w:t>III.</w:t>
      </w:r>
      <w:r>
        <w:tab/>
      </w:r>
      <w:r w:rsidR="00060D40" w:rsidRPr="004B2AF9">
        <w:rPr>
          <w:lang w:val="fr-FR"/>
        </w:rPr>
        <w:t>Ajouts au Manuel ATP</w:t>
      </w:r>
      <w:r>
        <w:tab/>
      </w:r>
      <w:r>
        <w:tab/>
      </w:r>
      <w:r w:rsidR="00060D40">
        <w:t>22</w:t>
      </w:r>
    </w:p>
    <w:p w:rsidR="00D651C4" w:rsidRDefault="00D651C4" w:rsidP="00D651C4">
      <w:pPr>
        <w:tabs>
          <w:tab w:val="right" w:pos="850"/>
          <w:tab w:val="right" w:leader="dot" w:pos="8929"/>
          <w:tab w:val="right" w:pos="9638"/>
        </w:tabs>
        <w:spacing w:after="120"/>
        <w:ind w:left="1134" w:hanging="1134"/>
      </w:pPr>
      <w:r>
        <w:tab/>
        <w:t>IV.</w:t>
      </w:r>
      <w:r>
        <w:tab/>
      </w:r>
      <w:r w:rsidR="00060D40" w:rsidRPr="004B2AF9">
        <w:rPr>
          <w:lang w:val="fr-FR"/>
        </w:rPr>
        <w:t>Projet de programme de travail pour l</w:t>
      </w:r>
      <w:r w:rsidR="0006343E">
        <w:rPr>
          <w:lang w:val="fr-FR"/>
        </w:rPr>
        <w:t>’</w:t>
      </w:r>
      <w:r w:rsidR="00060D40" w:rsidRPr="004B2AF9">
        <w:rPr>
          <w:lang w:val="fr-FR"/>
        </w:rPr>
        <w:t>exercice biennal 2016-2017</w:t>
      </w:r>
      <w:r>
        <w:tab/>
      </w:r>
      <w:r>
        <w:tab/>
      </w:r>
      <w:r w:rsidR="00060D40">
        <w:t>2</w:t>
      </w:r>
      <w:r w:rsidR="00D54AEC">
        <w:t>3</w:t>
      </w:r>
    </w:p>
    <w:p w:rsidR="00D651C4" w:rsidRDefault="00D651C4" w:rsidP="00D651C4">
      <w:pPr>
        <w:tabs>
          <w:tab w:val="right" w:pos="850"/>
          <w:tab w:val="right" w:leader="dot" w:pos="8929"/>
          <w:tab w:val="right" w:pos="9638"/>
        </w:tabs>
        <w:spacing w:after="120"/>
        <w:ind w:left="1134" w:hanging="1134"/>
      </w:pPr>
      <w:r>
        <w:tab/>
        <w:t>V.</w:t>
      </w:r>
      <w:r>
        <w:tab/>
      </w:r>
      <w:r w:rsidR="00060D40" w:rsidRPr="004B2AF9">
        <w:rPr>
          <w:lang w:val="fr-FR"/>
        </w:rPr>
        <w:t xml:space="preserve">Proposition </w:t>
      </w:r>
      <w:r w:rsidR="00060D40" w:rsidRPr="00E6008C">
        <w:t>d</w:t>
      </w:r>
      <w:r w:rsidR="0006343E">
        <w:t>’</w:t>
      </w:r>
      <w:r w:rsidR="00060D40" w:rsidRPr="00E6008C">
        <w:t>évaluation</w:t>
      </w:r>
      <w:r w:rsidR="00060D40" w:rsidRPr="004B2AF9">
        <w:rPr>
          <w:lang w:val="fr-FR"/>
        </w:rPr>
        <w:t xml:space="preserve"> pour l</w:t>
      </w:r>
      <w:r w:rsidR="0006343E">
        <w:rPr>
          <w:lang w:val="fr-FR"/>
        </w:rPr>
        <w:t>’</w:t>
      </w:r>
      <w:r w:rsidR="00060D40" w:rsidRPr="004B2AF9">
        <w:rPr>
          <w:lang w:val="fr-FR"/>
        </w:rPr>
        <w:t>exercice biennal 2016-2017</w:t>
      </w:r>
      <w:r>
        <w:tab/>
      </w:r>
      <w:r>
        <w:tab/>
      </w:r>
      <w:r w:rsidR="00060D40">
        <w:t>25</w:t>
      </w:r>
    </w:p>
    <w:p w:rsidR="00D651C4" w:rsidRDefault="00D651C4" w:rsidP="00D651C4">
      <w:pPr>
        <w:tabs>
          <w:tab w:val="right" w:pos="850"/>
          <w:tab w:val="right" w:leader="dot" w:pos="8929"/>
          <w:tab w:val="right" w:pos="9638"/>
        </w:tabs>
        <w:spacing w:after="120"/>
        <w:ind w:left="1134" w:hanging="1134"/>
      </w:pPr>
      <w:r>
        <w:tab/>
        <w:t>VI.</w:t>
      </w:r>
      <w:r>
        <w:tab/>
      </w:r>
      <w:r w:rsidR="00060D40" w:rsidRPr="004B2AF9">
        <w:rPr>
          <w:lang w:val="fr-FR"/>
        </w:rPr>
        <w:t>Projet de plan de travail pour 2016-2020</w:t>
      </w:r>
      <w:r>
        <w:tab/>
      </w:r>
      <w:r>
        <w:tab/>
      </w:r>
      <w:r w:rsidR="00060D40">
        <w:t>26</w:t>
      </w:r>
    </w:p>
    <w:p w:rsidR="00D651C4" w:rsidRPr="004B2AF9" w:rsidRDefault="00D651C4" w:rsidP="00D651C4">
      <w:pPr>
        <w:pStyle w:val="HChG"/>
        <w:rPr>
          <w:bCs/>
          <w:szCs w:val="24"/>
          <w:lang w:val="fr-FR"/>
        </w:rPr>
      </w:pPr>
      <w:r>
        <w:br w:type="page"/>
      </w:r>
      <w:r w:rsidRPr="004B2AF9">
        <w:rPr>
          <w:szCs w:val="24"/>
          <w:lang w:val="fr-FR"/>
        </w:rPr>
        <w:tab/>
      </w:r>
      <w:bookmarkStart w:id="2" w:name="_Toc401568633"/>
      <w:bookmarkStart w:id="3" w:name="_Toc432670159"/>
      <w:r w:rsidRPr="004B2AF9">
        <w:rPr>
          <w:szCs w:val="24"/>
          <w:lang w:val="fr-FR"/>
        </w:rPr>
        <w:t>I.</w:t>
      </w:r>
      <w:r w:rsidRPr="004B2AF9">
        <w:rPr>
          <w:szCs w:val="24"/>
          <w:lang w:val="fr-FR"/>
        </w:rPr>
        <w:tab/>
      </w:r>
      <w:bookmarkEnd w:id="2"/>
      <w:bookmarkEnd w:id="3"/>
      <w:r w:rsidRPr="004B2AF9">
        <w:rPr>
          <w:lang w:val="fr-FR"/>
        </w:rPr>
        <w:t>Participation</w:t>
      </w:r>
    </w:p>
    <w:p w:rsidR="00D651C4" w:rsidRPr="000E4E5A" w:rsidRDefault="00D651C4" w:rsidP="000E4E5A">
      <w:pPr>
        <w:pStyle w:val="ListParagraph"/>
        <w:numPr>
          <w:ilvl w:val="0"/>
          <w:numId w:val="25"/>
        </w:numPr>
        <w:spacing w:after="120"/>
        <w:ind w:left="1134" w:right="1134" w:firstLine="0"/>
        <w:jc w:val="both"/>
        <w:rPr>
          <w:szCs w:val="24"/>
          <w:lang w:val="fr-FR"/>
        </w:rPr>
      </w:pPr>
      <w:r w:rsidRPr="000E4E5A">
        <w:rPr>
          <w:lang w:val="fr-FR"/>
        </w:rPr>
        <w:t>Le Groupe de travail du transport des denrées périssables (WP.11) a tenu sa soixante et onzième session du 6 au 9</w:t>
      </w:r>
      <w:r w:rsidR="000E4E5A">
        <w:rPr>
          <w:lang w:val="fr-FR"/>
        </w:rPr>
        <w:t> </w:t>
      </w:r>
      <w:r w:rsidRPr="000E4E5A">
        <w:rPr>
          <w:lang w:val="fr-FR"/>
        </w:rPr>
        <w:t>octobre</w:t>
      </w:r>
      <w:r w:rsidR="000E4E5A">
        <w:rPr>
          <w:lang w:val="fr-FR"/>
        </w:rPr>
        <w:t xml:space="preserve"> 2015, sous la présidence de M. </w:t>
      </w:r>
      <w:r w:rsidRPr="000E4E5A">
        <w:rPr>
          <w:lang w:val="fr-FR"/>
        </w:rPr>
        <w:t>T.</w:t>
      </w:r>
      <w:r w:rsidR="000E4E5A">
        <w:rPr>
          <w:lang w:val="fr-FR"/>
        </w:rPr>
        <w:t> </w:t>
      </w:r>
      <w:r w:rsidRPr="000E4E5A">
        <w:rPr>
          <w:lang w:val="fr-FR"/>
        </w:rPr>
        <w:t>Nobre (Portugal) et la vice-présidence de MM.</w:t>
      </w:r>
      <w:r w:rsidR="000E4E5A">
        <w:rPr>
          <w:lang w:val="fr-FR"/>
        </w:rPr>
        <w:t> </w:t>
      </w:r>
      <w:r w:rsidRPr="000E4E5A">
        <w:rPr>
          <w:lang w:val="fr-FR"/>
        </w:rPr>
        <w:t>E.</w:t>
      </w:r>
      <w:r w:rsidR="000E4E5A">
        <w:rPr>
          <w:lang w:val="fr-FR"/>
        </w:rPr>
        <w:t> Devin (France) et K. </w:t>
      </w:r>
      <w:r w:rsidRPr="000E4E5A">
        <w:rPr>
          <w:lang w:val="fr-FR"/>
        </w:rPr>
        <w:t>de Putter (Pays-Bas).</w:t>
      </w:r>
    </w:p>
    <w:p w:rsidR="00D651C4" w:rsidRPr="004B2AF9" w:rsidRDefault="00D651C4" w:rsidP="000E4E5A">
      <w:pPr>
        <w:pStyle w:val="SingleTxtG"/>
        <w:numPr>
          <w:ilvl w:val="0"/>
          <w:numId w:val="25"/>
        </w:numPr>
        <w:ind w:left="1134" w:firstLine="0"/>
        <w:rPr>
          <w:lang w:val="fr-FR"/>
        </w:rPr>
      </w:pPr>
      <w:r w:rsidRPr="004B2AF9">
        <w:rPr>
          <w:lang w:val="fr-FR"/>
        </w:rPr>
        <w:t>Ont participé à la session des représentants des pays suivants : Allemagne, Belgique, Croatie, Danemark, Espagne, États-Unis d</w:t>
      </w:r>
      <w:r w:rsidR="0006343E">
        <w:rPr>
          <w:lang w:val="fr-FR"/>
        </w:rPr>
        <w:t>’</w:t>
      </w:r>
      <w:r w:rsidRPr="004B2AF9">
        <w:rPr>
          <w:lang w:val="fr-FR"/>
        </w:rPr>
        <w:t>Amérique, Fédération de Russie, Finlande, France, Irlande, Italie, Lettonie, Luxembourg, Maroc, Pays-Bas, Pologne, Portugal, Royaume-Uni de Grande-Bretagne et d</w:t>
      </w:r>
      <w:r w:rsidR="0006343E">
        <w:rPr>
          <w:lang w:val="fr-FR"/>
        </w:rPr>
        <w:t>’</w:t>
      </w:r>
      <w:r w:rsidRPr="004B2AF9">
        <w:rPr>
          <w:lang w:val="fr-FR"/>
        </w:rPr>
        <w:t>Irlande du Nord, Serbie, Suède et Turquie. Étaient représentées une organisation intergouvernementale, à savoir l</w:t>
      </w:r>
      <w:r w:rsidR="0006343E">
        <w:rPr>
          <w:lang w:val="fr-FR"/>
        </w:rPr>
        <w:t>’</w:t>
      </w:r>
      <w:r w:rsidRPr="004B2AF9">
        <w:rPr>
          <w:lang w:val="fr-FR"/>
        </w:rPr>
        <w:t>Institut international du froid (IIF), et deux organisations non gouvernementales, à savoir le Comité de liaison de la construction de carrosseries et de remorques (CLCCR) et Transfrigoroute International (TI).</w:t>
      </w:r>
    </w:p>
    <w:p w:rsidR="00D651C4" w:rsidRPr="004B2AF9" w:rsidRDefault="00D651C4" w:rsidP="000E4E5A">
      <w:pPr>
        <w:pStyle w:val="HChG"/>
        <w:rPr>
          <w:caps/>
          <w:lang w:val="fr-FR"/>
        </w:rPr>
      </w:pPr>
      <w:r w:rsidRPr="004B2AF9">
        <w:rPr>
          <w:lang w:val="fr-FR"/>
        </w:rPr>
        <w:tab/>
      </w:r>
      <w:bookmarkStart w:id="4" w:name="_Toc401568230"/>
      <w:bookmarkStart w:id="5" w:name="_Toc401568635"/>
      <w:bookmarkStart w:id="6" w:name="_Toc432670160"/>
      <w:r w:rsidRPr="004B2AF9">
        <w:rPr>
          <w:lang w:val="fr-FR"/>
        </w:rPr>
        <w:t>II.</w:t>
      </w:r>
      <w:r w:rsidRPr="004B2AF9">
        <w:rPr>
          <w:lang w:val="fr-FR"/>
        </w:rPr>
        <w:tab/>
      </w:r>
      <w:r w:rsidRPr="000E4E5A">
        <w:t>Adoption</w:t>
      </w:r>
      <w:r w:rsidRPr="004B2AF9">
        <w:rPr>
          <w:lang w:val="fr-FR"/>
        </w:rPr>
        <w:t xml:space="preserve"> de l</w:t>
      </w:r>
      <w:r w:rsidR="0006343E">
        <w:rPr>
          <w:lang w:val="fr-FR"/>
        </w:rPr>
        <w:t>’</w:t>
      </w:r>
      <w:r w:rsidRPr="004B2AF9">
        <w:rPr>
          <w:lang w:val="fr-FR"/>
        </w:rPr>
        <w:t>ordre du jour (point 1 de l</w:t>
      </w:r>
      <w:r w:rsidR="0006343E">
        <w:rPr>
          <w:lang w:val="fr-FR"/>
        </w:rPr>
        <w:t>’</w:t>
      </w:r>
      <w:r w:rsidRPr="004B2AF9">
        <w:rPr>
          <w:lang w:val="fr-FR"/>
        </w:rPr>
        <w:t>ordre du jour)</w:t>
      </w:r>
      <w:bookmarkEnd w:id="4"/>
      <w:bookmarkEnd w:id="5"/>
      <w:bookmarkEnd w:id="6"/>
    </w:p>
    <w:p w:rsidR="00D651C4" w:rsidRPr="004B2AF9" w:rsidRDefault="00D651C4" w:rsidP="00EA1151">
      <w:pPr>
        <w:spacing w:after="120"/>
        <w:ind w:left="2268" w:right="1134" w:hanging="1134"/>
        <w:rPr>
          <w:lang w:val="fr-FR"/>
        </w:rPr>
      </w:pPr>
      <w:r w:rsidRPr="004B2AF9">
        <w:rPr>
          <w:i/>
          <w:lang w:val="fr-FR"/>
        </w:rPr>
        <w:t>Documents</w:t>
      </w:r>
      <w:r>
        <w:rPr>
          <w:i/>
          <w:lang w:val="fr-FR"/>
        </w:rPr>
        <w:t> </w:t>
      </w:r>
      <w:r w:rsidRPr="000E4E5A">
        <w:rPr>
          <w:lang w:val="fr-FR"/>
        </w:rPr>
        <w:t>:</w:t>
      </w:r>
      <w:r w:rsidRPr="004B2AF9">
        <w:rPr>
          <w:lang w:val="fr-FR"/>
        </w:rPr>
        <w:tab/>
        <w:t>ECE/TRANS/WP.11/232</w:t>
      </w:r>
      <w:r w:rsidR="000E4E5A">
        <w:rPr>
          <w:lang w:val="fr-FR"/>
        </w:rPr>
        <w:t>,</w:t>
      </w:r>
      <w:r w:rsidR="005F0B13">
        <w:rPr>
          <w:lang w:val="fr-FR"/>
        </w:rPr>
        <w:t xml:space="preserve"> </w:t>
      </w:r>
      <w:r w:rsidRPr="004B2AF9">
        <w:rPr>
          <w:lang w:val="fr-FR"/>
        </w:rPr>
        <w:t>ECE/TRANS/WP.11/232/Add.1/Rev.1</w:t>
      </w:r>
      <w:r w:rsidR="00436EC3">
        <w:rPr>
          <w:lang w:val="fr-FR"/>
        </w:rPr>
        <w:t xml:space="preserve"> </w:t>
      </w:r>
      <w:r w:rsidR="00EA1151">
        <w:rPr>
          <w:lang w:val="fr-FR"/>
        </w:rPr>
        <w:br/>
      </w:r>
      <w:r w:rsidRPr="00EA1151">
        <w:rPr>
          <w:lang w:val="fr-FR"/>
        </w:rPr>
        <w:t>Document informel</w:t>
      </w:r>
      <w:r w:rsidR="00EA1151">
        <w:rPr>
          <w:lang w:val="fr-FR"/>
        </w:rPr>
        <w:t xml:space="preserve"> </w:t>
      </w:r>
      <w:r w:rsidRPr="004B2AF9">
        <w:rPr>
          <w:lang w:val="fr-FR"/>
        </w:rPr>
        <w:t>INF.1 (</w:t>
      </w:r>
      <w:r w:rsidR="003F488F">
        <w:rPr>
          <w:lang w:val="fr-FR"/>
        </w:rPr>
        <w:t>s</w:t>
      </w:r>
      <w:r w:rsidRPr="004B2AF9">
        <w:rPr>
          <w:lang w:val="fr-FR"/>
        </w:rPr>
        <w:t>ecrétariat)</w:t>
      </w:r>
      <w:r w:rsidR="000E4E5A">
        <w:rPr>
          <w:lang w:val="fr-FR"/>
        </w:rPr>
        <w:t>.</w:t>
      </w:r>
    </w:p>
    <w:p w:rsidR="00D651C4" w:rsidRPr="004B2AF9" w:rsidRDefault="00D651C4" w:rsidP="000E4E5A">
      <w:pPr>
        <w:pStyle w:val="ListParagraph"/>
        <w:numPr>
          <w:ilvl w:val="0"/>
          <w:numId w:val="25"/>
        </w:numPr>
        <w:spacing w:after="120"/>
        <w:ind w:left="1134" w:right="1134" w:firstLine="0"/>
        <w:jc w:val="both"/>
        <w:rPr>
          <w:lang w:val="fr-FR"/>
        </w:rPr>
      </w:pPr>
      <w:r w:rsidRPr="004B2AF9">
        <w:rPr>
          <w:lang w:val="fr-FR"/>
        </w:rPr>
        <w:t>L</w:t>
      </w:r>
      <w:r w:rsidR="0006343E">
        <w:rPr>
          <w:lang w:val="fr-FR"/>
        </w:rPr>
        <w:t>’</w:t>
      </w:r>
      <w:r w:rsidRPr="004B2AF9">
        <w:rPr>
          <w:lang w:val="fr-FR"/>
        </w:rPr>
        <w:t>ordre du jour provisoire (ECE/TRANS/WP.11/232 et Add.1/Rev.1) a été adopté tel que modifié par le document INF.1 afin de tenir compte des documents INF.1 à</w:t>
      </w:r>
      <w:r w:rsidR="000E4E5A">
        <w:rPr>
          <w:lang w:val="fr-FR"/>
        </w:rPr>
        <w:t xml:space="preserve"> </w:t>
      </w:r>
      <w:r w:rsidRPr="004B2AF9">
        <w:rPr>
          <w:lang w:val="fr-FR"/>
        </w:rPr>
        <w:t>18.</w:t>
      </w:r>
    </w:p>
    <w:p w:rsidR="00D651C4" w:rsidRPr="004B2AF9" w:rsidRDefault="00D651C4" w:rsidP="00D651C4">
      <w:pPr>
        <w:pStyle w:val="HChG"/>
        <w:rPr>
          <w:caps/>
          <w:lang w:val="fr-FR"/>
        </w:rPr>
      </w:pPr>
      <w:r w:rsidRPr="004B2AF9">
        <w:rPr>
          <w:lang w:val="fr-FR"/>
        </w:rPr>
        <w:tab/>
      </w:r>
      <w:bookmarkStart w:id="7" w:name="_Toc401568231"/>
      <w:bookmarkStart w:id="8" w:name="_Toc401568636"/>
      <w:bookmarkStart w:id="9" w:name="_Toc432670161"/>
      <w:r w:rsidRPr="004B2AF9">
        <w:rPr>
          <w:lang w:val="fr-FR"/>
        </w:rPr>
        <w:t>III.</w:t>
      </w:r>
      <w:r w:rsidRPr="004B2AF9">
        <w:rPr>
          <w:lang w:val="fr-FR"/>
        </w:rPr>
        <w:tab/>
        <w:t xml:space="preserve">Activités des organes de la CEE intéressant </w:t>
      </w:r>
      <w:r>
        <w:rPr>
          <w:lang w:val="fr-FR"/>
        </w:rPr>
        <w:br/>
      </w:r>
      <w:r w:rsidRPr="004B2AF9">
        <w:rPr>
          <w:lang w:val="fr-FR"/>
        </w:rPr>
        <w:t>le Groupe de</w:t>
      </w:r>
      <w:r w:rsidR="00F8558C">
        <w:rPr>
          <w:lang w:val="fr-FR"/>
        </w:rPr>
        <w:t xml:space="preserve"> </w:t>
      </w:r>
      <w:r w:rsidRPr="004B2AF9">
        <w:rPr>
          <w:lang w:val="fr-FR"/>
        </w:rPr>
        <w:t>travail (point 2 de l</w:t>
      </w:r>
      <w:r w:rsidR="0006343E">
        <w:rPr>
          <w:lang w:val="fr-FR"/>
        </w:rPr>
        <w:t>’</w:t>
      </w:r>
      <w:r w:rsidRPr="004B2AF9">
        <w:rPr>
          <w:lang w:val="fr-FR"/>
        </w:rPr>
        <w:t>ordre du jour)</w:t>
      </w:r>
      <w:bookmarkEnd w:id="7"/>
      <w:bookmarkEnd w:id="8"/>
      <w:bookmarkEnd w:id="9"/>
    </w:p>
    <w:p w:rsidR="00D651C4" w:rsidRPr="004B2AF9" w:rsidRDefault="00D651C4" w:rsidP="00D651C4">
      <w:pPr>
        <w:pStyle w:val="H1G"/>
        <w:rPr>
          <w:lang w:val="fr-FR"/>
        </w:rPr>
      </w:pPr>
      <w:r w:rsidRPr="004B2AF9">
        <w:rPr>
          <w:lang w:val="fr-FR"/>
        </w:rPr>
        <w:tab/>
      </w:r>
      <w:bookmarkStart w:id="10" w:name="_Toc401568232"/>
      <w:bookmarkStart w:id="11" w:name="_Toc401568637"/>
      <w:bookmarkStart w:id="12" w:name="_Toc432670162"/>
      <w:r w:rsidRPr="004B2AF9">
        <w:rPr>
          <w:lang w:val="fr-FR"/>
        </w:rPr>
        <w:t>A.</w:t>
      </w:r>
      <w:r w:rsidRPr="004B2AF9">
        <w:rPr>
          <w:lang w:val="fr-FR"/>
        </w:rPr>
        <w:tab/>
        <w:t>Comité des transports intérieurs (CTI)</w:t>
      </w:r>
      <w:bookmarkEnd w:id="10"/>
      <w:bookmarkEnd w:id="11"/>
      <w:bookmarkEnd w:id="12"/>
    </w:p>
    <w:p w:rsidR="00D651C4" w:rsidRPr="004B2AF9" w:rsidRDefault="00D651C4" w:rsidP="00EA1151">
      <w:pPr>
        <w:spacing w:after="120"/>
        <w:ind w:left="2268" w:right="1134" w:hanging="1134"/>
        <w:rPr>
          <w:lang w:val="fr-FR"/>
        </w:rPr>
      </w:pPr>
      <w:r w:rsidRPr="004B2AF9">
        <w:rPr>
          <w:i/>
          <w:lang w:val="fr-FR"/>
        </w:rPr>
        <w:t>Documents</w:t>
      </w:r>
      <w:r w:rsidR="000E4E5A">
        <w:rPr>
          <w:i/>
          <w:lang w:val="fr-FR"/>
        </w:rPr>
        <w:t> </w:t>
      </w:r>
      <w:r w:rsidRPr="004B2AF9">
        <w:rPr>
          <w:lang w:val="fr-FR"/>
        </w:rPr>
        <w:t>:</w:t>
      </w:r>
      <w:r w:rsidRPr="004B2AF9">
        <w:rPr>
          <w:lang w:val="fr-FR"/>
        </w:rPr>
        <w:tab/>
      </w:r>
      <w:r w:rsidRPr="004B2AF9">
        <w:rPr>
          <w:lang w:val="fr-FR"/>
        </w:rPr>
        <w:tab/>
        <w:t>ECE/TRANS/248</w:t>
      </w:r>
      <w:r w:rsidR="000E4E5A">
        <w:rPr>
          <w:lang w:val="fr-FR"/>
        </w:rPr>
        <w:t xml:space="preserve">, </w:t>
      </w:r>
      <w:r w:rsidRPr="004B2AF9">
        <w:rPr>
          <w:lang w:val="fr-FR"/>
        </w:rPr>
        <w:t xml:space="preserve">ECE/TRANS/WP.11/2015/10 (Belgique, au nom </w:t>
      </w:r>
      <w:r w:rsidR="00EA1151">
        <w:rPr>
          <w:lang w:val="fr-FR"/>
        </w:rPr>
        <w:br/>
      </w:r>
      <w:r w:rsidRPr="004B2AF9">
        <w:rPr>
          <w:lang w:val="fr-FR"/>
        </w:rPr>
        <w:t>du groupe de</w:t>
      </w:r>
      <w:r w:rsidR="000E4E5A">
        <w:rPr>
          <w:lang w:val="fr-FR"/>
        </w:rPr>
        <w:t xml:space="preserve"> </w:t>
      </w:r>
      <w:r w:rsidRPr="004B2AF9">
        <w:rPr>
          <w:lang w:val="fr-FR"/>
        </w:rPr>
        <w:t>travail informel sur les procédures de prise de décision</w:t>
      </w:r>
      <w:r w:rsidR="00EA1151">
        <w:rPr>
          <w:lang w:val="fr-FR"/>
        </w:rPr>
        <w:t xml:space="preserve">s </w:t>
      </w:r>
      <w:r w:rsidR="00EA1151">
        <w:rPr>
          <w:lang w:val="fr-FR"/>
        </w:rPr>
        <w:br/>
      </w:r>
      <w:r w:rsidRPr="004B2AF9">
        <w:rPr>
          <w:lang w:val="fr-FR"/>
        </w:rPr>
        <w:t>et</w:t>
      </w:r>
      <w:r w:rsidR="000E4E5A">
        <w:rPr>
          <w:lang w:val="fr-FR"/>
        </w:rPr>
        <w:t xml:space="preserve"> </w:t>
      </w:r>
      <w:r w:rsidRPr="004B2AF9">
        <w:rPr>
          <w:lang w:val="fr-FR"/>
        </w:rPr>
        <w:t>de</w:t>
      </w:r>
      <w:r w:rsidR="000E4E5A">
        <w:rPr>
          <w:lang w:val="fr-FR"/>
        </w:rPr>
        <w:t xml:space="preserve"> </w:t>
      </w:r>
      <w:r w:rsidRPr="004B2AF9">
        <w:rPr>
          <w:lang w:val="fr-FR"/>
        </w:rPr>
        <w:t>vote)</w:t>
      </w:r>
      <w:r w:rsidR="000E4E5A">
        <w:rPr>
          <w:lang w:val="fr-FR"/>
        </w:rPr>
        <w:t>.</w:t>
      </w:r>
    </w:p>
    <w:p w:rsidR="00D651C4" w:rsidRPr="004B2AF9" w:rsidRDefault="00D651C4" w:rsidP="000E4E5A">
      <w:pPr>
        <w:pStyle w:val="SingleTxtG"/>
        <w:numPr>
          <w:ilvl w:val="0"/>
          <w:numId w:val="25"/>
        </w:numPr>
        <w:ind w:left="1134" w:firstLine="0"/>
        <w:rPr>
          <w:lang w:val="fr-FR"/>
        </w:rPr>
      </w:pPr>
      <w:r w:rsidRPr="004B2AF9">
        <w:rPr>
          <w:lang w:val="fr-FR"/>
        </w:rPr>
        <w:t>Le Groupe de travail a pris note des résultats de la soixante-dix-septième session du CTI (tenue à Genève du 24 au 26</w:t>
      </w:r>
      <w:r w:rsidR="000E4E5A">
        <w:rPr>
          <w:lang w:val="fr-FR"/>
        </w:rPr>
        <w:t> </w:t>
      </w:r>
      <w:r w:rsidRPr="004B2AF9">
        <w:rPr>
          <w:lang w:val="fr-FR"/>
        </w:rPr>
        <w:t>février 2015)</w:t>
      </w:r>
      <w:r w:rsidRPr="00425F34">
        <w:rPr>
          <w:lang w:val="fr-FR"/>
        </w:rPr>
        <w:t xml:space="preserve"> </w:t>
      </w:r>
      <w:r w:rsidRPr="004B2AF9">
        <w:rPr>
          <w:lang w:val="fr-FR"/>
        </w:rPr>
        <w:t xml:space="preserve">concernant ses travaux, résultats </w:t>
      </w:r>
      <w:r>
        <w:rPr>
          <w:lang w:val="fr-FR"/>
        </w:rPr>
        <w:t xml:space="preserve">qui sont </w:t>
      </w:r>
      <w:r w:rsidRPr="004B2AF9">
        <w:rPr>
          <w:lang w:val="fr-FR"/>
        </w:rPr>
        <w:t>présentés aux paragraphes</w:t>
      </w:r>
      <w:r w:rsidR="000E4E5A">
        <w:rPr>
          <w:lang w:val="fr-FR"/>
        </w:rPr>
        <w:t> </w:t>
      </w:r>
      <w:r w:rsidRPr="004B2AF9">
        <w:rPr>
          <w:lang w:val="fr-FR"/>
        </w:rPr>
        <w:t>118 à 126 du document ECE/TRANS/248.</w:t>
      </w:r>
    </w:p>
    <w:p w:rsidR="00D651C4" w:rsidRPr="004B2AF9" w:rsidRDefault="00D651C4" w:rsidP="000E4E5A">
      <w:pPr>
        <w:pStyle w:val="SingleTxtG"/>
        <w:numPr>
          <w:ilvl w:val="0"/>
          <w:numId w:val="25"/>
        </w:numPr>
        <w:ind w:left="1134" w:firstLine="0"/>
        <w:rPr>
          <w:lang w:val="fr-FR"/>
        </w:rPr>
      </w:pPr>
      <w:r w:rsidRPr="004B2AF9">
        <w:rPr>
          <w:lang w:val="fr-FR"/>
        </w:rPr>
        <w:t>Le Groupe de travail a ensuite examiné la proposition relative aux procédures de prise de décision</w:t>
      </w:r>
      <w:r w:rsidR="0006343E">
        <w:rPr>
          <w:lang w:val="fr-FR"/>
        </w:rPr>
        <w:t>s</w:t>
      </w:r>
      <w:r w:rsidRPr="004B2AF9">
        <w:rPr>
          <w:lang w:val="fr-FR"/>
        </w:rPr>
        <w:t xml:space="preserve"> et de vote figurant dans le document ECE/TRANS/WP.11/2015/10, dans la section A duquel figure une proposition visant </w:t>
      </w:r>
      <w:r>
        <w:rPr>
          <w:lang w:val="fr-FR"/>
        </w:rPr>
        <w:t>au</w:t>
      </w:r>
      <w:r w:rsidRPr="004B2AF9">
        <w:rPr>
          <w:lang w:val="fr-FR"/>
        </w:rPr>
        <w:t xml:space="preserve"> réexam</w:t>
      </w:r>
      <w:r>
        <w:rPr>
          <w:lang w:val="fr-FR"/>
        </w:rPr>
        <w:t>en de</w:t>
      </w:r>
      <w:r w:rsidRPr="004B2AF9">
        <w:rPr>
          <w:lang w:val="fr-FR"/>
        </w:rPr>
        <w:t xml:space="preserve"> la procédure de prise de décision</w:t>
      </w:r>
      <w:r w:rsidR="0006343E">
        <w:rPr>
          <w:lang w:val="fr-FR"/>
        </w:rPr>
        <w:t>s</w:t>
      </w:r>
      <w:r w:rsidRPr="004B2AF9">
        <w:rPr>
          <w:lang w:val="fr-FR"/>
        </w:rPr>
        <w:t xml:space="preserve"> en ce qui concerne le texte de l</w:t>
      </w:r>
      <w:r w:rsidR="0006343E">
        <w:rPr>
          <w:lang w:val="fr-FR"/>
        </w:rPr>
        <w:t>’</w:t>
      </w:r>
      <w:r w:rsidRPr="004B2AF9">
        <w:rPr>
          <w:lang w:val="fr-FR"/>
        </w:rPr>
        <w:t>ATP ; dans la section B, une proposition visant à optimiser l</w:t>
      </w:r>
      <w:r w:rsidR="0006343E">
        <w:rPr>
          <w:lang w:val="fr-FR"/>
        </w:rPr>
        <w:t>’</w:t>
      </w:r>
      <w:r w:rsidRPr="004B2AF9">
        <w:rPr>
          <w:lang w:val="fr-FR"/>
        </w:rPr>
        <w:t>application du règlement intérieur du WP.11 et son interprétation ; et, dans la section C, une proposition de révision des directives concernant l</w:t>
      </w:r>
      <w:r w:rsidR="0006343E">
        <w:rPr>
          <w:lang w:val="fr-FR"/>
        </w:rPr>
        <w:t>’</w:t>
      </w:r>
      <w:r w:rsidRPr="004B2AF9">
        <w:rPr>
          <w:lang w:val="fr-FR"/>
        </w:rPr>
        <w:t>établissement de documents et leur soumission au Groupe de travail.</w:t>
      </w:r>
    </w:p>
    <w:p w:rsidR="00D651C4" w:rsidRPr="004B2AF9" w:rsidRDefault="00D651C4" w:rsidP="000E4E5A">
      <w:pPr>
        <w:pStyle w:val="SingleTxtG"/>
        <w:numPr>
          <w:ilvl w:val="0"/>
          <w:numId w:val="25"/>
        </w:numPr>
        <w:ind w:left="1134" w:firstLine="0"/>
        <w:rPr>
          <w:lang w:val="fr-FR"/>
        </w:rPr>
      </w:pPr>
      <w:r w:rsidRPr="004B2AF9">
        <w:rPr>
          <w:lang w:val="fr-FR"/>
        </w:rPr>
        <w:t>Plusieurs pays ont appuyé les différentes propositions, mais les propositions figurant dans les sections A (qui sont traitées aux paragraphes 56 et</w:t>
      </w:r>
      <w:r w:rsidR="000E4E5A">
        <w:rPr>
          <w:lang w:val="fr-FR"/>
        </w:rPr>
        <w:t xml:space="preserve"> </w:t>
      </w:r>
      <w:r w:rsidRPr="004B2AF9">
        <w:rPr>
          <w:lang w:val="fr-FR"/>
        </w:rPr>
        <w:t>57 du présent rapport) et B n</w:t>
      </w:r>
      <w:r w:rsidR="0006343E">
        <w:rPr>
          <w:lang w:val="fr-FR"/>
        </w:rPr>
        <w:t>’</w:t>
      </w:r>
      <w:r w:rsidRPr="004B2AF9">
        <w:rPr>
          <w:lang w:val="fr-FR"/>
        </w:rPr>
        <w:t>ont pu être acceptées dans leurs versions</w:t>
      </w:r>
      <w:r>
        <w:rPr>
          <w:lang w:val="fr-FR"/>
        </w:rPr>
        <w:t xml:space="preserve"> telles que</w:t>
      </w:r>
      <w:r w:rsidRPr="004B2AF9">
        <w:rPr>
          <w:lang w:val="fr-FR"/>
        </w:rPr>
        <w:t xml:space="preserve"> présent</w:t>
      </w:r>
      <w:r>
        <w:rPr>
          <w:lang w:val="fr-FR"/>
        </w:rPr>
        <w:t>é</w:t>
      </w:r>
      <w:r w:rsidRPr="004B2AF9">
        <w:rPr>
          <w:lang w:val="fr-FR"/>
        </w:rPr>
        <w:t>es. La Fédération de Russie s</w:t>
      </w:r>
      <w:r w:rsidR="0006343E">
        <w:rPr>
          <w:lang w:val="fr-FR"/>
        </w:rPr>
        <w:t>’</w:t>
      </w:r>
      <w:r w:rsidRPr="004B2AF9">
        <w:rPr>
          <w:lang w:val="fr-FR"/>
        </w:rPr>
        <w:t xml:space="preserve">est déclarée favorable au système </w:t>
      </w:r>
      <w:r>
        <w:rPr>
          <w:lang w:val="fr-FR"/>
        </w:rPr>
        <w:t>en vigueur,</w:t>
      </w:r>
      <w:r w:rsidRPr="004B2AF9">
        <w:rPr>
          <w:lang w:val="fr-FR"/>
        </w:rPr>
        <w:t xml:space="preserve"> consistant à mettre aux voix chaque proposition, qui avait selon elle le mérite d</w:t>
      </w:r>
      <w:r w:rsidR="0006343E">
        <w:rPr>
          <w:lang w:val="fr-FR"/>
        </w:rPr>
        <w:t>’</w:t>
      </w:r>
      <w:r w:rsidRPr="004B2AF9">
        <w:rPr>
          <w:lang w:val="fr-FR"/>
        </w:rPr>
        <w:t>obliger les pays à faire clairement connaître leurs positions.</w:t>
      </w:r>
    </w:p>
    <w:p w:rsidR="00D651C4" w:rsidRPr="004B2AF9" w:rsidRDefault="00D651C4" w:rsidP="00F8558C">
      <w:pPr>
        <w:pStyle w:val="SingleTxtG"/>
        <w:numPr>
          <w:ilvl w:val="0"/>
          <w:numId w:val="25"/>
        </w:numPr>
        <w:ind w:left="1134" w:firstLine="0"/>
        <w:rPr>
          <w:lang w:val="fr-FR"/>
        </w:rPr>
      </w:pPr>
      <w:r>
        <w:rPr>
          <w:lang w:val="fr-FR"/>
        </w:rPr>
        <w:t>C</w:t>
      </w:r>
      <w:r w:rsidRPr="004B2AF9">
        <w:rPr>
          <w:lang w:val="fr-FR"/>
        </w:rPr>
        <w:t>oncern</w:t>
      </w:r>
      <w:r>
        <w:rPr>
          <w:lang w:val="fr-FR"/>
        </w:rPr>
        <w:t>ant</w:t>
      </w:r>
      <w:r w:rsidRPr="004B2AF9">
        <w:rPr>
          <w:lang w:val="fr-FR"/>
        </w:rPr>
        <w:t xml:space="preserve"> la nécessité de réviser les directives relatives à l</w:t>
      </w:r>
      <w:r w:rsidR="0006343E">
        <w:rPr>
          <w:lang w:val="fr-FR"/>
        </w:rPr>
        <w:t>’</w:t>
      </w:r>
      <w:r w:rsidRPr="004B2AF9">
        <w:rPr>
          <w:lang w:val="fr-FR"/>
        </w:rPr>
        <w:t>établissement de documents et à leur soumission au Groupe de travail, telles qu</w:t>
      </w:r>
      <w:r w:rsidR="0006343E">
        <w:rPr>
          <w:lang w:val="fr-FR"/>
        </w:rPr>
        <w:t>’</w:t>
      </w:r>
      <w:r w:rsidRPr="004B2AF9">
        <w:rPr>
          <w:lang w:val="fr-FR"/>
        </w:rPr>
        <w:t>elles figurent dans l</w:t>
      </w:r>
      <w:r w:rsidR="0006343E">
        <w:rPr>
          <w:lang w:val="fr-FR"/>
        </w:rPr>
        <w:t>’</w:t>
      </w:r>
      <w:r w:rsidRPr="004B2AF9">
        <w:rPr>
          <w:lang w:val="fr-FR"/>
        </w:rPr>
        <w:t>annexe à son mandat et à son règlement intérieur (ECE/TRANS/WP.11.229), celui-ci a approuvé la propo</w:t>
      </w:r>
      <w:r w:rsidR="009C6FC6">
        <w:rPr>
          <w:lang w:val="fr-FR"/>
        </w:rPr>
        <w:t>sition figurant dans la section </w:t>
      </w:r>
      <w:r w:rsidRPr="004B2AF9">
        <w:rPr>
          <w:lang w:val="fr-FR"/>
        </w:rPr>
        <w:t>C et a décidé que la Belgique donnerait au secrétariat des orientations concernant la révision de la présentation normalisée des documents.</w:t>
      </w:r>
    </w:p>
    <w:p w:rsidR="00D651C4" w:rsidRPr="004B2AF9" w:rsidRDefault="00D651C4" w:rsidP="00F8558C">
      <w:pPr>
        <w:pStyle w:val="SingleTxtG"/>
        <w:numPr>
          <w:ilvl w:val="0"/>
          <w:numId w:val="25"/>
        </w:numPr>
        <w:ind w:left="1134" w:firstLine="0"/>
        <w:rPr>
          <w:lang w:val="fr-FR"/>
        </w:rPr>
      </w:pPr>
      <w:r w:rsidRPr="004B2AF9">
        <w:rPr>
          <w:lang w:val="fr-FR"/>
        </w:rPr>
        <w:t>Le Groupe de travail a remercié le représentant de la Belgique et le groupe de travail informel pour leur document et leur a demandé de poursuivre les travaux et de soumettre une nouvelle proposition à la soixante-douzième session, prévue en 2016.</w:t>
      </w:r>
    </w:p>
    <w:p w:rsidR="00D651C4" w:rsidRPr="004B2AF9" w:rsidRDefault="00D651C4" w:rsidP="00D651C4">
      <w:pPr>
        <w:pStyle w:val="H1G"/>
        <w:rPr>
          <w:lang w:val="fr-FR"/>
        </w:rPr>
      </w:pPr>
      <w:r w:rsidRPr="004B2AF9">
        <w:rPr>
          <w:lang w:val="fr-FR"/>
        </w:rPr>
        <w:tab/>
      </w:r>
      <w:bookmarkStart w:id="13" w:name="_Toc401568233"/>
      <w:bookmarkStart w:id="14" w:name="_Toc401568638"/>
      <w:bookmarkStart w:id="15" w:name="_Toc432670163"/>
      <w:r w:rsidRPr="004B2AF9">
        <w:rPr>
          <w:lang w:val="fr-FR"/>
        </w:rPr>
        <w:t>B.</w:t>
      </w:r>
      <w:r w:rsidRPr="004B2AF9">
        <w:rPr>
          <w:lang w:val="fr-FR"/>
        </w:rPr>
        <w:tab/>
        <w:t>Groupe d</w:t>
      </w:r>
      <w:r w:rsidRPr="00F8558C">
        <w:t>e</w:t>
      </w:r>
      <w:r w:rsidRPr="004B2AF9">
        <w:rPr>
          <w:lang w:val="fr-FR"/>
        </w:rPr>
        <w:t xml:space="preserve"> travail des normes de qualité des produits agricoles (WP.7)</w:t>
      </w:r>
      <w:bookmarkEnd w:id="13"/>
      <w:bookmarkEnd w:id="14"/>
      <w:bookmarkEnd w:id="15"/>
    </w:p>
    <w:p w:rsidR="00D651C4" w:rsidRPr="004B2AF9" w:rsidRDefault="00D651C4" w:rsidP="00F8558C">
      <w:pPr>
        <w:pStyle w:val="SingleTxtG"/>
        <w:numPr>
          <w:ilvl w:val="0"/>
          <w:numId w:val="25"/>
        </w:numPr>
        <w:ind w:left="1134" w:firstLine="0"/>
        <w:rPr>
          <w:lang w:val="fr-FR"/>
        </w:rPr>
      </w:pPr>
      <w:r w:rsidRPr="004B2AF9">
        <w:rPr>
          <w:lang w:val="fr-FR"/>
        </w:rPr>
        <w:t>Le Groupe de travail a été mis au courant des activités récentes du WP.7 concernant l</w:t>
      </w:r>
      <w:r w:rsidR="0006343E">
        <w:rPr>
          <w:lang w:val="fr-FR"/>
        </w:rPr>
        <w:t>’</w:t>
      </w:r>
      <w:r w:rsidRPr="004B2AF9">
        <w:rPr>
          <w:lang w:val="fr-FR"/>
        </w:rPr>
        <w:t>élaboration de normes de qualité commerciale des produits agricoles. Pour plus de renseignements, on se reportera à l</w:t>
      </w:r>
      <w:r w:rsidR="0006343E">
        <w:rPr>
          <w:lang w:val="fr-FR"/>
        </w:rPr>
        <w:t>’</w:t>
      </w:r>
      <w:r w:rsidRPr="004B2AF9">
        <w:rPr>
          <w:lang w:val="fr-FR"/>
        </w:rPr>
        <w:t>adresse électronique suivante</w:t>
      </w:r>
      <w:r w:rsidR="00F8558C">
        <w:rPr>
          <w:lang w:val="fr-FR"/>
        </w:rPr>
        <w:t> </w:t>
      </w:r>
      <w:r w:rsidRPr="004B2AF9">
        <w:rPr>
          <w:lang w:val="fr-FR"/>
        </w:rPr>
        <w:t>: http://www.unece.org/trade/agr/welcome.html.</w:t>
      </w:r>
    </w:p>
    <w:p w:rsidR="00D651C4" w:rsidRPr="004B2AF9" w:rsidRDefault="00D651C4" w:rsidP="00F8558C">
      <w:pPr>
        <w:pStyle w:val="SingleTxtG"/>
        <w:numPr>
          <w:ilvl w:val="0"/>
          <w:numId w:val="25"/>
        </w:numPr>
        <w:ind w:left="1134" w:firstLine="0"/>
        <w:rPr>
          <w:lang w:val="fr-FR"/>
        </w:rPr>
      </w:pPr>
      <w:r w:rsidRPr="004B2AF9">
        <w:rPr>
          <w:lang w:val="fr-FR"/>
        </w:rPr>
        <w:t>En réponse à une question soulevée à la soixante-dixième session du Groupe de travail, il a été fait observer que les normes applicables aux fruits et légumes ne comprenaient pas de dispositions concernant la régulation de la température et la ventilation du matériel de transport ou de stockage.</w:t>
      </w:r>
    </w:p>
    <w:p w:rsidR="00D651C4" w:rsidRPr="004B2AF9" w:rsidRDefault="00D651C4" w:rsidP="00D651C4">
      <w:pPr>
        <w:pStyle w:val="HChG"/>
        <w:rPr>
          <w:caps/>
          <w:lang w:val="fr-FR"/>
        </w:rPr>
      </w:pPr>
      <w:r w:rsidRPr="004B2AF9">
        <w:rPr>
          <w:lang w:val="fr-FR"/>
        </w:rPr>
        <w:tab/>
      </w:r>
      <w:bookmarkStart w:id="16" w:name="_Toc401568234"/>
      <w:bookmarkStart w:id="17" w:name="_Toc401568639"/>
      <w:bookmarkStart w:id="18" w:name="_Toc432670164"/>
      <w:r w:rsidRPr="004B2AF9">
        <w:rPr>
          <w:lang w:val="fr-FR"/>
        </w:rPr>
        <w:t>IV.</w:t>
      </w:r>
      <w:r w:rsidRPr="004B2AF9">
        <w:rPr>
          <w:lang w:val="fr-FR"/>
        </w:rPr>
        <w:tab/>
        <w:t>Activités d</w:t>
      </w:r>
      <w:r w:rsidR="0006343E">
        <w:rPr>
          <w:lang w:val="fr-FR"/>
        </w:rPr>
        <w:t>’</w:t>
      </w:r>
      <w:r w:rsidRPr="004B2AF9">
        <w:rPr>
          <w:lang w:val="fr-FR"/>
        </w:rPr>
        <w:t xml:space="preserve">autres organisations internationales </w:t>
      </w:r>
      <w:r w:rsidR="00F8558C">
        <w:rPr>
          <w:lang w:val="fr-FR"/>
        </w:rPr>
        <w:br/>
      </w:r>
      <w:r w:rsidRPr="004B2AF9">
        <w:rPr>
          <w:lang w:val="fr-FR"/>
        </w:rPr>
        <w:t>qui s</w:t>
      </w:r>
      <w:r w:rsidR="0006343E">
        <w:rPr>
          <w:lang w:val="fr-FR"/>
        </w:rPr>
        <w:t>’</w:t>
      </w:r>
      <w:r w:rsidRPr="004B2AF9">
        <w:rPr>
          <w:lang w:val="fr-FR"/>
        </w:rPr>
        <w:t xml:space="preserve">occupent de problèmes intéressant le Groupe </w:t>
      </w:r>
      <w:r w:rsidR="00F8558C">
        <w:rPr>
          <w:lang w:val="fr-FR"/>
        </w:rPr>
        <w:br/>
      </w:r>
      <w:r w:rsidRPr="004B2AF9">
        <w:rPr>
          <w:lang w:val="fr-FR"/>
        </w:rPr>
        <w:t>de travail (point 3 de l</w:t>
      </w:r>
      <w:r w:rsidR="0006343E">
        <w:rPr>
          <w:lang w:val="fr-FR"/>
        </w:rPr>
        <w:t>’</w:t>
      </w:r>
      <w:r w:rsidRPr="004B2AF9">
        <w:rPr>
          <w:lang w:val="fr-FR"/>
        </w:rPr>
        <w:t>ordre du jour)</w:t>
      </w:r>
      <w:bookmarkEnd w:id="16"/>
      <w:bookmarkEnd w:id="17"/>
      <w:bookmarkEnd w:id="18"/>
    </w:p>
    <w:p w:rsidR="00D651C4" w:rsidRPr="004B2AF9" w:rsidRDefault="00D651C4" w:rsidP="00D651C4">
      <w:pPr>
        <w:pStyle w:val="H1G"/>
        <w:rPr>
          <w:rFonts w:eastAsia="Arial Unicode MS"/>
          <w:bCs/>
          <w:lang w:val="fr-FR"/>
        </w:rPr>
      </w:pPr>
      <w:r w:rsidRPr="004B2AF9">
        <w:rPr>
          <w:lang w:val="fr-FR"/>
        </w:rPr>
        <w:tab/>
      </w:r>
      <w:bookmarkStart w:id="19" w:name="_Toc401568235"/>
      <w:bookmarkStart w:id="20" w:name="_Toc401568640"/>
      <w:bookmarkStart w:id="21" w:name="_Toc432670165"/>
      <w:r w:rsidRPr="004B2AF9">
        <w:rPr>
          <w:lang w:val="fr-FR"/>
        </w:rPr>
        <w:t>A.</w:t>
      </w:r>
      <w:r w:rsidRPr="004B2AF9">
        <w:rPr>
          <w:lang w:val="fr-FR"/>
        </w:rPr>
        <w:tab/>
        <w:t>Institut international du froid (IIF)</w:t>
      </w:r>
      <w:bookmarkEnd w:id="19"/>
      <w:bookmarkEnd w:id="20"/>
      <w:bookmarkEnd w:id="21"/>
    </w:p>
    <w:p w:rsidR="00D651C4" w:rsidRPr="004B2AF9" w:rsidRDefault="00EA1151" w:rsidP="00EA1151">
      <w:pPr>
        <w:spacing w:after="120"/>
        <w:ind w:left="2268" w:right="1134" w:hanging="1134"/>
        <w:rPr>
          <w:lang w:val="fr-FR"/>
        </w:rPr>
      </w:pPr>
      <w:r>
        <w:rPr>
          <w:i/>
          <w:lang w:val="fr-FR"/>
        </w:rPr>
        <w:t>Document </w:t>
      </w:r>
      <w:r w:rsidRPr="00EA1151">
        <w:rPr>
          <w:lang w:val="fr-FR"/>
        </w:rPr>
        <w:t>:</w:t>
      </w:r>
      <w:r>
        <w:rPr>
          <w:i/>
          <w:lang w:val="fr-FR"/>
        </w:rPr>
        <w:tab/>
      </w:r>
      <w:r w:rsidR="00D651C4" w:rsidRPr="00EA1151">
        <w:rPr>
          <w:lang w:val="fr-FR"/>
        </w:rPr>
        <w:t>Document informel</w:t>
      </w:r>
      <w:r w:rsidRPr="00EA1151">
        <w:rPr>
          <w:lang w:val="fr-FR"/>
        </w:rPr>
        <w:t xml:space="preserve"> </w:t>
      </w:r>
      <w:r w:rsidR="00D651C4" w:rsidRPr="004B2AF9">
        <w:rPr>
          <w:lang w:val="fr-FR"/>
        </w:rPr>
        <w:t>INF.3 (IIR)</w:t>
      </w:r>
      <w:r w:rsidR="00F8558C">
        <w:rPr>
          <w:lang w:val="fr-FR"/>
        </w:rPr>
        <w:t>.</w:t>
      </w:r>
    </w:p>
    <w:p w:rsidR="00D651C4" w:rsidRPr="004B2AF9" w:rsidRDefault="00D651C4" w:rsidP="00F8558C">
      <w:pPr>
        <w:pStyle w:val="SingleTxtG"/>
        <w:numPr>
          <w:ilvl w:val="0"/>
          <w:numId w:val="25"/>
        </w:numPr>
        <w:ind w:left="1134" w:firstLine="0"/>
        <w:rPr>
          <w:lang w:val="fr-FR"/>
        </w:rPr>
      </w:pPr>
      <w:r w:rsidRPr="004B2AF9">
        <w:rPr>
          <w:lang w:val="fr-FR"/>
        </w:rPr>
        <w:t xml:space="preserve">Le Groupe de travail a été informé des résultats de la réunion de la sous-commission </w:t>
      </w:r>
      <w:r>
        <w:rPr>
          <w:lang w:val="fr-FR"/>
        </w:rPr>
        <w:t>du</w:t>
      </w:r>
      <w:r w:rsidRPr="004B2AF9">
        <w:rPr>
          <w:lang w:val="fr-FR"/>
        </w:rPr>
        <w:t xml:space="preserve"> transport </w:t>
      </w:r>
      <w:r>
        <w:rPr>
          <w:lang w:val="fr-FR"/>
        </w:rPr>
        <w:t>réfrigéré</w:t>
      </w:r>
      <w:r w:rsidRPr="00F16773">
        <w:t xml:space="preserve"> </w:t>
      </w:r>
      <w:r w:rsidRPr="00F16773">
        <w:rPr>
          <w:lang w:val="fr-FR"/>
        </w:rPr>
        <w:t>de l</w:t>
      </w:r>
      <w:r w:rsidR="0006343E">
        <w:rPr>
          <w:lang w:val="fr-FR"/>
        </w:rPr>
        <w:t>’</w:t>
      </w:r>
      <w:r w:rsidRPr="00F16773">
        <w:rPr>
          <w:lang w:val="fr-FR"/>
        </w:rPr>
        <w:t>IIF</w:t>
      </w:r>
      <w:r w:rsidRPr="004B2AF9">
        <w:rPr>
          <w:lang w:val="fr-FR"/>
        </w:rPr>
        <w:t>, qui s</w:t>
      </w:r>
      <w:r w:rsidR="0006343E">
        <w:rPr>
          <w:lang w:val="fr-FR"/>
        </w:rPr>
        <w:t>’</w:t>
      </w:r>
      <w:r w:rsidRPr="004B2AF9">
        <w:rPr>
          <w:lang w:val="fr-FR"/>
        </w:rPr>
        <w:t>est tenue à Castelo Branco (Portugal) les 21 et 22</w:t>
      </w:r>
      <w:r w:rsidR="00F8558C">
        <w:rPr>
          <w:lang w:val="fr-FR"/>
        </w:rPr>
        <w:t> </w:t>
      </w:r>
      <w:r w:rsidRPr="004B2AF9">
        <w:rPr>
          <w:lang w:val="fr-FR"/>
        </w:rPr>
        <w:t>avril 2015. La sous-commission avait appuyé les propositions adressées au Groupe de travail, y</w:t>
      </w:r>
      <w:r w:rsidR="00F8558C">
        <w:rPr>
          <w:lang w:val="fr-FR"/>
        </w:rPr>
        <w:t> </w:t>
      </w:r>
      <w:r w:rsidRPr="004B2AF9">
        <w:rPr>
          <w:lang w:val="fr-FR"/>
        </w:rPr>
        <w:t>compris celles qui concernaient les définitions à inclure dans l</w:t>
      </w:r>
      <w:r w:rsidR="0006343E">
        <w:rPr>
          <w:lang w:val="fr-FR"/>
        </w:rPr>
        <w:t>’</w:t>
      </w:r>
      <w:r w:rsidRPr="004B2AF9">
        <w:rPr>
          <w:lang w:val="fr-FR"/>
        </w:rPr>
        <w:t>annexe 1, les dimensions des fourgons et le procès-verbal d</w:t>
      </w:r>
      <w:r w:rsidR="0006343E">
        <w:rPr>
          <w:lang w:val="fr-FR"/>
        </w:rPr>
        <w:t>’</w:t>
      </w:r>
      <w:r w:rsidRPr="004B2AF9">
        <w:rPr>
          <w:lang w:val="fr-FR"/>
        </w:rPr>
        <w:t>essai modifié, le marquage des engins à températures multiples, les observations sur les modifications mineures des caisses isothermes dans le Manuel ATP et l</w:t>
      </w:r>
      <w:r w:rsidR="0006343E">
        <w:rPr>
          <w:lang w:val="fr-FR"/>
        </w:rPr>
        <w:t>’</w:t>
      </w:r>
      <w:r w:rsidRPr="004B2AF9">
        <w:rPr>
          <w:lang w:val="fr-FR"/>
        </w:rPr>
        <w:t>obligation d</w:t>
      </w:r>
      <w:r w:rsidR="0006343E">
        <w:rPr>
          <w:lang w:val="fr-FR"/>
        </w:rPr>
        <w:t>’</w:t>
      </w:r>
      <w:r w:rsidRPr="004B2AF9">
        <w:rPr>
          <w:lang w:val="fr-FR"/>
        </w:rPr>
        <w:t>essai des engins non autonomes à six et neuf</w:t>
      </w:r>
      <w:r w:rsidR="000C5CF2">
        <w:rPr>
          <w:lang w:val="fr-FR"/>
        </w:rPr>
        <w:t> </w:t>
      </w:r>
      <w:r w:rsidRPr="004B2AF9">
        <w:rPr>
          <w:lang w:val="fr-FR"/>
        </w:rPr>
        <w:t>ans.</w:t>
      </w:r>
    </w:p>
    <w:p w:rsidR="00D651C4" w:rsidRPr="004B2AF9" w:rsidRDefault="00D651C4" w:rsidP="00D651C4">
      <w:pPr>
        <w:pStyle w:val="H1G"/>
        <w:rPr>
          <w:u w:val="single"/>
          <w:lang w:val="fr-FR"/>
        </w:rPr>
      </w:pPr>
      <w:r w:rsidRPr="004B2AF9">
        <w:rPr>
          <w:lang w:val="fr-FR"/>
        </w:rPr>
        <w:tab/>
      </w:r>
      <w:bookmarkStart w:id="22" w:name="_Toc401568236"/>
      <w:bookmarkStart w:id="23" w:name="_Toc401568641"/>
      <w:bookmarkStart w:id="24" w:name="_Toc432670166"/>
      <w:r w:rsidRPr="004B2AF9">
        <w:rPr>
          <w:lang w:val="fr-FR"/>
        </w:rPr>
        <w:t>B.</w:t>
      </w:r>
      <w:r w:rsidRPr="004B2AF9">
        <w:rPr>
          <w:lang w:val="fr-FR"/>
        </w:rPr>
        <w:tab/>
      </w:r>
      <w:r w:rsidRPr="004B2AF9">
        <w:rPr>
          <w:rFonts w:eastAsia="Arial Unicode MS"/>
          <w:lang w:val="fr-FR"/>
        </w:rPr>
        <w:t>Transfrigoroute</w:t>
      </w:r>
      <w:r w:rsidRPr="004B2AF9">
        <w:rPr>
          <w:lang w:val="fr-FR"/>
        </w:rPr>
        <w:t xml:space="preserve"> International</w:t>
      </w:r>
      <w:bookmarkEnd w:id="22"/>
      <w:bookmarkEnd w:id="23"/>
      <w:bookmarkEnd w:id="24"/>
    </w:p>
    <w:p w:rsidR="00D651C4" w:rsidRPr="004B2AF9" w:rsidRDefault="00D651C4" w:rsidP="00EA1151">
      <w:pPr>
        <w:spacing w:after="120"/>
        <w:ind w:left="2268" w:right="1134" w:hanging="1134"/>
        <w:rPr>
          <w:lang w:val="fr-FR"/>
        </w:rPr>
      </w:pPr>
      <w:r w:rsidRPr="004B2AF9">
        <w:rPr>
          <w:i/>
          <w:lang w:val="fr-FR"/>
        </w:rPr>
        <w:t>Document</w:t>
      </w:r>
      <w:r w:rsidR="00EA1151">
        <w:rPr>
          <w:i/>
          <w:lang w:val="fr-FR"/>
        </w:rPr>
        <w:t> </w:t>
      </w:r>
      <w:r w:rsidR="00EA1151" w:rsidRPr="00EA1151">
        <w:rPr>
          <w:lang w:val="fr-FR"/>
        </w:rPr>
        <w:t>:</w:t>
      </w:r>
      <w:r w:rsidR="00EA1151">
        <w:rPr>
          <w:i/>
          <w:lang w:val="fr-FR"/>
        </w:rPr>
        <w:tab/>
      </w:r>
      <w:r w:rsidR="00EA1151" w:rsidRPr="00EA1151">
        <w:rPr>
          <w:lang w:val="fr-FR"/>
        </w:rPr>
        <w:t xml:space="preserve">Document </w:t>
      </w:r>
      <w:r w:rsidRPr="00EA1151">
        <w:rPr>
          <w:lang w:val="fr-FR"/>
        </w:rPr>
        <w:t>informel</w:t>
      </w:r>
      <w:r w:rsidR="00EA1151">
        <w:rPr>
          <w:i/>
          <w:lang w:val="fr-FR"/>
        </w:rPr>
        <w:t xml:space="preserve"> </w:t>
      </w:r>
      <w:r w:rsidRPr="004B2AF9">
        <w:rPr>
          <w:lang w:val="fr-FR"/>
        </w:rPr>
        <w:t>INF.15 (Transfrigoroute International)</w:t>
      </w:r>
      <w:r w:rsidR="00F8558C">
        <w:rPr>
          <w:lang w:val="fr-FR"/>
        </w:rPr>
        <w:t>.</w:t>
      </w:r>
    </w:p>
    <w:p w:rsidR="00D651C4" w:rsidRPr="004B2AF9" w:rsidRDefault="00D651C4" w:rsidP="00F8558C">
      <w:pPr>
        <w:pStyle w:val="SingleTxtG"/>
        <w:numPr>
          <w:ilvl w:val="0"/>
          <w:numId w:val="25"/>
        </w:numPr>
        <w:ind w:left="1134" w:firstLine="0"/>
        <w:rPr>
          <w:lang w:val="fr-FR"/>
        </w:rPr>
      </w:pPr>
      <w:r w:rsidRPr="004B2AF9">
        <w:rPr>
          <w:lang w:val="fr-FR"/>
        </w:rPr>
        <w:t>M.</w:t>
      </w:r>
      <w:r w:rsidR="00F8558C">
        <w:rPr>
          <w:lang w:val="fr-FR"/>
        </w:rPr>
        <w:t> </w:t>
      </w:r>
      <w:r w:rsidRPr="004B2AF9">
        <w:rPr>
          <w:lang w:val="fr-FR"/>
        </w:rPr>
        <w:t>J.</w:t>
      </w:r>
      <w:r w:rsidR="00F8558C">
        <w:rPr>
          <w:lang w:val="fr-FR"/>
        </w:rPr>
        <w:t> </w:t>
      </w:r>
      <w:r w:rsidRPr="004B2AF9">
        <w:rPr>
          <w:lang w:val="fr-FR"/>
        </w:rPr>
        <w:t xml:space="preserve">Grealy a informé le </w:t>
      </w:r>
      <w:r>
        <w:rPr>
          <w:lang w:val="fr-FR"/>
        </w:rPr>
        <w:t>Groupe de travail</w:t>
      </w:r>
      <w:r w:rsidRPr="004B2AF9">
        <w:rPr>
          <w:lang w:val="fr-FR"/>
        </w:rPr>
        <w:t xml:space="preserve"> des activités de Transfrigoroute International visant à aider le secteur du transport réfrigéré qui sont mentionnées dans le document informel INF.15.</w:t>
      </w:r>
    </w:p>
    <w:p w:rsidR="00D651C4" w:rsidRPr="004B2AF9" w:rsidRDefault="00D651C4" w:rsidP="00F8558C">
      <w:pPr>
        <w:pStyle w:val="SingleTxtG"/>
        <w:numPr>
          <w:ilvl w:val="0"/>
          <w:numId w:val="25"/>
        </w:numPr>
        <w:ind w:left="1134" w:firstLine="0"/>
        <w:rPr>
          <w:lang w:val="fr-FR"/>
        </w:rPr>
      </w:pPr>
      <w:r w:rsidRPr="004B2AF9">
        <w:rPr>
          <w:lang w:val="fr-FR"/>
        </w:rPr>
        <w:t>Transfrigoroute International célébrerait son soixantième anniversaire à son assemblée générale annuelle, prévue à Amsterdam les 16 et 17</w:t>
      </w:r>
      <w:r w:rsidR="00F8558C">
        <w:rPr>
          <w:lang w:val="fr-FR"/>
        </w:rPr>
        <w:t> </w:t>
      </w:r>
      <w:r w:rsidRPr="004B2AF9">
        <w:rPr>
          <w:lang w:val="fr-FR"/>
        </w:rPr>
        <w:t>octobre 2015</w:t>
      </w:r>
      <w:r w:rsidR="00F8558C">
        <w:rPr>
          <w:lang w:val="fr-FR"/>
        </w:rPr>
        <w:t>.</w:t>
      </w:r>
    </w:p>
    <w:p w:rsidR="00D651C4" w:rsidRPr="004B2AF9" w:rsidRDefault="00D651C4" w:rsidP="00D651C4">
      <w:pPr>
        <w:pStyle w:val="H1G"/>
        <w:rPr>
          <w:lang w:val="fr-FR"/>
        </w:rPr>
      </w:pPr>
      <w:r w:rsidRPr="004B2AF9">
        <w:rPr>
          <w:lang w:val="fr-FR"/>
        </w:rPr>
        <w:tab/>
      </w:r>
      <w:bookmarkStart w:id="25" w:name="_Toc401568237"/>
      <w:bookmarkStart w:id="26" w:name="_Toc401568642"/>
      <w:bookmarkStart w:id="27" w:name="_Toc432670167"/>
      <w:r w:rsidRPr="004B2AF9">
        <w:rPr>
          <w:lang w:val="fr-FR"/>
        </w:rPr>
        <w:t>C.</w:t>
      </w:r>
      <w:r w:rsidRPr="004B2AF9">
        <w:rPr>
          <w:lang w:val="fr-FR"/>
        </w:rPr>
        <w:tab/>
        <w:t>Comité européen de normalisation (CEN)</w:t>
      </w:r>
      <w:bookmarkEnd w:id="25"/>
      <w:bookmarkEnd w:id="26"/>
      <w:bookmarkEnd w:id="27"/>
    </w:p>
    <w:p w:rsidR="00D651C4" w:rsidRPr="004B2AF9" w:rsidRDefault="00D651C4" w:rsidP="00F8558C">
      <w:pPr>
        <w:pStyle w:val="SingleTxtG"/>
        <w:numPr>
          <w:ilvl w:val="0"/>
          <w:numId w:val="25"/>
        </w:numPr>
        <w:ind w:left="1134" w:firstLine="0"/>
        <w:rPr>
          <w:lang w:val="fr-FR"/>
        </w:rPr>
      </w:pPr>
      <w:r w:rsidRPr="004B2AF9">
        <w:rPr>
          <w:lang w:val="fr-FR"/>
        </w:rPr>
        <w:t>Le représentant de l</w:t>
      </w:r>
      <w:r w:rsidR="0006343E">
        <w:rPr>
          <w:lang w:val="fr-FR"/>
        </w:rPr>
        <w:t>’</w:t>
      </w:r>
      <w:r w:rsidRPr="004B2AF9">
        <w:rPr>
          <w:lang w:val="fr-FR"/>
        </w:rPr>
        <w:t>Allemagne a informé le Groupe de travail de l</w:t>
      </w:r>
      <w:r w:rsidR="0006343E">
        <w:rPr>
          <w:lang w:val="fr-FR"/>
        </w:rPr>
        <w:t>’</w:t>
      </w:r>
      <w:r w:rsidRPr="004B2AF9">
        <w:rPr>
          <w:lang w:val="fr-FR"/>
        </w:rPr>
        <w:t>état d</w:t>
      </w:r>
      <w:r w:rsidR="0006343E">
        <w:rPr>
          <w:lang w:val="fr-FR"/>
        </w:rPr>
        <w:t>’</w:t>
      </w:r>
      <w:r w:rsidRPr="004B2AF9">
        <w:rPr>
          <w:lang w:val="fr-FR"/>
        </w:rPr>
        <w:t>avancement des travaux d</w:t>
      </w:r>
      <w:r w:rsidR="0006343E">
        <w:rPr>
          <w:lang w:val="fr-FR"/>
        </w:rPr>
        <w:t>’</w:t>
      </w:r>
      <w:r w:rsidRPr="004B2AF9">
        <w:rPr>
          <w:lang w:val="fr-FR"/>
        </w:rPr>
        <w:t>élaboration de normes</w:t>
      </w:r>
      <w:r>
        <w:rPr>
          <w:lang w:val="fr-FR"/>
        </w:rPr>
        <w:t xml:space="preserve"> du</w:t>
      </w:r>
      <w:r w:rsidRPr="004B2AF9">
        <w:rPr>
          <w:lang w:val="fr-FR"/>
        </w:rPr>
        <w:t xml:space="preserve"> CEN relatives aux transports terrestres sous température dirigée. Des préoccupations ont été suscitées par le fait que ces normes comprenaient aussi des dispositions relatives aux marquages qui pourraient contrevenir aux dispositions et à l</w:t>
      </w:r>
      <w:r w:rsidR="0006343E">
        <w:rPr>
          <w:lang w:val="fr-FR"/>
        </w:rPr>
        <w:t>’</w:t>
      </w:r>
      <w:r w:rsidRPr="004B2AF9">
        <w:rPr>
          <w:lang w:val="fr-FR"/>
        </w:rPr>
        <w:t>application de l</w:t>
      </w:r>
      <w:r w:rsidR="0006343E">
        <w:rPr>
          <w:lang w:val="fr-FR"/>
        </w:rPr>
        <w:t>’</w:t>
      </w:r>
      <w:r w:rsidRPr="004B2AF9">
        <w:rPr>
          <w:lang w:val="fr-FR"/>
        </w:rPr>
        <w:t>ATP.</w:t>
      </w:r>
    </w:p>
    <w:p w:rsidR="00D651C4" w:rsidRPr="004B2AF9" w:rsidRDefault="00D651C4" w:rsidP="00D651C4">
      <w:pPr>
        <w:pStyle w:val="HChG"/>
        <w:rPr>
          <w:caps/>
          <w:lang w:val="fr-FR"/>
        </w:rPr>
      </w:pPr>
      <w:r w:rsidRPr="004B2AF9">
        <w:rPr>
          <w:lang w:val="fr-FR"/>
        </w:rPr>
        <w:tab/>
      </w:r>
      <w:bookmarkStart w:id="28" w:name="_Toc401568238"/>
      <w:bookmarkStart w:id="29" w:name="_Toc401568643"/>
      <w:bookmarkStart w:id="30" w:name="_Toc432670168"/>
      <w:r w:rsidRPr="004B2AF9">
        <w:rPr>
          <w:lang w:val="fr-FR"/>
        </w:rPr>
        <w:t>V.</w:t>
      </w:r>
      <w:r w:rsidRPr="004B2AF9">
        <w:rPr>
          <w:lang w:val="fr-FR"/>
        </w:rPr>
        <w:tab/>
        <w:t>État et mise en œuvre de l</w:t>
      </w:r>
      <w:r w:rsidR="0006343E">
        <w:rPr>
          <w:lang w:val="fr-FR"/>
        </w:rPr>
        <w:t>’</w:t>
      </w:r>
      <w:r w:rsidRPr="004B2AF9">
        <w:rPr>
          <w:lang w:val="fr-FR"/>
        </w:rPr>
        <w:t xml:space="preserve">Accord relatif aux transports internationaux de denrées périssables et aux engins </w:t>
      </w:r>
      <w:r w:rsidR="004B3B33">
        <w:rPr>
          <w:lang w:val="fr-FR"/>
        </w:rPr>
        <w:br/>
      </w:r>
      <w:r w:rsidRPr="004B2AF9">
        <w:rPr>
          <w:lang w:val="fr-FR"/>
        </w:rPr>
        <w:t xml:space="preserve">spéciaux à utiliser pour ces transports (ATP) </w:t>
      </w:r>
      <w:r w:rsidRPr="004B2AF9">
        <w:rPr>
          <w:lang w:val="fr-FR"/>
        </w:rPr>
        <w:br/>
        <w:t>(point 4 de l</w:t>
      </w:r>
      <w:r w:rsidR="0006343E">
        <w:rPr>
          <w:lang w:val="fr-FR"/>
        </w:rPr>
        <w:t>’</w:t>
      </w:r>
      <w:r w:rsidRPr="004B2AF9">
        <w:rPr>
          <w:lang w:val="fr-FR"/>
        </w:rPr>
        <w:t>ordre du jour)</w:t>
      </w:r>
      <w:bookmarkEnd w:id="28"/>
      <w:bookmarkEnd w:id="29"/>
      <w:bookmarkEnd w:id="30"/>
    </w:p>
    <w:p w:rsidR="00D651C4" w:rsidRPr="004B2AF9" w:rsidRDefault="00D651C4" w:rsidP="00D651C4">
      <w:pPr>
        <w:pStyle w:val="H1G"/>
        <w:rPr>
          <w:lang w:val="fr-FR"/>
        </w:rPr>
      </w:pPr>
      <w:r w:rsidRPr="004B2AF9">
        <w:rPr>
          <w:lang w:val="fr-FR"/>
        </w:rPr>
        <w:tab/>
      </w:r>
      <w:bookmarkStart w:id="31" w:name="_Toc401568239"/>
      <w:bookmarkStart w:id="32" w:name="_Toc401568644"/>
      <w:bookmarkStart w:id="33" w:name="_Toc432670169"/>
      <w:r w:rsidRPr="004B2AF9">
        <w:rPr>
          <w:lang w:val="fr-FR"/>
        </w:rPr>
        <w:t>A.</w:t>
      </w:r>
      <w:r w:rsidRPr="004B2AF9">
        <w:rPr>
          <w:lang w:val="fr-FR"/>
        </w:rPr>
        <w:tab/>
      </w:r>
      <w:bookmarkEnd w:id="31"/>
      <w:bookmarkEnd w:id="32"/>
      <w:bookmarkEnd w:id="33"/>
      <w:r w:rsidRPr="004B2AF9">
        <w:rPr>
          <w:lang w:val="fr-FR"/>
        </w:rPr>
        <w:t>État de l</w:t>
      </w:r>
      <w:r w:rsidR="0006343E">
        <w:rPr>
          <w:lang w:val="fr-FR"/>
        </w:rPr>
        <w:t>’</w:t>
      </w:r>
      <w:r w:rsidRPr="004B2AF9">
        <w:rPr>
          <w:lang w:val="fr-FR"/>
        </w:rPr>
        <w:t>Accord</w:t>
      </w:r>
    </w:p>
    <w:p w:rsidR="00D651C4" w:rsidRPr="004B2AF9" w:rsidRDefault="00D651C4" w:rsidP="00F8558C">
      <w:pPr>
        <w:pStyle w:val="SingleTxtG"/>
        <w:numPr>
          <w:ilvl w:val="0"/>
          <w:numId w:val="25"/>
        </w:numPr>
        <w:ind w:left="1134" w:firstLine="0"/>
        <w:rPr>
          <w:lang w:val="fr-FR"/>
        </w:rPr>
      </w:pPr>
      <w:r w:rsidRPr="004B2AF9">
        <w:rPr>
          <w:lang w:val="fr-FR"/>
        </w:rPr>
        <w:t>Le nombre de Parties contractantes à l</w:t>
      </w:r>
      <w:r w:rsidR="0006343E">
        <w:rPr>
          <w:lang w:val="fr-FR"/>
        </w:rPr>
        <w:t>’</w:t>
      </w:r>
      <w:r w:rsidRPr="004B2AF9">
        <w:rPr>
          <w:lang w:val="fr-FR"/>
        </w:rPr>
        <w:t>Accord relatif aux transports internationaux de denrées périssables et aux engins spéciaux à utiliser pour ces transports (ATP) est passé à 49 à la suite de l</w:t>
      </w:r>
      <w:r w:rsidR="0006343E">
        <w:rPr>
          <w:lang w:val="fr-FR"/>
        </w:rPr>
        <w:t>’</w:t>
      </w:r>
      <w:r w:rsidRPr="004B2AF9">
        <w:rPr>
          <w:lang w:val="fr-FR"/>
        </w:rPr>
        <w:t>adhésion de l</w:t>
      </w:r>
      <w:r w:rsidR="0006343E">
        <w:rPr>
          <w:lang w:val="fr-FR"/>
        </w:rPr>
        <w:t>’</w:t>
      </w:r>
      <w:r w:rsidRPr="004B2AF9">
        <w:rPr>
          <w:lang w:val="fr-FR"/>
        </w:rPr>
        <w:t>Arabie saoudite en janvier 2015.</w:t>
      </w:r>
    </w:p>
    <w:p w:rsidR="00D651C4" w:rsidRPr="004B2AF9" w:rsidRDefault="00D651C4" w:rsidP="00D651C4">
      <w:pPr>
        <w:pStyle w:val="H1G"/>
        <w:rPr>
          <w:lang w:val="fr-FR"/>
        </w:rPr>
      </w:pPr>
      <w:r w:rsidRPr="004B2AF9">
        <w:rPr>
          <w:lang w:val="fr-FR"/>
        </w:rPr>
        <w:tab/>
      </w:r>
      <w:bookmarkStart w:id="34" w:name="_Toc401568240"/>
      <w:bookmarkStart w:id="35" w:name="_Toc401568645"/>
      <w:bookmarkStart w:id="36" w:name="_Toc432670170"/>
      <w:r w:rsidRPr="004B2AF9">
        <w:rPr>
          <w:lang w:val="fr-FR"/>
        </w:rPr>
        <w:t>B.</w:t>
      </w:r>
      <w:r w:rsidRPr="004B2AF9">
        <w:rPr>
          <w:lang w:val="fr-FR"/>
        </w:rPr>
        <w:tab/>
      </w:r>
      <w:bookmarkEnd w:id="34"/>
      <w:bookmarkEnd w:id="35"/>
      <w:bookmarkEnd w:id="36"/>
      <w:r w:rsidRPr="004B2AF9">
        <w:rPr>
          <w:lang w:val="fr-FR"/>
        </w:rPr>
        <w:t>État des amendements</w:t>
      </w:r>
    </w:p>
    <w:p w:rsidR="00D651C4" w:rsidRPr="004B2AF9" w:rsidRDefault="00D651C4" w:rsidP="00F8558C">
      <w:pPr>
        <w:pStyle w:val="SingleTxtG"/>
        <w:numPr>
          <w:ilvl w:val="0"/>
          <w:numId w:val="25"/>
        </w:numPr>
        <w:ind w:left="1134" w:firstLine="0"/>
        <w:rPr>
          <w:lang w:val="fr-FR"/>
        </w:rPr>
      </w:pPr>
      <w:r w:rsidRPr="004B2AF9">
        <w:rPr>
          <w:lang w:val="fr-FR"/>
        </w:rPr>
        <w:t>Le Groupe de travail a été informé que les amendements à l</w:t>
      </w:r>
      <w:r w:rsidR="0006343E">
        <w:rPr>
          <w:lang w:val="fr-FR"/>
        </w:rPr>
        <w:t>’</w:t>
      </w:r>
      <w:r w:rsidRPr="004B2AF9">
        <w:rPr>
          <w:lang w:val="fr-FR"/>
        </w:rPr>
        <w:t>ATP qu</w:t>
      </w:r>
      <w:r w:rsidR="0006343E">
        <w:rPr>
          <w:lang w:val="fr-FR"/>
        </w:rPr>
        <w:t>’</w:t>
      </w:r>
      <w:r w:rsidRPr="004B2AF9">
        <w:rPr>
          <w:lang w:val="fr-FR"/>
        </w:rPr>
        <w:t>il avait adoptés à sa soixante-neuvième session, en 2013, qui sont reproduits à l</w:t>
      </w:r>
      <w:r w:rsidR="0006343E">
        <w:rPr>
          <w:lang w:val="fr-FR"/>
        </w:rPr>
        <w:t>’</w:t>
      </w:r>
      <w:r w:rsidRPr="004B2AF9">
        <w:rPr>
          <w:lang w:val="fr-FR"/>
        </w:rPr>
        <w:t>annexe I du rapport de ladite session (ECE/TRANS/WP.11/228), avaient été considérés comme adoptés le 31</w:t>
      </w:r>
      <w:r w:rsidR="004B3B33">
        <w:rPr>
          <w:lang w:val="fr-FR"/>
        </w:rPr>
        <w:t> </w:t>
      </w:r>
      <w:r w:rsidRPr="004B2AF9">
        <w:rPr>
          <w:lang w:val="fr-FR"/>
        </w:rPr>
        <w:t>mars 2015 et étaient entrés en vigueur le 30</w:t>
      </w:r>
      <w:r w:rsidR="004B3B33">
        <w:rPr>
          <w:lang w:val="fr-FR"/>
        </w:rPr>
        <w:t> </w:t>
      </w:r>
      <w:r w:rsidRPr="004B2AF9">
        <w:rPr>
          <w:lang w:val="fr-FR"/>
        </w:rPr>
        <w:t>septembre 2015 (voir C.N.253.2015.TREATIES-XI.B.22).</w:t>
      </w:r>
    </w:p>
    <w:p w:rsidR="00D651C4" w:rsidRPr="004B2AF9" w:rsidRDefault="00D651C4" w:rsidP="00F8558C">
      <w:pPr>
        <w:pStyle w:val="SingleTxtG"/>
        <w:numPr>
          <w:ilvl w:val="0"/>
          <w:numId w:val="25"/>
        </w:numPr>
        <w:ind w:left="1134" w:firstLine="0"/>
        <w:rPr>
          <w:lang w:val="fr-FR"/>
        </w:rPr>
      </w:pPr>
      <w:r w:rsidRPr="004B2AF9">
        <w:rPr>
          <w:lang w:val="fr-FR"/>
        </w:rPr>
        <w:t>Les propositions d</w:t>
      </w:r>
      <w:r w:rsidR="0006343E">
        <w:rPr>
          <w:lang w:val="fr-FR"/>
        </w:rPr>
        <w:t>’</w:t>
      </w:r>
      <w:r w:rsidRPr="004B2AF9">
        <w:rPr>
          <w:lang w:val="fr-FR"/>
        </w:rPr>
        <w:t>amende</w:t>
      </w:r>
      <w:r>
        <w:rPr>
          <w:lang w:val="fr-FR"/>
        </w:rPr>
        <w:t>ment</w:t>
      </w:r>
      <w:r w:rsidRPr="004B2AF9">
        <w:rPr>
          <w:lang w:val="fr-FR"/>
        </w:rPr>
        <w:t xml:space="preserve"> à l</w:t>
      </w:r>
      <w:r w:rsidR="0006343E">
        <w:rPr>
          <w:lang w:val="fr-FR"/>
        </w:rPr>
        <w:t>’</w:t>
      </w:r>
      <w:r w:rsidRPr="004B2AF9">
        <w:rPr>
          <w:lang w:val="fr-FR"/>
        </w:rPr>
        <w:t>ATP adoptées par le Groupe de travail à sa soixante-dixième session, en 2014 (ECE/TRANS/WP.11/231, annexes</w:t>
      </w:r>
      <w:r w:rsidR="004B3B33">
        <w:rPr>
          <w:lang w:val="fr-FR"/>
        </w:rPr>
        <w:t> </w:t>
      </w:r>
      <w:r w:rsidRPr="004B2AF9">
        <w:rPr>
          <w:lang w:val="fr-FR"/>
        </w:rPr>
        <w:t>I et II, et ECE/TRANS/WP.11/231/Corr.1 et 2) ont été notifiées le 19</w:t>
      </w:r>
      <w:r w:rsidR="004B3B33">
        <w:rPr>
          <w:lang w:val="fr-FR"/>
        </w:rPr>
        <w:t> </w:t>
      </w:r>
      <w:r w:rsidRPr="004B2AF9">
        <w:rPr>
          <w:lang w:val="fr-FR"/>
        </w:rPr>
        <w:t>mars 2015 aux Parties contractantes à l</w:t>
      </w:r>
      <w:r w:rsidR="0006343E">
        <w:rPr>
          <w:lang w:val="fr-FR"/>
        </w:rPr>
        <w:t>’</w:t>
      </w:r>
      <w:r w:rsidRPr="004B2AF9">
        <w:rPr>
          <w:lang w:val="fr-FR"/>
        </w:rPr>
        <w:t>ATP par la Section des traités de l</w:t>
      </w:r>
      <w:r w:rsidR="0006343E">
        <w:rPr>
          <w:lang w:val="fr-FR"/>
        </w:rPr>
        <w:t>’</w:t>
      </w:r>
      <w:r w:rsidRPr="004B2AF9">
        <w:rPr>
          <w:lang w:val="fr-FR"/>
        </w:rPr>
        <w:t>ONU (</w:t>
      </w:r>
      <w:r w:rsidR="00EF0687">
        <w:rPr>
          <w:lang w:val="fr-FR"/>
        </w:rPr>
        <w:t>C.N.181.2015.TREATIES-XI.B.22).</w:t>
      </w:r>
    </w:p>
    <w:p w:rsidR="00D651C4" w:rsidRPr="004B2AF9" w:rsidRDefault="00D651C4" w:rsidP="00F8558C">
      <w:pPr>
        <w:pStyle w:val="SingleTxtG"/>
        <w:numPr>
          <w:ilvl w:val="0"/>
          <w:numId w:val="25"/>
        </w:numPr>
        <w:ind w:left="1134" w:firstLine="0"/>
        <w:rPr>
          <w:lang w:val="fr-FR"/>
        </w:rPr>
      </w:pPr>
      <w:r w:rsidRPr="004B2AF9">
        <w:rPr>
          <w:lang w:val="fr-FR"/>
        </w:rPr>
        <w:t>Le 13</w:t>
      </w:r>
      <w:r w:rsidR="004B3B33">
        <w:rPr>
          <w:lang w:val="fr-FR"/>
        </w:rPr>
        <w:t> </w:t>
      </w:r>
      <w:r w:rsidRPr="004B2AF9">
        <w:rPr>
          <w:lang w:val="fr-FR"/>
        </w:rPr>
        <w:t>mai 2015, le Gouvernement allemand a fait savoir au Secrétaire général qu</w:t>
      </w:r>
      <w:r w:rsidR="0006343E">
        <w:rPr>
          <w:lang w:val="fr-FR"/>
        </w:rPr>
        <w:t>’</w:t>
      </w:r>
      <w:r w:rsidRPr="004B2AF9">
        <w:rPr>
          <w:lang w:val="fr-FR"/>
        </w:rPr>
        <w:t>il avait l</w:t>
      </w:r>
      <w:r w:rsidR="0006343E">
        <w:rPr>
          <w:lang w:val="fr-FR"/>
        </w:rPr>
        <w:t>’</w:t>
      </w:r>
      <w:r w:rsidRPr="004B2AF9">
        <w:rPr>
          <w:lang w:val="fr-FR"/>
        </w:rPr>
        <w:t>intention d</w:t>
      </w:r>
      <w:r w:rsidR="0006343E">
        <w:rPr>
          <w:lang w:val="fr-FR"/>
        </w:rPr>
        <w:t>’</w:t>
      </w:r>
      <w:r w:rsidRPr="004B2AF9">
        <w:rPr>
          <w:lang w:val="fr-FR"/>
        </w:rPr>
        <w:t>accepter ces propositions mais que les conditions nécessaires à cette acceptation n</w:t>
      </w:r>
      <w:r w:rsidR="0006343E">
        <w:rPr>
          <w:lang w:val="fr-FR"/>
        </w:rPr>
        <w:t>’</w:t>
      </w:r>
      <w:r w:rsidRPr="004B2AF9">
        <w:rPr>
          <w:lang w:val="fr-FR"/>
        </w:rPr>
        <w:t>étaient pas encore réunies (C.N.298.2015.TREATIES-XI.B.22). Par conséquent, les amendements adoptés par le Groupe de travail à sa session de 2014 ne seraient considérés comme acceptés que si, avant l</w:t>
      </w:r>
      <w:r w:rsidR="0006343E">
        <w:rPr>
          <w:lang w:val="fr-FR"/>
        </w:rPr>
        <w:t>’</w:t>
      </w:r>
      <w:r w:rsidRPr="004B2AF9">
        <w:rPr>
          <w:lang w:val="fr-FR"/>
        </w:rPr>
        <w:t>expiration d</w:t>
      </w:r>
      <w:r w:rsidR="0006343E">
        <w:rPr>
          <w:lang w:val="fr-FR"/>
        </w:rPr>
        <w:t>’</w:t>
      </w:r>
      <w:r w:rsidRPr="004B2AF9">
        <w:rPr>
          <w:lang w:val="fr-FR"/>
        </w:rPr>
        <w:t>un délai de neuf mois courant à partir de l</w:t>
      </w:r>
      <w:r w:rsidR="0006343E">
        <w:rPr>
          <w:lang w:val="fr-FR"/>
        </w:rPr>
        <w:t>’</w:t>
      </w:r>
      <w:r w:rsidRPr="004B2AF9">
        <w:rPr>
          <w:lang w:val="fr-FR"/>
        </w:rPr>
        <w:t>expiration du délai initial de six mois, le Gouvernement allemand ne présentait pas d</w:t>
      </w:r>
      <w:r w:rsidR="0006343E">
        <w:rPr>
          <w:lang w:val="fr-FR"/>
        </w:rPr>
        <w:t>’</w:t>
      </w:r>
      <w:r w:rsidRPr="004B2AF9">
        <w:rPr>
          <w:lang w:val="fr-FR"/>
        </w:rPr>
        <w:t>objection aux amendements proposés.</w:t>
      </w:r>
    </w:p>
    <w:p w:rsidR="00D651C4" w:rsidRPr="004B2AF9" w:rsidRDefault="00D651C4" w:rsidP="00F8558C">
      <w:pPr>
        <w:pStyle w:val="SingleTxtG"/>
        <w:numPr>
          <w:ilvl w:val="0"/>
          <w:numId w:val="25"/>
        </w:numPr>
        <w:ind w:left="1134" w:firstLine="0"/>
        <w:rPr>
          <w:lang w:val="fr-FR"/>
        </w:rPr>
      </w:pPr>
      <w:r w:rsidRPr="004B2AF9">
        <w:rPr>
          <w:lang w:val="fr-FR"/>
        </w:rPr>
        <w:t>Le 17</w:t>
      </w:r>
      <w:r w:rsidR="004B3B33">
        <w:rPr>
          <w:lang w:val="fr-FR"/>
        </w:rPr>
        <w:t> </w:t>
      </w:r>
      <w:r w:rsidRPr="004B2AF9">
        <w:rPr>
          <w:lang w:val="fr-FR"/>
        </w:rPr>
        <w:t>septembre 2015, le Gouvernement finlandais avait formulé une objection au sujet de la proposition d</w:t>
      </w:r>
      <w:r w:rsidR="0006343E">
        <w:rPr>
          <w:lang w:val="fr-FR"/>
        </w:rPr>
        <w:t>’</w:t>
      </w:r>
      <w:r w:rsidRPr="004B2AF9">
        <w:rPr>
          <w:lang w:val="fr-FR"/>
        </w:rPr>
        <w:t>amendement au paragraphe</w:t>
      </w:r>
      <w:r w:rsidR="004B3B33">
        <w:rPr>
          <w:lang w:val="fr-FR"/>
        </w:rPr>
        <w:t> </w:t>
      </w:r>
      <w:r w:rsidRPr="004B2AF9">
        <w:rPr>
          <w:lang w:val="fr-FR"/>
        </w:rPr>
        <w:t>3.2.6 de l</w:t>
      </w:r>
      <w:r w:rsidR="0006343E">
        <w:rPr>
          <w:lang w:val="fr-FR"/>
        </w:rPr>
        <w:t>’</w:t>
      </w:r>
      <w:r w:rsidRPr="004B2AF9">
        <w:rPr>
          <w:lang w:val="fr-FR"/>
        </w:rPr>
        <w:t>appendice</w:t>
      </w:r>
      <w:r w:rsidR="004B3B33">
        <w:rPr>
          <w:lang w:val="fr-FR"/>
        </w:rPr>
        <w:t> </w:t>
      </w:r>
      <w:r w:rsidRPr="004B2AF9">
        <w:rPr>
          <w:lang w:val="fr-FR"/>
        </w:rPr>
        <w:t>2 de l</w:t>
      </w:r>
      <w:r w:rsidR="0006343E">
        <w:rPr>
          <w:lang w:val="fr-FR"/>
        </w:rPr>
        <w:t>’</w:t>
      </w:r>
      <w:r w:rsidRPr="004B2AF9">
        <w:rPr>
          <w:lang w:val="fr-FR"/>
        </w:rPr>
        <w:t>annexe</w:t>
      </w:r>
      <w:r w:rsidR="004B3B33">
        <w:rPr>
          <w:lang w:val="fr-FR"/>
        </w:rPr>
        <w:t> </w:t>
      </w:r>
      <w:r w:rsidRPr="004B2AF9">
        <w:rPr>
          <w:lang w:val="fr-FR"/>
        </w:rPr>
        <w:t>1 (C.N.481.2015.TREATIES-XI.B.22). Le secrétariat a confirmé que l</w:t>
      </w:r>
      <w:r w:rsidR="0006343E">
        <w:rPr>
          <w:lang w:val="fr-FR"/>
        </w:rPr>
        <w:t>’</w:t>
      </w:r>
      <w:r w:rsidRPr="004B2AF9">
        <w:rPr>
          <w:lang w:val="fr-FR"/>
        </w:rPr>
        <w:t>objection n</w:t>
      </w:r>
      <w:r w:rsidR="0006343E">
        <w:rPr>
          <w:lang w:val="fr-FR"/>
        </w:rPr>
        <w:t>’</w:t>
      </w:r>
      <w:r w:rsidRPr="004B2AF9">
        <w:rPr>
          <w:lang w:val="fr-FR"/>
        </w:rPr>
        <w:t>affectait pas les autres éléments de l</w:t>
      </w:r>
      <w:r w:rsidR="0006343E">
        <w:rPr>
          <w:lang w:val="fr-FR"/>
        </w:rPr>
        <w:t>’</w:t>
      </w:r>
      <w:r w:rsidRPr="004B2AF9">
        <w:rPr>
          <w:lang w:val="fr-FR"/>
        </w:rPr>
        <w:t>ensemble de propositions d</w:t>
      </w:r>
      <w:r w:rsidR="0006343E">
        <w:rPr>
          <w:lang w:val="fr-FR"/>
        </w:rPr>
        <w:t>’</w:t>
      </w:r>
      <w:r w:rsidRPr="004B2AF9">
        <w:rPr>
          <w:lang w:val="fr-FR"/>
        </w:rPr>
        <w:t>amendement.</w:t>
      </w:r>
    </w:p>
    <w:p w:rsidR="00D651C4" w:rsidRPr="004B2AF9" w:rsidRDefault="00D651C4" w:rsidP="00F8558C">
      <w:pPr>
        <w:pStyle w:val="SingleTxtG"/>
        <w:numPr>
          <w:ilvl w:val="0"/>
          <w:numId w:val="25"/>
        </w:numPr>
        <w:ind w:left="1134" w:firstLine="0"/>
        <w:rPr>
          <w:lang w:val="fr-FR"/>
        </w:rPr>
      </w:pPr>
      <w:r w:rsidRPr="004B2AF9">
        <w:rPr>
          <w:lang w:val="fr-FR"/>
        </w:rPr>
        <w:t>Le Groupe de travail a fait observer qu</w:t>
      </w:r>
      <w:r w:rsidR="0006343E">
        <w:rPr>
          <w:lang w:val="fr-FR"/>
        </w:rPr>
        <w:t>’</w:t>
      </w:r>
      <w:r w:rsidRPr="004B2AF9">
        <w:rPr>
          <w:lang w:val="fr-FR"/>
        </w:rPr>
        <w:t>il était possible de formuler une objection à l</w:t>
      </w:r>
      <w:r w:rsidR="0006343E">
        <w:rPr>
          <w:lang w:val="fr-FR"/>
        </w:rPr>
        <w:t>’</w:t>
      </w:r>
      <w:r w:rsidRPr="004B2AF9">
        <w:rPr>
          <w:lang w:val="fr-FR"/>
        </w:rPr>
        <w:t>égard d</w:t>
      </w:r>
      <w:r w:rsidR="0006343E">
        <w:rPr>
          <w:lang w:val="fr-FR"/>
        </w:rPr>
        <w:t>’</w:t>
      </w:r>
      <w:r w:rsidRPr="004B2AF9">
        <w:rPr>
          <w:lang w:val="fr-FR"/>
        </w:rPr>
        <w:t>une proposition d</w:t>
      </w:r>
      <w:r w:rsidR="0006343E">
        <w:rPr>
          <w:lang w:val="fr-FR"/>
        </w:rPr>
        <w:t>’</w:t>
      </w:r>
      <w:r w:rsidRPr="004B2AF9">
        <w:rPr>
          <w:lang w:val="fr-FR"/>
        </w:rPr>
        <w:t>amendement particulière, sous réserve que ladite proposition d</w:t>
      </w:r>
      <w:r w:rsidR="0006343E">
        <w:rPr>
          <w:lang w:val="fr-FR"/>
        </w:rPr>
        <w:t>’</w:t>
      </w:r>
      <w:r w:rsidRPr="004B2AF9">
        <w:rPr>
          <w:lang w:val="fr-FR"/>
        </w:rPr>
        <w:t>amendement puisse être examinée indépendamment des autres propositions d</w:t>
      </w:r>
      <w:r w:rsidR="0006343E">
        <w:rPr>
          <w:lang w:val="fr-FR"/>
        </w:rPr>
        <w:t>’</w:t>
      </w:r>
      <w:r w:rsidRPr="004B2AF9">
        <w:rPr>
          <w:lang w:val="fr-FR"/>
        </w:rPr>
        <w:t>amendement de l</w:t>
      </w:r>
      <w:r w:rsidR="0006343E">
        <w:rPr>
          <w:lang w:val="fr-FR"/>
        </w:rPr>
        <w:t>’</w:t>
      </w:r>
      <w:r w:rsidRPr="004B2AF9">
        <w:rPr>
          <w:lang w:val="fr-FR"/>
        </w:rPr>
        <w:t>ensemble dont elle faisait partie. Il a recommandé à tous les pays qui souhaiteraient à l</w:t>
      </w:r>
      <w:r w:rsidR="0006343E">
        <w:rPr>
          <w:lang w:val="fr-FR"/>
        </w:rPr>
        <w:t>’</w:t>
      </w:r>
      <w:r w:rsidRPr="004B2AF9">
        <w:rPr>
          <w:lang w:val="fr-FR"/>
        </w:rPr>
        <w:t>avenir formuler une objection conformément à l</w:t>
      </w:r>
      <w:r w:rsidR="0006343E">
        <w:rPr>
          <w:lang w:val="fr-FR"/>
        </w:rPr>
        <w:t>’</w:t>
      </w:r>
      <w:r w:rsidRPr="004B2AF9">
        <w:rPr>
          <w:lang w:val="fr-FR"/>
        </w:rPr>
        <w:t>article</w:t>
      </w:r>
      <w:r w:rsidR="004B3B33">
        <w:rPr>
          <w:lang w:val="fr-FR"/>
        </w:rPr>
        <w:t> </w:t>
      </w:r>
      <w:r w:rsidRPr="004B2AF9">
        <w:rPr>
          <w:lang w:val="fr-FR"/>
        </w:rPr>
        <w:t>18 de contacter préalablement le secrétariat, et a demandé à celui-ci de rédiger une note concernant ces questions à l</w:t>
      </w:r>
      <w:r w:rsidR="0006343E">
        <w:rPr>
          <w:lang w:val="fr-FR"/>
        </w:rPr>
        <w:t>’</w:t>
      </w:r>
      <w:r w:rsidRPr="004B2AF9">
        <w:rPr>
          <w:lang w:val="fr-FR"/>
        </w:rPr>
        <w:t>intention des Parties contractantes, tout particulièrement de celles qui ne participaient pas aux travaux du WP.11.</w:t>
      </w:r>
    </w:p>
    <w:p w:rsidR="00D651C4" w:rsidRPr="004B2AF9" w:rsidRDefault="00D651C4" w:rsidP="00F8558C">
      <w:pPr>
        <w:pStyle w:val="SingleTxtG"/>
        <w:numPr>
          <w:ilvl w:val="0"/>
          <w:numId w:val="25"/>
        </w:numPr>
        <w:ind w:left="1134" w:firstLine="0"/>
        <w:rPr>
          <w:lang w:val="fr-FR"/>
        </w:rPr>
      </w:pPr>
      <w:r w:rsidRPr="004B2AF9">
        <w:rPr>
          <w:lang w:val="fr-FR"/>
        </w:rPr>
        <w:t>Il a été décidé que les prescriptions relatives au débit d</w:t>
      </w:r>
      <w:r w:rsidR="0006343E">
        <w:rPr>
          <w:lang w:val="fr-FR"/>
        </w:rPr>
        <w:t>’</w:t>
      </w:r>
      <w:r w:rsidRPr="004B2AF9">
        <w:rPr>
          <w:lang w:val="fr-FR"/>
        </w:rPr>
        <w:t>air qui faisaient l</w:t>
      </w:r>
      <w:r w:rsidR="0006343E">
        <w:rPr>
          <w:lang w:val="fr-FR"/>
        </w:rPr>
        <w:t>’</w:t>
      </w:r>
      <w:r w:rsidRPr="004B2AF9">
        <w:rPr>
          <w:lang w:val="fr-FR"/>
        </w:rPr>
        <w:t>objet de l</w:t>
      </w:r>
      <w:r w:rsidR="0006343E">
        <w:rPr>
          <w:lang w:val="fr-FR"/>
        </w:rPr>
        <w:t>’</w:t>
      </w:r>
      <w:r w:rsidRPr="004B2AF9">
        <w:rPr>
          <w:lang w:val="fr-FR"/>
        </w:rPr>
        <w:t>objection de la Finlande seraient d</w:t>
      </w:r>
      <w:r w:rsidR="0006343E">
        <w:rPr>
          <w:lang w:val="fr-FR"/>
        </w:rPr>
        <w:t>’</w:t>
      </w:r>
      <w:r w:rsidRPr="004B2AF9">
        <w:rPr>
          <w:lang w:val="fr-FR"/>
        </w:rPr>
        <w:t xml:space="preserve">abord examinées par la </w:t>
      </w:r>
      <w:r w:rsidRPr="00F16773">
        <w:rPr>
          <w:lang w:val="fr-FR"/>
        </w:rPr>
        <w:t>sous-commission du transport réfrigéré de l</w:t>
      </w:r>
      <w:r w:rsidR="0006343E">
        <w:rPr>
          <w:lang w:val="fr-FR"/>
        </w:rPr>
        <w:t>’</w:t>
      </w:r>
      <w:r w:rsidRPr="00F16773">
        <w:rPr>
          <w:lang w:val="fr-FR"/>
        </w:rPr>
        <w:t>IIF</w:t>
      </w:r>
      <w:r w:rsidRPr="004B2AF9">
        <w:rPr>
          <w:lang w:val="fr-FR"/>
        </w:rPr>
        <w:t>.</w:t>
      </w:r>
    </w:p>
    <w:p w:rsidR="00D651C4" w:rsidRPr="004B2AF9" w:rsidRDefault="00D651C4" w:rsidP="00D651C4">
      <w:pPr>
        <w:pStyle w:val="H1G"/>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rPr>
          <w:lang w:val="fr-FR"/>
        </w:rPr>
      </w:pPr>
      <w:r w:rsidRPr="004B2AF9">
        <w:rPr>
          <w:lang w:val="fr-FR"/>
        </w:rPr>
        <w:tab/>
      </w:r>
      <w:bookmarkStart w:id="37" w:name="_Toc401568241"/>
      <w:bookmarkStart w:id="38" w:name="_Toc401568646"/>
      <w:bookmarkStart w:id="39" w:name="_Toc432670171"/>
      <w:r w:rsidRPr="004B2AF9">
        <w:rPr>
          <w:lang w:val="fr-FR"/>
        </w:rPr>
        <w:t>C.</w:t>
      </w:r>
      <w:r w:rsidRPr="004B2AF9">
        <w:rPr>
          <w:lang w:val="fr-FR"/>
        </w:rPr>
        <w:tab/>
      </w:r>
      <w:bookmarkEnd w:id="37"/>
      <w:bookmarkEnd w:id="38"/>
      <w:bookmarkEnd w:id="39"/>
      <w:r w:rsidRPr="004B2AF9">
        <w:rPr>
          <w:lang w:val="fr-FR"/>
        </w:rPr>
        <w:t>Stations d</w:t>
      </w:r>
      <w:r w:rsidR="0006343E">
        <w:rPr>
          <w:lang w:val="fr-FR"/>
        </w:rPr>
        <w:t>’</w:t>
      </w:r>
      <w:r w:rsidRPr="004B2AF9">
        <w:rPr>
          <w:lang w:val="fr-FR"/>
        </w:rPr>
        <w:t>essai officiellement désignées par l</w:t>
      </w:r>
      <w:r w:rsidR="0006343E">
        <w:rPr>
          <w:lang w:val="fr-FR"/>
        </w:rPr>
        <w:t>’</w:t>
      </w:r>
      <w:r w:rsidRPr="004B2AF9">
        <w:rPr>
          <w:lang w:val="fr-FR"/>
        </w:rPr>
        <w:t>autorité compétente</w:t>
      </w:r>
      <w:r>
        <w:rPr>
          <w:lang w:val="fr-FR"/>
        </w:rPr>
        <w:t xml:space="preserve"> </w:t>
      </w:r>
      <w:r w:rsidRPr="004B2AF9">
        <w:rPr>
          <w:lang w:val="fr-FR"/>
        </w:rPr>
        <w:br/>
        <w:t>des pays Parties à l</w:t>
      </w:r>
      <w:r w:rsidR="0006343E">
        <w:rPr>
          <w:lang w:val="fr-FR"/>
        </w:rPr>
        <w:t>’</w:t>
      </w:r>
      <w:r w:rsidRPr="004B2AF9">
        <w:rPr>
          <w:lang w:val="fr-FR"/>
        </w:rPr>
        <w:t>ATP</w:t>
      </w:r>
    </w:p>
    <w:p w:rsidR="00D651C4" w:rsidRPr="004B2AF9" w:rsidRDefault="00EA1151" w:rsidP="00EA1151">
      <w:pPr>
        <w:spacing w:after="120"/>
        <w:ind w:left="2268" w:right="1134" w:hanging="1134"/>
        <w:rPr>
          <w:lang w:val="fr-FR"/>
        </w:rPr>
      </w:pPr>
      <w:r>
        <w:rPr>
          <w:i/>
          <w:lang w:val="fr-FR"/>
        </w:rPr>
        <w:t>Document </w:t>
      </w:r>
      <w:r w:rsidRPr="00EA1151">
        <w:rPr>
          <w:lang w:val="fr-FR"/>
        </w:rPr>
        <w:t>:</w:t>
      </w:r>
      <w:r>
        <w:rPr>
          <w:i/>
          <w:lang w:val="fr-FR"/>
        </w:rPr>
        <w:tab/>
      </w:r>
      <w:r w:rsidR="00D651C4" w:rsidRPr="00EA1151">
        <w:rPr>
          <w:lang w:val="fr-FR"/>
        </w:rPr>
        <w:t>Document informel</w:t>
      </w:r>
      <w:r>
        <w:rPr>
          <w:lang w:val="fr-FR"/>
        </w:rPr>
        <w:t xml:space="preserve"> </w:t>
      </w:r>
      <w:r w:rsidR="00D651C4" w:rsidRPr="004B2AF9">
        <w:rPr>
          <w:lang w:val="fr-FR"/>
        </w:rPr>
        <w:t>INF.6 (secrétariat)</w:t>
      </w:r>
      <w:r w:rsidR="004B3B33">
        <w:rPr>
          <w:lang w:val="fr-FR"/>
        </w:rPr>
        <w:t>.</w:t>
      </w:r>
    </w:p>
    <w:p w:rsidR="00D651C4" w:rsidRPr="004B2AF9" w:rsidRDefault="00D651C4" w:rsidP="00F8558C">
      <w:pPr>
        <w:pStyle w:val="SingleTxtG"/>
        <w:numPr>
          <w:ilvl w:val="0"/>
          <w:numId w:val="25"/>
        </w:numPr>
        <w:ind w:left="1134" w:firstLine="0"/>
        <w:rPr>
          <w:lang w:val="fr-FR"/>
        </w:rPr>
      </w:pPr>
      <w:r w:rsidRPr="004B2AF9">
        <w:rPr>
          <w:lang w:val="fr-FR"/>
        </w:rPr>
        <w:t>Le Groupe de travail a pris note de la liste actualisée des autorités et stations d</w:t>
      </w:r>
      <w:r w:rsidR="0006343E">
        <w:rPr>
          <w:lang w:val="fr-FR"/>
        </w:rPr>
        <w:t>’</w:t>
      </w:r>
      <w:r w:rsidRPr="004B2AF9">
        <w:rPr>
          <w:lang w:val="fr-FR"/>
        </w:rPr>
        <w:t>essai officiellement désignées, qui peut également être consultée à l</w:t>
      </w:r>
      <w:r w:rsidR="0006343E">
        <w:rPr>
          <w:lang w:val="fr-FR"/>
        </w:rPr>
        <w:t>’</w:t>
      </w:r>
      <w:r w:rsidRPr="004B2AF9">
        <w:rPr>
          <w:lang w:val="fr-FR"/>
        </w:rPr>
        <w:t>adresse électronique suivante</w:t>
      </w:r>
      <w:r w:rsidR="00297993">
        <w:rPr>
          <w:lang w:val="fr-FR"/>
        </w:rPr>
        <w:t> </w:t>
      </w:r>
      <w:r w:rsidRPr="004B2AF9">
        <w:rPr>
          <w:lang w:val="fr-FR"/>
        </w:rPr>
        <w:t>: http://www.unece.org/trans/main/wp11/teststations.pdf.</w:t>
      </w:r>
    </w:p>
    <w:p w:rsidR="00D651C4" w:rsidRPr="004B2AF9" w:rsidRDefault="00D651C4" w:rsidP="00F8558C">
      <w:pPr>
        <w:pStyle w:val="SingleTxtG"/>
        <w:numPr>
          <w:ilvl w:val="0"/>
          <w:numId w:val="25"/>
        </w:numPr>
        <w:ind w:left="1134" w:firstLine="0"/>
        <w:rPr>
          <w:lang w:val="fr-FR"/>
        </w:rPr>
      </w:pPr>
      <w:r w:rsidRPr="004B2AF9">
        <w:rPr>
          <w:lang w:val="fr-FR"/>
        </w:rPr>
        <w:t>Le Groupe de travail a souligné qu</w:t>
      </w:r>
      <w:r w:rsidR="0006343E">
        <w:rPr>
          <w:lang w:val="fr-FR"/>
        </w:rPr>
        <w:t>’</w:t>
      </w:r>
      <w:r w:rsidRPr="004B2AF9">
        <w:rPr>
          <w:lang w:val="fr-FR"/>
        </w:rPr>
        <w:t>en cas de doute sur l</w:t>
      </w:r>
      <w:r w:rsidR="0006343E">
        <w:rPr>
          <w:lang w:val="fr-FR"/>
        </w:rPr>
        <w:t>’</w:t>
      </w:r>
      <w:r w:rsidRPr="004B2AF9">
        <w:rPr>
          <w:lang w:val="fr-FR"/>
        </w:rPr>
        <w:t>authenticité d</w:t>
      </w:r>
      <w:r w:rsidR="0006343E">
        <w:rPr>
          <w:lang w:val="fr-FR"/>
        </w:rPr>
        <w:t>’</w:t>
      </w:r>
      <w:r w:rsidRPr="004B2AF9">
        <w:rPr>
          <w:lang w:val="fr-FR"/>
        </w:rPr>
        <w:t>une attestation ATP, il était impératif de se mettre en rapport avec l</w:t>
      </w:r>
      <w:r w:rsidR="0006343E">
        <w:rPr>
          <w:lang w:val="fr-FR"/>
        </w:rPr>
        <w:t>’</w:t>
      </w:r>
      <w:r w:rsidRPr="004B2AF9">
        <w:rPr>
          <w:lang w:val="fr-FR"/>
        </w:rPr>
        <w:t>autorité compétente.</w:t>
      </w:r>
    </w:p>
    <w:p w:rsidR="00D651C4" w:rsidRPr="004B2AF9" w:rsidRDefault="00D651C4" w:rsidP="004B3B33">
      <w:pPr>
        <w:pStyle w:val="H1G"/>
        <w:rPr>
          <w:lang w:val="fr-FR"/>
        </w:rPr>
      </w:pPr>
      <w:r w:rsidRPr="004B2AF9">
        <w:rPr>
          <w:lang w:val="fr-FR"/>
        </w:rPr>
        <w:tab/>
      </w:r>
      <w:bookmarkStart w:id="40" w:name="_Toc401568242"/>
      <w:bookmarkStart w:id="41" w:name="_Toc401568647"/>
      <w:bookmarkStart w:id="42" w:name="_Toc432670172"/>
      <w:r w:rsidRPr="004B2AF9">
        <w:rPr>
          <w:lang w:val="fr-FR"/>
        </w:rPr>
        <w:t>D.</w:t>
      </w:r>
      <w:r w:rsidRPr="004B2AF9">
        <w:rPr>
          <w:lang w:val="fr-FR"/>
        </w:rPr>
        <w:tab/>
      </w:r>
      <w:bookmarkEnd w:id="40"/>
      <w:bookmarkEnd w:id="41"/>
      <w:bookmarkEnd w:id="42"/>
      <w:r w:rsidRPr="004B2AF9">
        <w:rPr>
          <w:lang w:val="fr-FR"/>
        </w:rPr>
        <w:t>Échange d</w:t>
      </w:r>
      <w:r w:rsidR="0006343E">
        <w:rPr>
          <w:lang w:val="fr-FR"/>
        </w:rPr>
        <w:t>’</w:t>
      </w:r>
      <w:r w:rsidRPr="004B2AF9">
        <w:rPr>
          <w:lang w:val="fr-FR"/>
        </w:rPr>
        <w:t>informations entre les Parties en vertu de l</w:t>
      </w:r>
      <w:r w:rsidR="0006343E">
        <w:rPr>
          <w:lang w:val="fr-FR"/>
        </w:rPr>
        <w:t>’</w:t>
      </w:r>
      <w:r w:rsidRPr="004B2AF9">
        <w:rPr>
          <w:lang w:val="fr-FR"/>
        </w:rPr>
        <w:t>article</w:t>
      </w:r>
      <w:r w:rsidR="004B3B33">
        <w:rPr>
          <w:lang w:val="fr-FR"/>
        </w:rPr>
        <w:t> </w:t>
      </w:r>
      <w:r w:rsidRPr="004B2AF9">
        <w:rPr>
          <w:lang w:val="fr-FR"/>
        </w:rPr>
        <w:t xml:space="preserve">6 </w:t>
      </w:r>
      <w:r w:rsidR="004B3B33">
        <w:rPr>
          <w:lang w:val="fr-FR"/>
        </w:rPr>
        <w:br/>
      </w:r>
      <w:r w:rsidRPr="004B2AF9">
        <w:rPr>
          <w:lang w:val="fr-FR"/>
        </w:rPr>
        <w:t>de l</w:t>
      </w:r>
      <w:r w:rsidR="0006343E">
        <w:rPr>
          <w:lang w:val="fr-FR"/>
        </w:rPr>
        <w:t>’</w:t>
      </w:r>
      <w:r w:rsidRPr="004B2AF9">
        <w:rPr>
          <w:lang w:val="fr-FR"/>
        </w:rPr>
        <w:t>ATP</w:t>
      </w:r>
    </w:p>
    <w:p w:rsidR="00D651C4" w:rsidRPr="004B2AF9" w:rsidRDefault="00D651C4" w:rsidP="00EA1151">
      <w:pPr>
        <w:spacing w:after="120"/>
        <w:ind w:left="2268" w:right="1134" w:hanging="1134"/>
        <w:rPr>
          <w:lang w:val="fr-FR"/>
        </w:rPr>
      </w:pPr>
      <w:r w:rsidRPr="004B2AF9">
        <w:rPr>
          <w:i/>
          <w:lang w:val="fr-FR"/>
        </w:rPr>
        <w:t>Documents</w:t>
      </w:r>
      <w:r w:rsidR="004B3B33">
        <w:rPr>
          <w:i/>
          <w:lang w:val="fr-FR"/>
        </w:rPr>
        <w:t> </w:t>
      </w:r>
      <w:r w:rsidRPr="004B2AF9">
        <w:rPr>
          <w:lang w:val="fr-FR"/>
        </w:rPr>
        <w:t>:</w:t>
      </w:r>
      <w:r w:rsidRPr="004B2AF9">
        <w:rPr>
          <w:lang w:val="fr-FR"/>
        </w:rPr>
        <w:tab/>
      </w:r>
      <w:r w:rsidRPr="004B2AF9">
        <w:rPr>
          <w:lang w:val="fr-FR"/>
        </w:rPr>
        <w:tab/>
        <w:t>ECE/TRANS/WP.11/2015/6 et Add.1 (secrétariat)</w:t>
      </w:r>
      <w:r w:rsidR="00EA1151">
        <w:rPr>
          <w:lang w:val="fr-FR"/>
        </w:rPr>
        <w:t xml:space="preserve"> </w:t>
      </w:r>
      <w:r w:rsidR="00EA1151">
        <w:rPr>
          <w:lang w:val="fr-FR"/>
        </w:rPr>
        <w:br/>
      </w:r>
      <w:r w:rsidRPr="00EA1151">
        <w:rPr>
          <w:lang w:val="fr-FR"/>
        </w:rPr>
        <w:t>Documents informels</w:t>
      </w:r>
      <w:r w:rsidR="00EA1151">
        <w:rPr>
          <w:lang w:val="fr-FR"/>
        </w:rPr>
        <w:t xml:space="preserve"> </w:t>
      </w:r>
      <w:r w:rsidRPr="004B2AF9">
        <w:rPr>
          <w:lang w:val="fr-FR"/>
        </w:rPr>
        <w:t>INF.2 (secrétariat)</w:t>
      </w:r>
      <w:r w:rsidR="004B3B33">
        <w:rPr>
          <w:lang w:val="fr-FR"/>
        </w:rPr>
        <w:t xml:space="preserve"> </w:t>
      </w:r>
      <w:r w:rsidR="00EA1151">
        <w:rPr>
          <w:lang w:val="fr-FR"/>
        </w:rPr>
        <w:t xml:space="preserve">et </w:t>
      </w:r>
      <w:r w:rsidRPr="004B2AF9">
        <w:rPr>
          <w:lang w:val="fr-FR"/>
        </w:rPr>
        <w:t>INF.5 (Espagne)</w:t>
      </w:r>
      <w:r w:rsidR="004B3B33">
        <w:rPr>
          <w:lang w:val="fr-FR"/>
        </w:rPr>
        <w:t>.</w:t>
      </w:r>
    </w:p>
    <w:p w:rsidR="00D651C4" w:rsidRPr="004B2AF9" w:rsidRDefault="00D651C4" w:rsidP="00F8558C">
      <w:pPr>
        <w:pStyle w:val="SingleTxtG"/>
        <w:numPr>
          <w:ilvl w:val="0"/>
          <w:numId w:val="25"/>
        </w:numPr>
        <w:ind w:left="1134" w:firstLine="0"/>
        <w:rPr>
          <w:lang w:val="fr-FR"/>
        </w:rPr>
      </w:pPr>
      <w:r w:rsidRPr="004B2AF9">
        <w:rPr>
          <w:lang w:val="fr-FR"/>
        </w:rPr>
        <w:t>Le Groupe de travail a remercié les 21 pays qui avaient répondu au questionnaire sur la mise en œuvre de l</w:t>
      </w:r>
      <w:r w:rsidR="0006343E">
        <w:rPr>
          <w:lang w:val="fr-FR"/>
        </w:rPr>
        <w:t>’</w:t>
      </w:r>
      <w:r w:rsidRPr="004B2AF9">
        <w:rPr>
          <w:lang w:val="fr-FR"/>
        </w:rPr>
        <w:t>ATP en 2014 et a souligné qu</w:t>
      </w:r>
      <w:r w:rsidR="0006343E">
        <w:rPr>
          <w:lang w:val="fr-FR"/>
        </w:rPr>
        <w:t>’</w:t>
      </w:r>
      <w:r w:rsidRPr="004B2AF9">
        <w:rPr>
          <w:lang w:val="fr-FR"/>
        </w:rPr>
        <w:t>il était important que toutes les Parties contractantes à l</w:t>
      </w:r>
      <w:r w:rsidR="0006343E">
        <w:rPr>
          <w:lang w:val="fr-FR"/>
        </w:rPr>
        <w:t>’</w:t>
      </w:r>
      <w:r w:rsidRPr="004B2AF9">
        <w:rPr>
          <w:lang w:val="fr-FR"/>
        </w:rPr>
        <w:t>Accord fournissent des renseignements. Il a pris note des réponses aux questions supplémentaires sur la mise en œuvre de l</w:t>
      </w:r>
      <w:r w:rsidR="0006343E">
        <w:rPr>
          <w:lang w:val="fr-FR"/>
        </w:rPr>
        <w:t>’</w:t>
      </w:r>
      <w:r w:rsidRPr="004B2AF9">
        <w:rPr>
          <w:lang w:val="fr-FR"/>
        </w:rPr>
        <w:t>ATP figurant dans le document INF.2 et des amendes imposées par l</w:t>
      </w:r>
      <w:r w:rsidR="0006343E">
        <w:rPr>
          <w:lang w:val="fr-FR"/>
        </w:rPr>
        <w:t>’</w:t>
      </w:r>
      <w:r w:rsidRPr="004B2AF9">
        <w:rPr>
          <w:lang w:val="fr-FR"/>
        </w:rPr>
        <w:t>Espagne pour non-respect de l</w:t>
      </w:r>
      <w:r w:rsidR="0006343E">
        <w:rPr>
          <w:lang w:val="fr-FR"/>
        </w:rPr>
        <w:t>’</w:t>
      </w:r>
      <w:r w:rsidRPr="004B2AF9">
        <w:rPr>
          <w:lang w:val="fr-FR"/>
        </w:rPr>
        <w:t>ATP (document informel</w:t>
      </w:r>
      <w:r w:rsidR="00436EC3">
        <w:rPr>
          <w:lang w:val="fr-FR"/>
        </w:rPr>
        <w:t> </w:t>
      </w:r>
      <w:r w:rsidRPr="004B2AF9">
        <w:rPr>
          <w:lang w:val="fr-FR"/>
        </w:rPr>
        <w:t>INF.5</w:t>
      </w:r>
      <w:r w:rsidR="004B3B33">
        <w:rPr>
          <w:lang w:val="fr-FR"/>
        </w:rPr>
        <w:t>).</w:t>
      </w:r>
    </w:p>
    <w:p w:rsidR="00D651C4" w:rsidRPr="004B2AF9" w:rsidRDefault="00D651C4" w:rsidP="00D651C4">
      <w:pPr>
        <w:pStyle w:val="H1G"/>
        <w:rPr>
          <w:lang w:val="fr-FR"/>
        </w:rPr>
      </w:pPr>
      <w:bookmarkStart w:id="43" w:name="_Toc401568243"/>
      <w:bookmarkStart w:id="44" w:name="_Toc401568648"/>
      <w:r w:rsidRPr="004B2AF9">
        <w:rPr>
          <w:lang w:val="fr-FR"/>
        </w:rPr>
        <w:tab/>
      </w:r>
      <w:bookmarkStart w:id="45" w:name="_Toc432670173"/>
      <w:r w:rsidRPr="004B2AF9">
        <w:rPr>
          <w:lang w:val="fr-FR"/>
        </w:rPr>
        <w:t>E.</w:t>
      </w:r>
      <w:r w:rsidRPr="004B2AF9">
        <w:rPr>
          <w:lang w:val="fr-FR"/>
        </w:rPr>
        <w:tab/>
      </w:r>
      <w:bookmarkEnd w:id="43"/>
      <w:bookmarkEnd w:id="44"/>
      <w:bookmarkEnd w:id="45"/>
      <w:r w:rsidRPr="004B2AF9">
        <w:rPr>
          <w:lang w:val="fr-FR"/>
        </w:rPr>
        <w:t>Échange d</w:t>
      </w:r>
      <w:r w:rsidR="0006343E">
        <w:rPr>
          <w:lang w:val="fr-FR"/>
        </w:rPr>
        <w:t>’</w:t>
      </w:r>
      <w:r w:rsidRPr="004B2AF9">
        <w:rPr>
          <w:lang w:val="fr-FR"/>
        </w:rPr>
        <w:t xml:space="preserve">informations sur les bonnes pratiques à adopter </w:t>
      </w:r>
      <w:r w:rsidRPr="004B2AF9">
        <w:rPr>
          <w:lang w:val="fr-FR"/>
        </w:rPr>
        <w:br/>
        <w:t>pour améliorer l</w:t>
      </w:r>
      <w:r w:rsidR="0006343E">
        <w:rPr>
          <w:lang w:val="fr-FR"/>
        </w:rPr>
        <w:t>’</w:t>
      </w:r>
      <w:r w:rsidRPr="004B2AF9">
        <w:rPr>
          <w:lang w:val="fr-FR"/>
        </w:rPr>
        <w:t>application de l</w:t>
      </w:r>
      <w:r w:rsidR="0006343E">
        <w:rPr>
          <w:lang w:val="fr-FR"/>
        </w:rPr>
        <w:t>’</w:t>
      </w:r>
      <w:r w:rsidRPr="004B2AF9">
        <w:rPr>
          <w:lang w:val="fr-FR"/>
        </w:rPr>
        <w:t>ATP</w:t>
      </w:r>
    </w:p>
    <w:p w:rsidR="00D651C4" w:rsidRPr="004B2AF9" w:rsidRDefault="00D651C4" w:rsidP="0031700D">
      <w:pPr>
        <w:spacing w:after="120"/>
        <w:ind w:left="2268" w:right="1134" w:hanging="1134"/>
        <w:rPr>
          <w:lang w:val="fr-FR"/>
        </w:rPr>
      </w:pPr>
      <w:r w:rsidRPr="004B2AF9">
        <w:rPr>
          <w:i/>
          <w:lang w:val="fr-FR"/>
        </w:rPr>
        <w:t>Documents</w:t>
      </w:r>
      <w:r w:rsidR="004B3B33">
        <w:rPr>
          <w:i/>
          <w:lang w:val="fr-FR"/>
        </w:rPr>
        <w:t> </w:t>
      </w:r>
      <w:r w:rsidRPr="004B2AF9">
        <w:rPr>
          <w:lang w:val="fr-FR"/>
        </w:rPr>
        <w:t>:</w:t>
      </w:r>
      <w:r w:rsidRPr="004B2AF9">
        <w:rPr>
          <w:lang w:val="fr-FR"/>
        </w:rPr>
        <w:tab/>
        <w:t>ECE/TRANS/WP.11/2015/4 (secrétariat)</w:t>
      </w:r>
      <w:r w:rsidR="004B3B33">
        <w:rPr>
          <w:lang w:val="fr-FR"/>
        </w:rPr>
        <w:t>,</w:t>
      </w:r>
      <w:r w:rsidR="0031700D">
        <w:rPr>
          <w:lang w:val="fr-FR"/>
        </w:rPr>
        <w:t xml:space="preserve"> </w:t>
      </w:r>
      <w:r w:rsidR="0031700D">
        <w:rPr>
          <w:lang w:val="fr-FR"/>
        </w:rPr>
        <w:br/>
      </w:r>
      <w:r w:rsidRPr="004B2AF9">
        <w:rPr>
          <w:lang w:val="fr-FR"/>
        </w:rPr>
        <w:t>ECE/TRANS/WP.11/2015/8 (Finlande)</w:t>
      </w:r>
      <w:r w:rsidR="004B3B33">
        <w:rPr>
          <w:lang w:val="fr-FR"/>
        </w:rPr>
        <w:t>.</w:t>
      </w:r>
    </w:p>
    <w:p w:rsidR="00D651C4" w:rsidRPr="004B2AF9" w:rsidRDefault="00D651C4" w:rsidP="00F8558C">
      <w:pPr>
        <w:pStyle w:val="SingleTxtG"/>
        <w:numPr>
          <w:ilvl w:val="0"/>
          <w:numId w:val="25"/>
        </w:numPr>
        <w:ind w:left="1134" w:firstLine="0"/>
        <w:rPr>
          <w:lang w:val="fr-FR"/>
        </w:rPr>
      </w:pPr>
      <w:r w:rsidRPr="004B2AF9">
        <w:rPr>
          <w:lang w:val="fr-FR"/>
        </w:rPr>
        <w:t xml:space="preserve">Le Groupe de travail a pris note des propositions présentées dans le document du secrétariat visant à créer sur la page Web </w:t>
      </w:r>
      <w:r>
        <w:rPr>
          <w:lang w:val="fr-FR"/>
        </w:rPr>
        <w:t>de celui-ci</w:t>
      </w:r>
      <w:r w:rsidRPr="004B2AF9">
        <w:rPr>
          <w:lang w:val="fr-FR"/>
        </w:rPr>
        <w:t xml:space="preserve"> une base de données contenant les modèles d</w:t>
      </w:r>
      <w:r w:rsidR="0006343E">
        <w:rPr>
          <w:lang w:val="fr-FR"/>
        </w:rPr>
        <w:t>’</w:t>
      </w:r>
      <w:r w:rsidRPr="004B2AF9">
        <w:rPr>
          <w:lang w:val="fr-FR"/>
        </w:rPr>
        <w:t>attestation, et de la recommandation tendant à ce que les autorités compétentes tiennent à jour sur leurs sites Web respectifs des listes de toutes les attestations délivrées afin que les organismes de contrôle puissent plus facilement vérifier l</w:t>
      </w:r>
      <w:r w:rsidR="0006343E">
        <w:rPr>
          <w:lang w:val="fr-FR"/>
        </w:rPr>
        <w:t>’</w:t>
      </w:r>
      <w:r w:rsidRPr="004B2AF9">
        <w:rPr>
          <w:lang w:val="fr-FR"/>
        </w:rPr>
        <w:t>authenticité des attestations. La Fédération de Russie a estimé qu</w:t>
      </w:r>
      <w:r w:rsidR="0006343E">
        <w:rPr>
          <w:lang w:val="fr-FR"/>
        </w:rPr>
        <w:t>’</w:t>
      </w:r>
      <w:r w:rsidRPr="004B2AF9">
        <w:rPr>
          <w:lang w:val="fr-FR"/>
        </w:rPr>
        <w:t>il devrait être fait obligation à toutes les autorités compétentes de présenter une telle liste sur leurs sites Web respectifs.</w:t>
      </w:r>
    </w:p>
    <w:p w:rsidR="00D651C4" w:rsidRPr="004B2AF9" w:rsidRDefault="00D651C4" w:rsidP="00F8558C">
      <w:pPr>
        <w:pStyle w:val="SingleTxtG"/>
        <w:numPr>
          <w:ilvl w:val="0"/>
          <w:numId w:val="25"/>
        </w:numPr>
        <w:ind w:left="1134" w:firstLine="0"/>
        <w:rPr>
          <w:lang w:val="fr-FR"/>
        </w:rPr>
      </w:pPr>
      <w:r w:rsidRPr="004B2AF9">
        <w:rPr>
          <w:lang w:val="fr-FR"/>
        </w:rPr>
        <w:t>Certains pays se sont opposés à ces propositions et ont énuméré les problèmes qui pou</w:t>
      </w:r>
      <w:r>
        <w:rPr>
          <w:lang w:val="fr-FR"/>
        </w:rPr>
        <w:t>rr</w:t>
      </w:r>
      <w:r w:rsidRPr="004B2AF9">
        <w:rPr>
          <w:lang w:val="fr-FR"/>
        </w:rPr>
        <w:t xml:space="preserve">aient se poser </w:t>
      </w:r>
      <w:r>
        <w:rPr>
          <w:lang w:val="fr-FR"/>
        </w:rPr>
        <w:t>eu égard aux</w:t>
      </w:r>
      <w:r w:rsidRPr="004B2AF9">
        <w:rPr>
          <w:lang w:val="fr-FR"/>
        </w:rPr>
        <w:t xml:space="preserve"> règles relatives à la confidentialité des données si les informations en question pouvaient être consultées sur Internet.</w:t>
      </w:r>
    </w:p>
    <w:p w:rsidR="00D651C4" w:rsidRPr="004B2AF9" w:rsidRDefault="00D651C4" w:rsidP="00F8558C">
      <w:pPr>
        <w:pStyle w:val="SingleTxtG"/>
        <w:numPr>
          <w:ilvl w:val="0"/>
          <w:numId w:val="25"/>
        </w:numPr>
        <w:ind w:left="1134" w:firstLine="0"/>
        <w:rPr>
          <w:lang w:val="fr-FR"/>
        </w:rPr>
      </w:pPr>
      <w:r w:rsidRPr="004B2AF9">
        <w:rPr>
          <w:lang w:val="fr-FR"/>
        </w:rPr>
        <w:t>Dans son document, la Finlande a demandé aux autres pays ce qu</w:t>
      </w:r>
      <w:r>
        <w:rPr>
          <w:lang w:val="fr-FR"/>
        </w:rPr>
        <w:t>e</w:t>
      </w:r>
      <w:r w:rsidRPr="004B2AF9">
        <w:rPr>
          <w:lang w:val="fr-FR"/>
        </w:rPr>
        <w:t xml:space="preserve"> faisaient</w:t>
      </w:r>
      <w:r w:rsidRPr="00E2273F">
        <w:rPr>
          <w:lang w:val="fr-FR"/>
        </w:rPr>
        <w:t xml:space="preserve"> </w:t>
      </w:r>
      <w:r>
        <w:rPr>
          <w:lang w:val="fr-FR"/>
        </w:rPr>
        <w:t>leurs</w:t>
      </w:r>
      <w:r w:rsidRPr="004B2AF9">
        <w:rPr>
          <w:lang w:val="fr-FR"/>
        </w:rPr>
        <w:t xml:space="preserve"> services douaniers</w:t>
      </w:r>
      <w:r>
        <w:rPr>
          <w:lang w:val="fr-FR"/>
        </w:rPr>
        <w:t xml:space="preserve"> lorsqu</w:t>
      </w:r>
      <w:r w:rsidR="0006343E">
        <w:rPr>
          <w:lang w:val="fr-FR"/>
        </w:rPr>
        <w:t>’</w:t>
      </w:r>
      <w:r>
        <w:rPr>
          <w:lang w:val="fr-FR"/>
        </w:rPr>
        <w:t>ils</w:t>
      </w:r>
      <w:r w:rsidRPr="004B2AF9">
        <w:rPr>
          <w:lang w:val="fr-FR"/>
        </w:rPr>
        <w:t xml:space="preserve"> constataient lors de contrôles que des engins ne satisfaisaient pas aux prescriptions de l</w:t>
      </w:r>
      <w:r w:rsidR="0006343E">
        <w:rPr>
          <w:lang w:val="fr-FR"/>
        </w:rPr>
        <w:t>’</w:t>
      </w:r>
      <w:r w:rsidRPr="004B2AF9">
        <w:rPr>
          <w:lang w:val="fr-FR"/>
        </w:rPr>
        <w:t>ATP. En Finlande, les services douaniers étaient tenus de vérifier que les règles relatives à la température étaient respectées. Si tel était le cas, les engins pouvaient poursuivre leur route jusqu</w:t>
      </w:r>
      <w:r w:rsidR="0006343E">
        <w:rPr>
          <w:lang w:val="fr-FR"/>
        </w:rPr>
        <w:t>’</w:t>
      </w:r>
      <w:r w:rsidRPr="004B2AF9">
        <w:rPr>
          <w:lang w:val="fr-FR"/>
        </w:rPr>
        <w:t xml:space="preserve">à leur destination finale, où les autorités locales de santé étaient alors tenues de vérifier pendant le déchargement que les produits transportés satisfaisaient aux prescriptions en question. </w:t>
      </w:r>
    </w:p>
    <w:p w:rsidR="00D651C4" w:rsidRPr="004B2AF9" w:rsidRDefault="00D651C4" w:rsidP="00F8558C">
      <w:pPr>
        <w:pStyle w:val="SingleTxtG"/>
        <w:numPr>
          <w:ilvl w:val="0"/>
          <w:numId w:val="25"/>
        </w:numPr>
        <w:ind w:left="1134" w:firstLine="0"/>
        <w:rPr>
          <w:rFonts w:eastAsia="Calibri"/>
          <w:lang w:val="fr-FR"/>
        </w:rPr>
      </w:pPr>
      <w:r w:rsidRPr="004B2AF9">
        <w:rPr>
          <w:lang w:val="fr-FR"/>
        </w:rPr>
        <w:t>Il a été décidé que le secrétariat demanderait aux pays de répondre à un questionnaire sur les procédures, pénalités ou autres mesures appliquées lorsque les prescriptions de l</w:t>
      </w:r>
      <w:r w:rsidR="0006343E">
        <w:rPr>
          <w:lang w:val="fr-FR"/>
        </w:rPr>
        <w:t>’</w:t>
      </w:r>
      <w:r w:rsidRPr="004B2AF9">
        <w:rPr>
          <w:lang w:val="fr-FR"/>
        </w:rPr>
        <w:t>ATP n</w:t>
      </w:r>
      <w:r w:rsidR="0006343E">
        <w:rPr>
          <w:lang w:val="fr-FR"/>
        </w:rPr>
        <w:t>’</w:t>
      </w:r>
      <w:r w:rsidRPr="004B2AF9">
        <w:rPr>
          <w:lang w:val="fr-FR"/>
        </w:rPr>
        <w:t>étaient pas respectées</w:t>
      </w:r>
      <w:r w:rsidRPr="004B2AF9">
        <w:rPr>
          <w:rFonts w:eastAsia="Calibri"/>
          <w:lang w:val="fr-FR"/>
        </w:rPr>
        <w:t>.</w:t>
      </w:r>
    </w:p>
    <w:p w:rsidR="00D651C4" w:rsidRPr="006652DF" w:rsidRDefault="00D651C4" w:rsidP="006652DF">
      <w:pPr>
        <w:pStyle w:val="H1G"/>
      </w:pPr>
      <w:r w:rsidRPr="004B2AF9">
        <w:rPr>
          <w:lang w:val="fr-FR"/>
        </w:rPr>
        <w:tab/>
      </w:r>
      <w:bookmarkStart w:id="46" w:name="_Toc401568244"/>
      <w:bookmarkStart w:id="47" w:name="_Toc401568649"/>
      <w:bookmarkStart w:id="48" w:name="_Toc432670174"/>
      <w:r w:rsidRPr="004B2AF9">
        <w:rPr>
          <w:lang w:val="fr-FR"/>
        </w:rPr>
        <w:t>F.</w:t>
      </w:r>
      <w:r w:rsidRPr="004B2AF9">
        <w:rPr>
          <w:lang w:val="fr-FR"/>
        </w:rPr>
        <w:tab/>
      </w:r>
      <w:bookmarkEnd w:id="46"/>
      <w:bookmarkEnd w:id="47"/>
      <w:bookmarkEnd w:id="48"/>
      <w:r w:rsidRPr="004B2AF9">
        <w:rPr>
          <w:lang w:val="fr-FR"/>
        </w:rPr>
        <w:t>Interprétation de l</w:t>
      </w:r>
      <w:r w:rsidR="0006343E">
        <w:rPr>
          <w:lang w:val="fr-FR"/>
        </w:rPr>
        <w:t>’</w:t>
      </w:r>
      <w:r w:rsidRPr="004B2AF9">
        <w:rPr>
          <w:lang w:val="fr-FR"/>
        </w:rPr>
        <w:t>ATP</w:t>
      </w:r>
    </w:p>
    <w:p w:rsidR="00D651C4" w:rsidRPr="004B2AF9" w:rsidRDefault="00D651C4" w:rsidP="00F8558C">
      <w:pPr>
        <w:pStyle w:val="SingleTxtG"/>
        <w:numPr>
          <w:ilvl w:val="0"/>
          <w:numId w:val="25"/>
        </w:numPr>
        <w:ind w:left="1134" w:firstLine="0"/>
        <w:rPr>
          <w:rFonts w:eastAsia="SimSun"/>
          <w:lang w:val="fr-FR" w:eastAsia="zh-CN"/>
        </w:rPr>
      </w:pPr>
      <w:r w:rsidRPr="004B2AF9">
        <w:rPr>
          <w:lang w:val="fr-FR"/>
        </w:rPr>
        <w:t>Aucun débat n</w:t>
      </w:r>
      <w:r w:rsidR="0006343E">
        <w:rPr>
          <w:lang w:val="fr-FR"/>
        </w:rPr>
        <w:t>’</w:t>
      </w:r>
      <w:r w:rsidRPr="004B2AF9">
        <w:rPr>
          <w:lang w:val="fr-FR"/>
        </w:rPr>
        <w:t>a été tenu au titre de ce point de l</w:t>
      </w:r>
      <w:r w:rsidR="0006343E">
        <w:rPr>
          <w:lang w:val="fr-FR"/>
        </w:rPr>
        <w:t>’</w:t>
      </w:r>
      <w:r w:rsidRPr="004B2AF9">
        <w:rPr>
          <w:lang w:val="fr-FR"/>
        </w:rPr>
        <w:t>ordre du jour</w:t>
      </w:r>
      <w:r w:rsidRPr="004B2AF9">
        <w:rPr>
          <w:rFonts w:eastAsia="SimSun"/>
          <w:lang w:val="fr-FR" w:eastAsia="zh-CN"/>
        </w:rPr>
        <w:t>.</w:t>
      </w:r>
    </w:p>
    <w:p w:rsidR="00D651C4" w:rsidRPr="004B2AF9" w:rsidRDefault="00D651C4" w:rsidP="00D651C4">
      <w:pPr>
        <w:pStyle w:val="HChG"/>
        <w:rPr>
          <w:lang w:val="fr-FR"/>
        </w:rPr>
      </w:pPr>
      <w:r w:rsidRPr="004B2AF9">
        <w:rPr>
          <w:szCs w:val="24"/>
          <w:lang w:val="fr-FR"/>
        </w:rPr>
        <w:tab/>
      </w:r>
      <w:bookmarkStart w:id="49" w:name="_Toc401568245"/>
      <w:bookmarkStart w:id="50" w:name="_Toc401568650"/>
      <w:bookmarkStart w:id="51" w:name="_Toc432670175"/>
      <w:r w:rsidRPr="004B2AF9">
        <w:rPr>
          <w:lang w:val="fr-FR"/>
        </w:rPr>
        <w:t>VI.</w:t>
      </w:r>
      <w:r w:rsidRPr="004B2AF9">
        <w:rPr>
          <w:lang w:val="fr-FR"/>
        </w:rPr>
        <w:tab/>
        <w:t>Propositions d</w:t>
      </w:r>
      <w:r w:rsidR="0006343E">
        <w:rPr>
          <w:lang w:val="fr-FR"/>
        </w:rPr>
        <w:t>’</w:t>
      </w:r>
      <w:r w:rsidRPr="004B2AF9">
        <w:rPr>
          <w:lang w:val="fr-FR"/>
        </w:rPr>
        <w:t>amendement à l</w:t>
      </w:r>
      <w:r w:rsidR="0006343E">
        <w:rPr>
          <w:lang w:val="fr-FR"/>
        </w:rPr>
        <w:t>’</w:t>
      </w:r>
      <w:r w:rsidRPr="004B2AF9">
        <w:rPr>
          <w:lang w:val="fr-FR"/>
        </w:rPr>
        <w:t xml:space="preserve">ATP </w:t>
      </w:r>
      <w:r w:rsidRPr="004B2AF9">
        <w:rPr>
          <w:lang w:val="fr-FR"/>
        </w:rPr>
        <w:br/>
        <w:t>(point 5 de l</w:t>
      </w:r>
      <w:r w:rsidR="0006343E">
        <w:rPr>
          <w:lang w:val="fr-FR"/>
        </w:rPr>
        <w:t>’</w:t>
      </w:r>
      <w:r w:rsidRPr="004B2AF9">
        <w:rPr>
          <w:lang w:val="fr-FR"/>
        </w:rPr>
        <w:t>ordre du jour)</w:t>
      </w:r>
      <w:bookmarkEnd w:id="49"/>
      <w:bookmarkEnd w:id="50"/>
      <w:bookmarkEnd w:id="51"/>
    </w:p>
    <w:p w:rsidR="00D651C4" w:rsidRPr="004B2AF9" w:rsidRDefault="00D651C4" w:rsidP="00D651C4">
      <w:pPr>
        <w:pStyle w:val="H1G"/>
        <w:rPr>
          <w:lang w:val="fr-FR"/>
        </w:rPr>
      </w:pPr>
      <w:r w:rsidRPr="004B2AF9">
        <w:rPr>
          <w:lang w:val="fr-FR"/>
        </w:rPr>
        <w:tab/>
      </w:r>
      <w:bookmarkStart w:id="52" w:name="_Toc401568246"/>
      <w:bookmarkStart w:id="53" w:name="_Toc401568651"/>
      <w:bookmarkStart w:id="54" w:name="_Toc432670176"/>
      <w:r w:rsidRPr="004B2AF9">
        <w:rPr>
          <w:lang w:val="fr-FR"/>
        </w:rPr>
        <w:t>A.</w:t>
      </w:r>
      <w:r w:rsidRPr="004B2AF9">
        <w:rPr>
          <w:lang w:val="fr-FR"/>
        </w:rPr>
        <w:tab/>
      </w:r>
      <w:bookmarkEnd w:id="52"/>
      <w:bookmarkEnd w:id="53"/>
      <w:bookmarkEnd w:id="54"/>
      <w:r w:rsidRPr="004B2AF9">
        <w:rPr>
          <w:lang w:val="fr-FR"/>
        </w:rPr>
        <w:t>Propositions en suspens</w:t>
      </w:r>
    </w:p>
    <w:p w:rsidR="00D651C4" w:rsidRPr="004B2AF9" w:rsidRDefault="00D651C4" w:rsidP="00D651C4">
      <w:pPr>
        <w:pStyle w:val="H23G"/>
        <w:rPr>
          <w:lang w:val="fr-FR"/>
        </w:rPr>
      </w:pPr>
      <w:r w:rsidRPr="004B2AF9">
        <w:rPr>
          <w:lang w:val="fr-FR"/>
        </w:rPr>
        <w:tab/>
      </w:r>
      <w:bookmarkStart w:id="55" w:name="_Toc432670177"/>
      <w:r w:rsidRPr="004B2AF9">
        <w:rPr>
          <w:lang w:val="fr-FR"/>
        </w:rPr>
        <w:t>1.</w:t>
      </w:r>
      <w:r w:rsidRPr="004B2AF9">
        <w:rPr>
          <w:lang w:val="fr-FR"/>
        </w:rPr>
        <w:tab/>
      </w:r>
      <w:bookmarkEnd w:id="55"/>
      <w:r w:rsidRPr="004B2AF9">
        <w:rPr>
          <w:lang w:val="fr-FR"/>
        </w:rPr>
        <w:t>Éclaircissements concernant l</w:t>
      </w:r>
      <w:r w:rsidR="0006343E">
        <w:rPr>
          <w:lang w:val="fr-FR"/>
        </w:rPr>
        <w:t>’</w:t>
      </w:r>
      <w:r w:rsidRPr="004B2AF9">
        <w:rPr>
          <w:lang w:val="fr-FR"/>
        </w:rPr>
        <w:t>expression «</w:t>
      </w:r>
      <w:r w:rsidR="004B3B33">
        <w:rPr>
          <w:lang w:val="fr-FR"/>
        </w:rPr>
        <w:t> </w:t>
      </w:r>
      <w:r w:rsidRPr="004B2AF9">
        <w:rPr>
          <w:lang w:val="fr-FR"/>
        </w:rPr>
        <w:t>immatriculé ou enregistré</w:t>
      </w:r>
      <w:r w:rsidR="004B3B33">
        <w:rPr>
          <w:lang w:val="fr-FR"/>
        </w:rPr>
        <w:t> </w:t>
      </w:r>
      <w:r w:rsidRPr="004B2AF9">
        <w:rPr>
          <w:lang w:val="fr-FR"/>
        </w:rPr>
        <w:t xml:space="preserve">» </w:t>
      </w:r>
      <w:r w:rsidRPr="004B2AF9">
        <w:rPr>
          <w:lang w:val="fr-FR"/>
        </w:rPr>
        <w:br/>
        <w:t>dans l</w:t>
      </w:r>
      <w:r w:rsidR="0006343E">
        <w:rPr>
          <w:lang w:val="fr-FR"/>
        </w:rPr>
        <w:t>’</w:t>
      </w:r>
      <w:r w:rsidRPr="004B2AF9">
        <w:rPr>
          <w:lang w:val="fr-FR"/>
        </w:rPr>
        <w:t>appendice 1 de l</w:t>
      </w:r>
      <w:r w:rsidR="0006343E">
        <w:rPr>
          <w:lang w:val="fr-FR"/>
        </w:rPr>
        <w:t>’</w:t>
      </w:r>
      <w:r w:rsidRPr="004B2AF9">
        <w:rPr>
          <w:lang w:val="fr-FR"/>
        </w:rPr>
        <w:t>annexe 1</w:t>
      </w:r>
    </w:p>
    <w:p w:rsidR="00D651C4" w:rsidRPr="004B2AF9" w:rsidRDefault="00D651C4" w:rsidP="0031700D">
      <w:pPr>
        <w:spacing w:after="120"/>
        <w:ind w:left="2268" w:right="1134" w:hanging="1134"/>
        <w:rPr>
          <w:lang w:val="fr-FR"/>
        </w:rPr>
      </w:pPr>
      <w:r w:rsidRPr="004B2AF9">
        <w:rPr>
          <w:i/>
          <w:lang w:val="fr-FR"/>
        </w:rPr>
        <w:t>Document</w:t>
      </w:r>
      <w:r w:rsidR="004B3B33">
        <w:rPr>
          <w:i/>
          <w:lang w:val="fr-FR"/>
        </w:rPr>
        <w:t> </w:t>
      </w:r>
      <w:r w:rsidRPr="004B3B33">
        <w:rPr>
          <w:lang w:val="fr-FR"/>
        </w:rPr>
        <w:t>:</w:t>
      </w:r>
      <w:r w:rsidRPr="004B2AF9">
        <w:rPr>
          <w:lang w:val="fr-FR"/>
        </w:rPr>
        <w:tab/>
      </w:r>
      <w:r w:rsidRPr="004B2AF9">
        <w:rPr>
          <w:lang w:val="fr-FR"/>
        </w:rPr>
        <w:tab/>
        <w:t>ECE/TRANS/WP.11/2015/14 (Belgique)</w:t>
      </w:r>
      <w:r w:rsidR="004B3B33">
        <w:rPr>
          <w:lang w:val="fr-FR"/>
        </w:rPr>
        <w:t>.</w:t>
      </w:r>
    </w:p>
    <w:p w:rsidR="00D651C4" w:rsidRPr="004B2AF9" w:rsidRDefault="00D651C4" w:rsidP="00F8558C">
      <w:pPr>
        <w:pStyle w:val="SingleTxtG"/>
        <w:numPr>
          <w:ilvl w:val="0"/>
          <w:numId w:val="25"/>
        </w:numPr>
        <w:ind w:left="1134" w:firstLine="0"/>
        <w:rPr>
          <w:lang w:val="fr-FR"/>
        </w:rPr>
      </w:pPr>
      <w:r w:rsidRPr="004B2AF9">
        <w:rPr>
          <w:lang w:val="fr-FR"/>
        </w:rPr>
        <w:t>La Belgique a estimé que, dans l</w:t>
      </w:r>
      <w:r w:rsidR="0006343E">
        <w:rPr>
          <w:lang w:val="fr-FR"/>
        </w:rPr>
        <w:t>’</w:t>
      </w:r>
      <w:r w:rsidRPr="004B2AF9">
        <w:rPr>
          <w:lang w:val="fr-FR"/>
        </w:rPr>
        <w:t>appendice 1 de l</w:t>
      </w:r>
      <w:r w:rsidR="0006343E">
        <w:rPr>
          <w:lang w:val="fr-FR"/>
        </w:rPr>
        <w:t>’</w:t>
      </w:r>
      <w:r w:rsidRPr="004B2AF9">
        <w:rPr>
          <w:lang w:val="fr-FR"/>
        </w:rPr>
        <w:t xml:space="preserve">annexe 1, le mot </w:t>
      </w:r>
      <w:r>
        <w:rPr>
          <w:lang w:val="fr-FR"/>
        </w:rPr>
        <w:t>«</w:t>
      </w:r>
      <w:r w:rsidR="004B3B33">
        <w:rPr>
          <w:lang w:val="fr-FR"/>
        </w:rPr>
        <w:t> </w:t>
      </w:r>
      <w:r w:rsidRPr="004B2AF9">
        <w:rPr>
          <w:lang w:val="fr-FR"/>
        </w:rPr>
        <w:t>enregistré</w:t>
      </w:r>
      <w:r w:rsidR="004B3B33">
        <w:rPr>
          <w:lang w:val="fr-FR"/>
        </w:rPr>
        <w:t> </w:t>
      </w:r>
      <w:r>
        <w:rPr>
          <w:lang w:val="fr-FR"/>
        </w:rPr>
        <w:t>»</w:t>
      </w:r>
      <w:r w:rsidRPr="004B2AF9">
        <w:rPr>
          <w:lang w:val="fr-FR"/>
        </w:rPr>
        <w:t xml:space="preserve"> venant après le mot </w:t>
      </w:r>
      <w:r>
        <w:rPr>
          <w:lang w:val="fr-FR"/>
        </w:rPr>
        <w:t>«</w:t>
      </w:r>
      <w:r w:rsidR="004B3B33">
        <w:rPr>
          <w:lang w:val="fr-FR"/>
        </w:rPr>
        <w:t> </w:t>
      </w:r>
      <w:r w:rsidRPr="004B2AF9">
        <w:rPr>
          <w:lang w:val="fr-FR"/>
        </w:rPr>
        <w:t>immatriculé</w:t>
      </w:r>
      <w:r w:rsidR="004B3B33">
        <w:rPr>
          <w:lang w:val="fr-FR"/>
        </w:rPr>
        <w:t> </w:t>
      </w:r>
      <w:r>
        <w:rPr>
          <w:lang w:val="fr-FR"/>
        </w:rPr>
        <w:t>»</w:t>
      </w:r>
      <w:r w:rsidRPr="004B2AF9">
        <w:rPr>
          <w:lang w:val="fr-FR"/>
        </w:rPr>
        <w:t xml:space="preserve"> ne s</w:t>
      </w:r>
      <w:r w:rsidR="0006343E">
        <w:rPr>
          <w:lang w:val="fr-FR"/>
        </w:rPr>
        <w:t>’</w:t>
      </w:r>
      <w:r w:rsidRPr="004B2AF9">
        <w:rPr>
          <w:lang w:val="fr-FR"/>
        </w:rPr>
        <w:t>appliquait que si l</w:t>
      </w:r>
      <w:r w:rsidR="0006343E">
        <w:rPr>
          <w:lang w:val="fr-FR"/>
        </w:rPr>
        <w:t>’</w:t>
      </w:r>
      <w:r w:rsidRPr="004B2AF9">
        <w:rPr>
          <w:lang w:val="fr-FR"/>
        </w:rPr>
        <w:t xml:space="preserve">engin ne pouvait pas être immatriculé. </w:t>
      </w:r>
      <w:r w:rsidRPr="004B2AF9">
        <w:rPr>
          <w:spacing w:val="2"/>
          <w:lang w:val="fr-FR"/>
        </w:rPr>
        <w:t xml:space="preserve">Le mot </w:t>
      </w:r>
      <w:r>
        <w:rPr>
          <w:spacing w:val="2"/>
          <w:lang w:val="fr-FR"/>
        </w:rPr>
        <w:t>«</w:t>
      </w:r>
      <w:r w:rsidR="004B3B33">
        <w:rPr>
          <w:spacing w:val="2"/>
          <w:lang w:val="fr-FR"/>
        </w:rPr>
        <w:t> </w:t>
      </w:r>
      <w:r w:rsidRPr="004B2AF9">
        <w:rPr>
          <w:spacing w:val="2"/>
          <w:lang w:val="fr-FR"/>
        </w:rPr>
        <w:t>ou</w:t>
      </w:r>
      <w:r w:rsidR="004B3B33">
        <w:rPr>
          <w:spacing w:val="2"/>
          <w:lang w:val="fr-FR"/>
        </w:rPr>
        <w:t> </w:t>
      </w:r>
      <w:r>
        <w:rPr>
          <w:spacing w:val="2"/>
          <w:lang w:val="fr-FR"/>
        </w:rPr>
        <w:t>»</w:t>
      </w:r>
      <w:r w:rsidRPr="004B2AF9">
        <w:rPr>
          <w:spacing w:val="2"/>
          <w:lang w:val="fr-FR"/>
        </w:rPr>
        <w:t xml:space="preserve"> n</w:t>
      </w:r>
      <w:r w:rsidR="0006343E">
        <w:rPr>
          <w:spacing w:val="2"/>
          <w:lang w:val="fr-FR"/>
        </w:rPr>
        <w:t>’</w:t>
      </w:r>
      <w:r w:rsidRPr="004B2AF9">
        <w:rPr>
          <w:spacing w:val="2"/>
          <w:lang w:val="fr-FR"/>
        </w:rPr>
        <w:t>impliquait donc pas la possibilité d</w:t>
      </w:r>
      <w:r w:rsidR="0006343E">
        <w:rPr>
          <w:spacing w:val="2"/>
          <w:lang w:val="fr-FR"/>
        </w:rPr>
        <w:t>’</w:t>
      </w:r>
      <w:r w:rsidRPr="004B2AF9">
        <w:rPr>
          <w:spacing w:val="2"/>
          <w:lang w:val="fr-FR"/>
        </w:rPr>
        <w:t>un choix. L</w:t>
      </w:r>
      <w:r w:rsidR="0006343E">
        <w:rPr>
          <w:spacing w:val="2"/>
          <w:lang w:val="fr-FR"/>
        </w:rPr>
        <w:t>’</w:t>
      </w:r>
      <w:r w:rsidRPr="004B2AF9">
        <w:rPr>
          <w:spacing w:val="2"/>
          <w:lang w:val="fr-FR"/>
        </w:rPr>
        <w:t>idée était que, s</w:t>
      </w:r>
      <w:r w:rsidR="0006343E">
        <w:rPr>
          <w:spacing w:val="2"/>
          <w:lang w:val="fr-FR"/>
        </w:rPr>
        <w:t>’</w:t>
      </w:r>
      <w:r w:rsidRPr="004B2AF9">
        <w:rPr>
          <w:spacing w:val="2"/>
          <w:lang w:val="fr-FR"/>
        </w:rPr>
        <w:t>il n</w:t>
      </w:r>
      <w:r w:rsidR="0006343E">
        <w:rPr>
          <w:spacing w:val="2"/>
          <w:lang w:val="fr-FR"/>
        </w:rPr>
        <w:t>’</w:t>
      </w:r>
      <w:r w:rsidRPr="004B2AF9">
        <w:rPr>
          <w:spacing w:val="2"/>
          <w:lang w:val="fr-FR"/>
        </w:rPr>
        <w:t>était pas possible d</w:t>
      </w:r>
      <w:r w:rsidR="0006343E">
        <w:rPr>
          <w:spacing w:val="2"/>
          <w:lang w:val="fr-FR"/>
        </w:rPr>
        <w:t>’</w:t>
      </w:r>
      <w:r w:rsidRPr="004B2AF9">
        <w:rPr>
          <w:spacing w:val="2"/>
          <w:lang w:val="fr-FR"/>
        </w:rPr>
        <w:t>immatriculer l</w:t>
      </w:r>
      <w:r w:rsidR="0006343E">
        <w:rPr>
          <w:spacing w:val="2"/>
          <w:lang w:val="fr-FR"/>
        </w:rPr>
        <w:t>’</w:t>
      </w:r>
      <w:r w:rsidRPr="004B2AF9">
        <w:rPr>
          <w:spacing w:val="2"/>
          <w:lang w:val="fr-FR"/>
        </w:rPr>
        <w:t>engin (cas d</w:t>
      </w:r>
      <w:r w:rsidR="0006343E">
        <w:rPr>
          <w:spacing w:val="2"/>
          <w:lang w:val="fr-FR"/>
        </w:rPr>
        <w:t>’</w:t>
      </w:r>
      <w:r w:rsidRPr="004B2AF9">
        <w:rPr>
          <w:spacing w:val="2"/>
          <w:lang w:val="fr-FR"/>
        </w:rPr>
        <w:t>un conteneur, par exemple), celui-ci devait alors être enregistré dans le pays où était établi son propriétaire</w:t>
      </w:r>
      <w:r w:rsidRPr="004B2AF9">
        <w:rPr>
          <w:lang w:val="fr-FR"/>
        </w:rPr>
        <w:t>.</w:t>
      </w:r>
    </w:p>
    <w:p w:rsidR="00D651C4" w:rsidRPr="004B2AF9" w:rsidRDefault="00D651C4" w:rsidP="00F8558C">
      <w:pPr>
        <w:pStyle w:val="SingleTxtG"/>
        <w:numPr>
          <w:ilvl w:val="0"/>
          <w:numId w:val="25"/>
        </w:numPr>
        <w:ind w:left="1134" w:firstLine="0"/>
        <w:rPr>
          <w:lang w:val="fr-FR"/>
        </w:rPr>
      </w:pPr>
      <w:r w:rsidRPr="004B2AF9">
        <w:rPr>
          <w:lang w:val="fr-FR"/>
        </w:rPr>
        <w:t>Les Pays-Bas ont fait valoir que la proposition nécessitait de mettre en place des mesures transitoires et qu</w:t>
      </w:r>
      <w:r w:rsidR="0006343E">
        <w:rPr>
          <w:lang w:val="fr-FR"/>
        </w:rPr>
        <w:t>’</w:t>
      </w:r>
      <w:r w:rsidRPr="004B2AF9">
        <w:rPr>
          <w:lang w:val="fr-FR"/>
        </w:rPr>
        <w:t>il n</w:t>
      </w:r>
      <w:r w:rsidR="0006343E">
        <w:rPr>
          <w:lang w:val="fr-FR"/>
        </w:rPr>
        <w:t>’</w:t>
      </w:r>
      <w:r w:rsidRPr="004B2AF9">
        <w:rPr>
          <w:lang w:val="fr-FR"/>
        </w:rPr>
        <w:t>y était pas tenu compte de la possibilité qu</w:t>
      </w:r>
      <w:r w:rsidR="0006343E">
        <w:rPr>
          <w:lang w:val="fr-FR"/>
        </w:rPr>
        <w:t>’</w:t>
      </w:r>
      <w:r w:rsidRPr="004B2AF9">
        <w:rPr>
          <w:lang w:val="fr-FR"/>
        </w:rPr>
        <w:t>un engin soit immatriculé dans un pays et enregistré dans un autre. Plusieurs représentants se sont interrogés sur la nécessité de mesures transitoires en la matière et sur la possibilité d</w:t>
      </w:r>
      <w:r w:rsidR="0006343E">
        <w:rPr>
          <w:lang w:val="fr-FR"/>
        </w:rPr>
        <w:t>’</w:t>
      </w:r>
      <w:r w:rsidRPr="004B2AF9">
        <w:rPr>
          <w:lang w:val="fr-FR"/>
        </w:rPr>
        <w:t>immatriculer un engin dans un pays et de l</w:t>
      </w:r>
      <w:r w:rsidR="0006343E">
        <w:rPr>
          <w:lang w:val="fr-FR"/>
        </w:rPr>
        <w:t>’</w:t>
      </w:r>
      <w:r w:rsidRPr="004B2AF9">
        <w:rPr>
          <w:lang w:val="fr-FR"/>
        </w:rPr>
        <w:t>enregistrer dans un autre dans le cadre de l</w:t>
      </w:r>
      <w:r w:rsidR="0006343E">
        <w:rPr>
          <w:lang w:val="fr-FR"/>
        </w:rPr>
        <w:t>’</w:t>
      </w:r>
      <w:r w:rsidRPr="004B2AF9">
        <w:rPr>
          <w:lang w:val="fr-FR"/>
        </w:rPr>
        <w:t>ATP.</w:t>
      </w:r>
    </w:p>
    <w:p w:rsidR="00D651C4" w:rsidRPr="004B2AF9" w:rsidRDefault="00D651C4" w:rsidP="00F8558C">
      <w:pPr>
        <w:pStyle w:val="SingleTxtG"/>
        <w:numPr>
          <w:ilvl w:val="0"/>
          <w:numId w:val="25"/>
        </w:numPr>
        <w:ind w:left="1134" w:firstLine="0"/>
        <w:rPr>
          <w:lang w:val="fr-FR"/>
        </w:rPr>
      </w:pPr>
      <w:r w:rsidRPr="004B2AF9">
        <w:rPr>
          <w:lang w:val="fr-FR"/>
        </w:rPr>
        <w:t>Un pays a formulé une objection à la proposition et la Belgique a été invitée à établir, en coopération avec les Pays-Bas, une proposition révisée pour la session suivante.</w:t>
      </w:r>
    </w:p>
    <w:p w:rsidR="00D651C4" w:rsidRPr="004B2AF9" w:rsidRDefault="00D651C4" w:rsidP="00D651C4">
      <w:pPr>
        <w:pStyle w:val="H23G"/>
        <w:rPr>
          <w:lang w:val="fr-FR"/>
        </w:rPr>
      </w:pPr>
      <w:r w:rsidRPr="004B2AF9">
        <w:rPr>
          <w:lang w:val="fr-FR"/>
        </w:rPr>
        <w:tab/>
      </w:r>
      <w:bookmarkStart w:id="56" w:name="_Toc401568261"/>
      <w:bookmarkStart w:id="57" w:name="_Toc401568666"/>
      <w:bookmarkStart w:id="58" w:name="_Toc432670178"/>
      <w:r w:rsidRPr="004B2AF9">
        <w:rPr>
          <w:lang w:val="fr-FR"/>
        </w:rPr>
        <w:t>2.</w:t>
      </w:r>
      <w:r w:rsidRPr="004B2AF9">
        <w:rPr>
          <w:lang w:val="fr-FR"/>
        </w:rPr>
        <w:tab/>
      </w:r>
      <w:bookmarkEnd w:id="56"/>
      <w:bookmarkEnd w:id="57"/>
      <w:bookmarkEnd w:id="58"/>
      <w:r w:rsidRPr="004B2AF9">
        <w:rPr>
          <w:lang w:val="fr-FR"/>
        </w:rPr>
        <w:t>Validité des attestations délivrées à des engins fabriqués en vue d</w:t>
      </w:r>
      <w:r w:rsidR="0006343E">
        <w:rPr>
          <w:lang w:val="fr-FR"/>
        </w:rPr>
        <w:t>’</w:t>
      </w:r>
      <w:r w:rsidRPr="004B2AF9">
        <w:rPr>
          <w:lang w:val="fr-FR"/>
        </w:rPr>
        <w:t xml:space="preserve">être transférés </w:t>
      </w:r>
      <w:r w:rsidR="001F2966">
        <w:rPr>
          <w:lang w:val="fr-FR"/>
        </w:rPr>
        <w:br/>
      </w:r>
      <w:r w:rsidRPr="004B2AF9">
        <w:rPr>
          <w:lang w:val="fr-FR"/>
        </w:rPr>
        <w:t>dans un autre pays</w:t>
      </w:r>
    </w:p>
    <w:p w:rsidR="00D651C4" w:rsidRPr="004B2AF9" w:rsidRDefault="00D651C4" w:rsidP="0031700D">
      <w:pPr>
        <w:spacing w:after="120"/>
        <w:ind w:left="2268" w:right="1134" w:hanging="1134"/>
        <w:rPr>
          <w:lang w:val="fr-FR"/>
        </w:rPr>
      </w:pPr>
      <w:r w:rsidRPr="004B2AF9">
        <w:rPr>
          <w:i/>
          <w:lang w:val="fr-FR"/>
        </w:rPr>
        <w:t>Document</w:t>
      </w:r>
      <w:r w:rsidR="0031700D">
        <w:rPr>
          <w:i/>
          <w:lang w:val="fr-FR"/>
        </w:rPr>
        <w:t>s</w:t>
      </w:r>
      <w:r w:rsidR="004B3B33">
        <w:rPr>
          <w:i/>
          <w:lang w:val="fr-FR"/>
        </w:rPr>
        <w:t> </w:t>
      </w:r>
      <w:r w:rsidRPr="004B2AF9">
        <w:rPr>
          <w:lang w:val="fr-FR"/>
        </w:rPr>
        <w:t>:</w:t>
      </w:r>
      <w:r w:rsidRPr="004B2AF9">
        <w:rPr>
          <w:lang w:val="fr-FR"/>
        </w:rPr>
        <w:tab/>
      </w:r>
      <w:r w:rsidRPr="004B2AF9">
        <w:rPr>
          <w:lang w:val="fr-FR"/>
        </w:rPr>
        <w:tab/>
        <w:t>ECE/TRANS/WP.11/2014/21 (France)</w:t>
      </w:r>
      <w:r w:rsidR="0031700D">
        <w:rPr>
          <w:lang w:val="fr-FR"/>
        </w:rPr>
        <w:t xml:space="preserve"> </w:t>
      </w:r>
      <w:r w:rsidR="0031700D">
        <w:rPr>
          <w:lang w:val="fr-FR"/>
        </w:rPr>
        <w:br/>
      </w:r>
      <w:r w:rsidRPr="0031700D">
        <w:rPr>
          <w:lang w:val="fr-FR"/>
        </w:rPr>
        <w:t>Document informel</w:t>
      </w:r>
      <w:r w:rsidR="0031700D">
        <w:rPr>
          <w:lang w:val="fr-FR"/>
        </w:rPr>
        <w:t xml:space="preserve"> </w:t>
      </w:r>
      <w:r w:rsidRPr="0031700D">
        <w:rPr>
          <w:lang w:val="fr-FR"/>
        </w:rPr>
        <w:t xml:space="preserve">INF.17 </w:t>
      </w:r>
      <w:r w:rsidRPr="004B2AF9">
        <w:rPr>
          <w:lang w:val="fr-FR"/>
        </w:rPr>
        <w:t>(Pays-Bas)</w:t>
      </w:r>
      <w:r w:rsidR="004B3B33">
        <w:rPr>
          <w:lang w:val="fr-FR"/>
        </w:rPr>
        <w:t>.</w:t>
      </w:r>
    </w:p>
    <w:p w:rsidR="00D651C4" w:rsidRPr="004B2AF9" w:rsidRDefault="00D651C4" w:rsidP="00F8558C">
      <w:pPr>
        <w:pStyle w:val="SingleTxtG"/>
        <w:numPr>
          <w:ilvl w:val="0"/>
          <w:numId w:val="25"/>
        </w:numPr>
        <w:ind w:left="1134" w:firstLine="0"/>
        <w:rPr>
          <w:lang w:val="fr-FR"/>
        </w:rPr>
      </w:pPr>
      <w:r w:rsidRPr="004B2AF9">
        <w:rPr>
          <w:lang w:val="fr-FR"/>
        </w:rPr>
        <w:t>La France avait demandé que sa proposition de la session précédente soit maintenue à l</w:t>
      </w:r>
      <w:r w:rsidR="0006343E">
        <w:rPr>
          <w:lang w:val="fr-FR"/>
        </w:rPr>
        <w:t>’</w:t>
      </w:r>
      <w:r w:rsidRPr="004B2AF9">
        <w:rPr>
          <w:lang w:val="fr-FR"/>
        </w:rPr>
        <w:t>ordre du jour de la soixante et onzième session. Cette proposition visait à autoriser la délivrance d</w:t>
      </w:r>
      <w:r w:rsidR="0006343E">
        <w:rPr>
          <w:lang w:val="fr-FR"/>
        </w:rPr>
        <w:t>’</w:t>
      </w:r>
      <w:r w:rsidRPr="004B2AF9">
        <w:rPr>
          <w:lang w:val="fr-FR"/>
        </w:rPr>
        <w:t>attestations valides pendant trois mois, qui ne pourrait être renouvelées qu</w:t>
      </w:r>
      <w:r w:rsidR="0006343E">
        <w:rPr>
          <w:lang w:val="fr-FR"/>
        </w:rPr>
        <w:t>’</w:t>
      </w:r>
      <w:r w:rsidRPr="004B2AF9">
        <w:rPr>
          <w:lang w:val="fr-FR"/>
        </w:rPr>
        <w:t>une seule fois dans le cas d</w:t>
      </w:r>
      <w:r w:rsidR="0006343E">
        <w:rPr>
          <w:lang w:val="fr-FR"/>
        </w:rPr>
        <w:t>’</w:t>
      </w:r>
      <w:r w:rsidRPr="004B2AF9">
        <w:rPr>
          <w:lang w:val="fr-FR"/>
        </w:rPr>
        <w:t>engins fabriqués en vue d</w:t>
      </w:r>
      <w:r w:rsidR="0006343E">
        <w:rPr>
          <w:lang w:val="fr-FR"/>
        </w:rPr>
        <w:t>’</w:t>
      </w:r>
      <w:r w:rsidRPr="004B2AF9">
        <w:rPr>
          <w:lang w:val="fr-FR"/>
        </w:rPr>
        <w:t>être transférés dans un autre pays dans lequel existerait une autorité compétente en activité. La France a fait valoir que cette proposition complét</w:t>
      </w:r>
      <w:r>
        <w:rPr>
          <w:lang w:val="fr-FR"/>
        </w:rPr>
        <w:t>er</w:t>
      </w:r>
      <w:r w:rsidRPr="004B2AF9">
        <w:rPr>
          <w:lang w:val="fr-FR"/>
        </w:rPr>
        <w:t>ait la décision d</w:t>
      </w:r>
      <w:r w:rsidR="0006343E">
        <w:rPr>
          <w:lang w:val="fr-FR"/>
        </w:rPr>
        <w:t>’</w:t>
      </w:r>
      <w:r w:rsidRPr="004B2AF9">
        <w:rPr>
          <w:lang w:val="fr-FR"/>
        </w:rPr>
        <w:t xml:space="preserve">accorder une durée de validité de six mois aux attestations provisoires. </w:t>
      </w:r>
      <w:r w:rsidRPr="004B2AF9">
        <w:rPr>
          <w:spacing w:val="2"/>
          <w:lang w:val="fr-FR"/>
        </w:rPr>
        <w:t xml:space="preserve">La </w:t>
      </w:r>
      <w:r w:rsidRPr="004B2AF9">
        <w:rPr>
          <w:lang w:val="fr-FR"/>
        </w:rPr>
        <w:t>délivrance d</w:t>
      </w:r>
      <w:r w:rsidR="0006343E">
        <w:rPr>
          <w:lang w:val="fr-FR"/>
        </w:rPr>
        <w:t>’</w:t>
      </w:r>
      <w:r w:rsidRPr="004B2AF9">
        <w:rPr>
          <w:lang w:val="fr-FR"/>
        </w:rPr>
        <w:t>attestations valides pendant six ans aux engins fabriqués en vue d</w:t>
      </w:r>
      <w:r w:rsidR="0006343E">
        <w:rPr>
          <w:lang w:val="fr-FR"/>
        </w:rPr>
        <w:t>’</w:t>
      </w:r>
      <w:r w:rsidRPr="004B2AF9">
        <w:rPr>
          <w:lang w:val="fr-FR"/>
        </w:rPr>
        <w:t>être transférés dans un autre pays créait des conditions de concurrence déloyales.</w:t>
      </w:r>
    </w:p>
    <w:p w:rsidR="00D651C4" w:rsidRPr="004B2AF9" w:rsidRDefault="00D651C4" w:rsidP="00F8558C">
      <w:pPr>
        <w:pStyle w:val="SingleTxtG"/>
        <w:numPr>
          <w:ilvl w:val="0"/>
          <w:numId w:val="25"/>
        </w:numPr>
        <w:ind w:left="1134" w:firstLine="0"/>
        <w:rPr>
          <w:lang w:val="fr-FR"/>
        </w:rPr>
      </w:pPr>
      <w:r w:rsidRPr="004B2AF9">
        <w:rPr>
          <w:lang w:val="fr-FR"/>
        </w:rPr>
        <w:t>Plusieurs pays ont appuyé la proposition. Les États-Unis ont estimé que ces attestations devraient être valides pendant six ans si les engins avaient subi avec succès les essais relatifs au coefficient K. Les Pays-Bas ont exprimé le souhait que le texte proposé soit placé à l</w:t>
      </w:r>
      <w:r w:rsidR="0006343E">
        <w:rPr>
          <w:lang w:val="fr-FR"/>
        </w:rPr>
        <w:t>’</w:t>
      </w:r>
      <w:r w:rsidRPr="004B2AF9">
        <w:rPr>
          <w:lang w:val="fr-FR"/>
        </w:rPr>
        <w:t>alinéa</w:t>
      </w:r>
      <w:r w:rsidR="001F2966">
        <w:rPr>
          <w:lang w:val="fr-FR"/>
        </w:rPr>
        <w:t> </w:t>
      </w:r>
      <w:r w:rsidRPr="004B2AF9">
        <w:rPr>
          <w:lang w:val="fr-FR"/>
        </w:rPr>
        <w:t>b) du paragraphe</w:t>
      </w:r>
      <w:r w:rsidR="001F2966">
        <w:rPr>
          <w:lang w:val="fr-FR"/>
        </w:rPr>
        <w:t> 3 de l</w:t>
      </w:r>
      <w:r w:rsidR="0006343E">
        <w:rPr>
          <w:lang w:val="fr-FR"/>
        </w:rPr>
        <w:t>’</w:t>
      </w:r>
      <w:r w:rsidR="001F2966">
        <w:rPr>
          <w:lang w:val="fr-FR"/>
        </w:rPr>
        <w:t>appendice 1 de l</w:t>
      </w:r>
      <w:r w:rsidR="0006343E">
        <w:rPr>
          <w:lang w:val="fr-FR"/>
        </w:rPr>
        <w:t>’</w:t>
      </w:r>
      <w:r w:rsidR="001F2966">
        <w:rPr>
          <w:lang w:val="fr-FR"/>
        </w:rPr>
        <w:t>annexe </w:t>
      </w:r>
      <w:r w:rsidRPr="004B2AF9">
        <w:rPr>
          <w:lang w:val="fr-FR"/>
        </w:rPr>
        <w:t>1.</w:t>
      </w:r>
    </w:p>
    <w:p w:rsidR="00D651C4" w:rsidRPr="004B2AF9" w:rsidRDefault="00D651C4" w:rsidP="00F8558C">
      <w:pPr>
        <w:pStyle w:val="SingleTxtG"/>
        <w:numPr>
          <w:ilvl w:val="0"/>
          <w:numId w:val="25"/>
        </w:numPr>
        <w:ind w:left="1134" w:firstLine="0"/>
        <w:rPr>
          <w:lang w:val="fr-FR"/>
        </w:rPr>
      </w:pPr>
      <w:r w:rsidRPr="004B2AF9">
        <w:rPr>
          <w:lang w:val="fr-FR"/>
        </w:rPr>
        <w:t>Il a été décidé qu</w:t>
      </w:r>
      <w:r w:rsidR="0006343E">
        <w:rPr>
          <w:lang w:val="fr-FR"/>
        </w:rPr>
        <w:t>’</w:t>
      </w:r>
      <w:r w:rsidRPr="004B2AF9">
        <w:rPr>
          <w:lang w:val="fr-FR"/>
        </w:rPr>
        <w:t>un petit groupe réviserait la proposition au cours de la session.</w:t>
      </w:r>
    </w:p>
    <w:p w:rsidR="00D651C4" w:rsidRPr="004B2AF9" w:rsidRDefault="00D651C4" w:rsidP="00F8558C">
      <w:pPr>
        <w:pStyle w:val="SingleTxtG"/>
        <w:numPr>
          <w:ilvl w:val="0"/>
          <w:numId w:val="25"/>
        </w:numPr>
        <w:ind w:left="1134" w:firstLine="0"/>
        <w:rPr>
          <w:lang w:val="fr-FR"/>
        </w:rPr>
      </w:pPr>
      <w:r w:rsidRPr="004B2AF9">
        <w:rPr>
          <w:lang w:val="fr-FR"/>
        </w:rPr>
        <w:t>L</w:t>
      </w:r>
      <w:r w:rsidR="0006343E">
        <w:rPr>
          <w:lang w:val="fr-FR"/>
        </w:rPr>
        <w:t>’</w:t>
      </w:r>
      <w:r w:rsidRPr="004B2AF9">
        <w:rPr>
          <w:lang w:val="fr-FR"/>
        </w:rPr>
        <w:t>Allemagne s</w:t>
      </w:r>
      <w:r w:rsidR="0006343E">
        <w:rPr>
          <w:lang w:val="fr-FR"/>
        </w:rPr>
        <w:t>’</w:t>
      </w:r>
      <w:r w:rsidRPr="004B2AF9">
        <w:rPr>
          <w:lang w:val="fr-FR"/>
        </w:rPr>
        <w:t>est dite opposée à la proposition révisée élaborée au cours de la session (document informel INF.17), estimant que certains pays ne disposaient pas d</w:t>
      </w:r>
      <w:r w:rsidR="0006343E">
        <w:rPr>
          <w:lang w:val="fr-FR"/>
        </w:rPr>
        <w:t>’</w:t>
      </w:r>
      <w:r w:rsidRPr="004B2AF9">
        <w:rPr>
          <w:lang w:val="fr-FR"/>
        </w:rPr>
        <w:t>une autorité compétente qui pourrait délivrer une nouvelle attestation.</w:t>
      </w:r>
    </w:p>
    <w:p w:rsidR="00D651C4" w:rsidRPr="004B2AF9" w:rsidRDefault="00D651C4" w:rsidP="00F8558C">
      <w:pPr>
        <w:pStyle w:val="SingleTxtG"/>
        <w:numPr>
          <w:ilvl w:val="0"/>
          <w:numId w:val="25"/>
        </w:numPr>
        <w:ind w:left="1134" w:firstLine="0"/>
        <w:rPr>
          <w:lang w:val="fr-FR"/>
        </w:rPr>
      </w:pPr>
      <w:r w:rsidRPr="004B2AF9">
        <w:rPr>
          <w:lang w:val="fr-FR"/>
        </w:rPr>
        <w:t>Les voix se sont réparties comme suit</w:t>
      </w:r>
      <w:r w:rsidR="001F2966">
        <w:rPr>
          <w:lang w:val="fr-FR"/>
        </w:rPr>
        <w:t> </w:t>
      </w:r>
      <w:r w:rsidRPr="004B2AF9">
        <w:rPr>
          <w:lang w:val="fr-FR"/>
        </w:rPr>
        <w:t>: 7</w:t>
      </w:r>
      <w:r w:rsidR="001F2966">
        <w:rPr>
          <w:lang w:val="fr-FR"/>
        </w:rPr>
        <w:t> </w:t>
      </w:r>
      <w:r w:rsidRPr="004B2AF9">
        <w:rPr>
          <w:lang w:val="fr-FR"/>
        </w:rPr>
        <w:t>pays ont voté pour la proposition (Danemark, Espagne, Finlande, France, Luxembourg, Pays-Bas et Royaume-Uni) et 1</w:t>
      </w:r>
      <w:r w:rsidR="001F2966">
        <w:rPr>
          <w:lang w:val="fr-FR"/>
        </w:rPr>
        <w:t> </w:t>
      </w:r>
      <w:r w:rsidRPr="004B2AF9">
        <w:rPr>
          <w:lang w:val="fr-FR"/>
        </w:rPr>
        <w:t>contre (Allemagne).</w:t>
      </w:r>
    </w:p>
    <w:p w:rsidR="00D651C4" w:rsidRPr="004B2AF9" w:rsidRDefault="00D651C4" w:rsidP="00D651C4">
      <w:pPr>
        <w:pStyle w:val="H23G"/>
        <w:rPr>
          <w:lang w:val="fr-FR"/>
        </w:rPr>
      </w:pPr>
      <w:r w:rsidRPr="004B2AF9">
        <w:rPr>
          <w:lang w:val="fr-FR"/>
        </w:rPr>
        <w:tab/>
      </w:r>
      <w:bookmarkStart w:id="59" w:name="_Toc401568254"/>
      <w:bookmarkStart w:id="60" w:name="_Toc401568659"/>
      <w:bookmarkStart w:id="61" w:name="_Toc432670179"/>
      <w:r w:rsidRPr="004B2AF9">
        <w:rPr>
          <w:lang w:val="fr-FR"/>
        </w:rPr>
        <w:t>3.</w:t>
      </w:r>
      <w:r w:rsidRPr="004B2AF9">
        <w:rPr>
          <w:lang w:val="fr-FR"/>
        </w:rPr>
        <w:tab/>
      </w:r>
      <w:bookmarkEnd w:id="59"/>
      <w:bookmarkEnd w:id="60"/>
      <w:bookmarkEnd w:id="61"/>
      <w:r w:rsidRPr="004B2AF9">
        <w:rPr>
          <w:lang w:val="fr-FR"/>
        </w:rPr>
        <w:t>Mesure de la surface extérieure des fourgons</w:t>
      </w:r>
    </w:p>
    <w:p w:rsidR="00D651C4" w:rsidRPr="004B2AF9" w:rsidRDefault="00D651C4" w:rsidP="0031700D">
      <w:pPr>
        <w:spacing w:after="120"/>
        <w:ind w:left="2268" w:right="1134" w:hanging="1134"/>
        <w:rPr>
          <w:lang w:val="fr-FR"/>
        </w:rPr>
      </w:pPr>
      <w:r w:rsidRPr="004B2AF9">
        <w:rPr>
          <w:i/>
          <w:lang w:val="fr-FR"/>
        </w:rPr>
        <w:t>Document</w:t>
      </w:r>
      <w:r w:rsidR="001F2966">
        <w:rPr>
          <w:i/>
          <w:lang w:val="fr-FR"/>
        </w:rPr>
        <w:t> </w:t>
      </w:r>
      <w:r w:rsidRPr="004B2AF9">
        <w:rPr>
          <w:lang w:val="fr-FR"/>
        </w:rPr>
        <w:t>:</w:t>
      </w:r>
      <w:r w:rsidRPr="004B2AF9">
        <w:rPr>
          <w:lang w:val="fr-FR"/>
        </w:rPr>
        <w:tab/>
      </w:r>
      <w:r w:rsidRPr="004B2AF9">
        <w:rPr>
          <w:lang w:val="fr-FR"/>
        </w:rPr>
        <w:tab/>
        <w:t>ECE/TRANS/WP.11/2015/2 (Royaume-Uni)</w:t>
      </w:r>
      <w:r w:rsidR="001F2966">
        <w:rPr>
          <w:lang w:val="fr-FR"/>
        </w:rPr>
        <w:t>.</w:t>
      </w:r>
    </w:p>
    <w:p w:rsidR="00D651C4" w:rsidRPr="004B2AF9" w:rsidRDefault="00D651C4" w:rsidP="001F2966">
      <w:pPr>
        <w:pStyle w:val="SingleTxtG"/>
        <w:numPr>
          <w:ilvl w:val="0"/>
          <w:numId w:val="25"/>
        </w:numPr>
        <w:ind w:left="1134" w:firstLine="0"/>
        <w:rPr>
          <w:lang w:val="fr-FR"/>
        </w:rPr>
      </w:pPr>
      <w:r w:rsidRPr="004B2AF9">
        <w:rPr>
          <w:lang w:val="fr-FR"/>
        </w:rPr>
        <w:t>À la soixante-dixième session, l</w:t>
      </w:r>
      <w:r w:rsidR="0006343E">
        <w:rPr>
          <w:lang w:val="fr-FR"/>
        </w:rPr>
        <w:t>’</w:t>
      </w:r>
      <w:r w:rsidRPr="004B2AF9">
        <w:rPr>
          <w:lang w:val="fr-FR"/>
        </w:rPr>
        <w:t>Allemagne avait voté contre la proposition, au motif qu</w:t>
      </w:r>
      <w:r w:rsidR="0006343E">
        <w:rPr>
          <w:lang w:val="fr-FR"/>
        </w:rPr>
        <w:t>’</w:t>
      </w:r>
      <w:r w:rsidRPr="004B2AF9">
        <w:rPr>
          <w:lang w:val="fr-FR"/>
        </w:rPr>
        <w:t>il manquait encore des amendements à apporter au modèle de procès-verbal d</w:t>
      </w:r>
      <w:r w:rsidR="0006343E">
        <w:rPr>
          <w:lang w:val="fr-FR"/>
        </w:rPr>
        <w:t>’</w:t>
      </w:r>
      <w:r w:rsidRPr="004B2AF9">
        <w:rPr>
          <w:lang w:val="fr-FR"/>
        </w:rPr>
        <w:t>essai. Celui-ci avait fait l</w:t>
      </w:r>
      <w:r w:rsidR="0006343E">
        <w:rPr>
          <w:lang w:val="fr-FR"/>
        </w:rPr>
        <w:t>’</w:t>
      </w:r>
      <w:r w:rsidRPr="004B2AF9">
        <w:rPr>
          <w:lang w:val="fr-FR"/>
        </w:rPr>
        <w:t>objet de déb</w:t>
      </w:r>
      <w:r>
        <w:rPr>
          <w:lang w:val="fr-FR"/>
        </w:rPr>
        <w:t xml:space="preserve">ats à la réunion de 2015 de la </w:t>
      </w:r>
      <w:r w:rsidRPr="00F16773">
        <w:rPr>
          <w:lang w:val="fr-FR"/>
        </w:rPr>
        <w:t>sous-commission du transport réfrigéré de l</w:t>
      </w:r>
      <w:r w:rsidR="0006343E">
        <w:rPr>
          <w:lang w:val="fr-FR"/>
        </w:rPr>
        <w:t>’</w:t>
      </w:r>
      <w:r w:rsidRPr="00F16773">
        <w:rPr>
          <w:lang w:val="fr-FR"/>
        </w:rPr>
        <w:t>IIF</w:t>
      </w:r>
      <w:r w:rsidRPr="004B2AF9">
        <w:rPr>
          <w:lang w:val="fr-FR"/>
        </w:rPr>
        <w:t>, et une solution avait été retenue quant aux informations à y faire figurer.</w:t>
      </w:r>
    </w:p>
    <w:p w:rsidR="00D651C4" w:rsidRPr="004B2AF9" w:rsidRDefault="00D651C4" w:rsidP="001F2966">
      <w:pPr>
        <w:pStyle w:val="SingleTxtG"/>
        <w:numPr>
          <w:ilvl w:val="0"/>
          <w:numId w:val="25"/>
        </w:numPr>
        <w:ind w:left="1134" w:firstLine="0"/>
        <w:rPr>
          <w:lang w:val="fr-FR"/>
        </w:rPr>
      </w:pPr>
      <w:r w:rsidRPr="004B2AF9">
        <w:rPr>
          <w:lang w:val="fr-FR"/>
        </w:rPr>
        <w:t>Le Groupe de travail a adopté la proposition avec quelques modifications (</w:t>
      </w:r>
      <w:r>
        <w:rPr>
          <w:lang w:val="fr-FR"/>
        </w:rPr>
        <w:t>voir annexe</w:t>
      </w:r>
      <w:r w:rsidR="001F2966">
        <w:rPr>
          <w:lang w:val="fr-FR"/>
        </w:rPr>
        <w:t> </w:t>
      </w:r>
      <w:r w:rsidRPr="004B2AF9">
        <w:rPr>
          <w:lang w:val="fr-FR"/>
        </w:rPr>
        <w:t>I).</w:t>
      </w:r>
    </w:p>
    <w:p w:rsidR="00D651C4" w:rsidRPr="004B2AF9" w:rsidRDefault="00D651C4" w:rsidP="00D651C4">
      <w:pPr>
        <w:pStyle w:val="H23G"/>
        <w:tabs>
          <w:tab w:val="left" w:pos="1134"/>
          <w:tab w:val="left" w:pos="1701"/>
          <w:tab w:val="left" w:pos="2268"/>
          <w:tab w:val="left" w:pos="2835"/>
          <w:tab w:val="left" w:pos="3402"/>
          <w:tab w:val="left" w:pos="3969"/>
          <w:tab w:val="left" w:pos="4536"/>
          <w:tab w:val="left" w:pos="5103"/>
          <w:tab w:val="left" w:pos="5670"/>
          <w:tab w:val="left" w:pos="6237"/>
          <w:tab w:val="left" w:pos="7419"/>
        </w:tabs>
        <w:rPr>
          <w:spacing w:val="-4"/>
          <w:lang w:val="fr-FR"/>
        </w:rPr>
      </w:pPr>
      <w:r w:rsidRPr="004B2AF9">
        <w:rPr>
          <w:lang w:val="fr-FR"/>
        </w:rPr>
        <w:tab/>
      </w:r>
      <w:bookmarkStart w:id="62" w:name="_Toc401568247"/>
      <w:bookmarkStart w:id="63" w:name="_Toc401568652"/>
      <w:bookmarkStart w:id="64" w:name="_Toc432670180"/>
      <w:r w:rsidRPr="004B2AF9">
        <w:rPr>
          <w:lang w:val="fr-FR"/>
        </w:rPr>
        <w:t>4.</w:t>
      </w:r>
      <w:r w:rsidRPr="004B2AF9">
        <w:rPr>
          <w:lang w:val="fr-FR"/>
        </w:rPr>
        <w:tab/>
      </w:r>
      <w:bookmarkEnd w:id="62"/>
      <w:bookmarkEnd w:id="63"/>
      <w:bookmarkEnd w:id="64"/>
      <w:r>
        <w:rPr>
          <w:lang w:val="fr-FR"/>
        </w:rPr>
        <w:t>Essai</w:t>
      </w:r>
      <w:r w:rsidRPr="004B2AF9">
        <w:rPr>
          <w:lang w:val="fr-FR"/>
        </w:rPr>
        <w:t xml:space="preserve"> en vue du renouvellement à six et neuf ans des attestations ATP </w:t>
      </w:r>
      <w:r w:rsidRPr="004B2AF9">
        <w:rPr>
          <w:lang w:val="fr-FR"/>
        </w:rPr>
        <w:br/>
        <w:t>pour les engins non autonomes</w:t>
      </w:r>
    </w:p>
    <w:p w:rsidR="00D651C4" w:rsidRPr="004B2AF9" w:rsidRDefault="00D651C4" w:rsidP="0031700D">
      <w:pPr>
        <w:spacing w:after="120"/>
        <w:ind w:left="2268" w:right="1134" w:hanging="1134"/>
        <w:rPr>
          <w:lang w:val="fr-FR"/>
        </w:rPr>
      </w:pPr>
      <w:r w:rsidRPr="004B2AF9">
        <w:rPr>
          <w:i/>
          <w:lang w:val="fr-FR"/>
        </w:rPr>
        <w:t>Document</w:t>
      </w:r>
      <w:r w:rsidR="0031700D">
        <w:rPr>
          <w:i/>
          <w:lang w:val="fr-FR"/>
        </w:rPr>
        <w:t>s</w:t>
      </w:r>
      <w:r w:rsidR="001F2966">
        <w:rPr>
          <w:i/>
          <w:lang w:val="fr-FR"/>
        </w:rPr>
        <w:t> </w:t>
      </w:r>
      <w:r w:rsidRPr="004B2AF9">
        <w:rPr>
          <w:lang w:val="fr-FR"/>
        </w:rPr>
        <w:t>:</w:t>
      </w:r>
      <w:r w:rsidRPr="004B2AF9">
        <w:rPr>
          <w:lang w:val="fr-FR"/>
        </w:rPr>
        <w:tab/>
      </w:r>
      <w:r w:rsidRPr="004B2AF9">
        <w:rPr>
          <w:lang w:val="fr-FR"/>
        </w:rPr>
        <w:tab/>
        <w:t>ECE/TRANS/WP.11/2011/16/Rev.4 (France)</w:t>
      </w:r>
      <w:r w:rsidR="0031700D">
        <w:rPr>
          <w:lang w:val="fr-FR"/>
        </w:rPr>
        <w:t xml:space="preserve"> </w:t>
      </w:r>
      <w:r w:rsidR="0031700D">
        <w:rPr>
          <w:lang w:val="fr-FR"/>
        </w:rPr>
        <w:br/>
      </w:r>
      <w:r w:rsidRPr="0031700D">
        <w:rPr>
          <w:lang w:val="fr-FR"/>
        </w:rPr>
        <w:t>Document informel</w:t>
      </w:r>
      <w:r w:rsidR="0031700D">
        <w:rPr>
          <w:lang w:val="fr-FR"/>
        </w:rPr>
        <w:t xml:space="preserve"> </w:t>
      </w:r>
      <w:r w:rsidRPr="0031700D">
        <w:rPr>
          <w:lang w:val="fr-FR"/>
        </w:rPr>
        <w:t xml:space="preserve">INF.16 </w:t>
      </w:r>
      <w:r w:rsidRPr="004B2AF9">
        <w:rPr>
          <w:lang w:val="fr-FR"/>
        </w:rPr>
        <w:t>(Pays-Bas)</w:t>
      </w:r>
      <w:r w:rsidR="001F2966">
        <w:rPr>
          <w:lang w:val="fr-FR"/>
        </w:rPr>
        <w:t>.</w:t>
      </w:r>
    </w:p>
    <w:p w:rsidR="00D651C4" w:rsidRPr="004B2AF9" w:rsidRDefault="00D651C4" w:rsidP="00B2794E">
      <w:pPr>
        <w:pStyle w:val="SingleTxtG"/>
        <w:numPr>
          <w:ilvl w:val="0"/>
          <w:numId w:val="25"/>
        </w:numPr>
        <w:ind w:left="1134" w:firstLine="0"/>
        <w:rPr>
          <w:lang w:val="fr-FR"/>
        </w:rPr>
      </w:pPr>
      <w:r w:rsidRPr="004B2AF9">
        <w:rPr>
          <w:lang w:val="fr-FR"/>
        </w:rPr>
        <w:t>La France a déclaré qu</w:t>
      </w:r>
      <w:r w:rsidR="0006343E">
        <w:rPr>
          <w:lang w:val="fr-FR"/>
        </w:rPr>
        <w:t>’</w:t>
      </w:r>
      <w:r w:rsidRPr="004B2AF9">
        <w:rPr>
          <w:lang w:val="fr-FR"/>
        </w:rPr>
        <w:t>elle avait révisé sa proposition en tenant compte des observations formulées en 2014 e</w:t>
      </w:r>
      <w:r>
        <w:rPr>
          <w:lang w:val="fr-FR"/>
        </w:rPr>
        <w:t xml:space="preserve">t que la réunion de 2015 de la </w:t>
      </w:r>
      <w:r w:rsidRPr="00F16773">
        <w:rPr>
          <w:lang w:val="fr-FR"/>
        </w:rPr>
        <w:t>sous-commission du transport réfrigéré de l</w:t>
      </w:r>
      <w:r w:rsidR="0006343E">
        <w:rPr>
          <w:lang w:val="fr-FR"/>
        </w:rPr>
        <w:t>’</w:t>
      </w:r>
      <w:r w:rsidRPr="00F16773">
        <w:rPr>
          <w:lang w:val="fr-FR"/>
        </w:rPr>
        <w:t xml:space="preserve">IIF </w:t>
      </w:r>
      <w:r w:rsidRPr="004B2AF9">
        <w:rPr>
          <w:lang w:val="fr-FR"/>
        </w:rPr>
        <w:t>avait appuyé celle-ci.</w:t>
      </w:r>
    </w:p>
    <w:p w:rsidR="00D651C4" w:rsidRPr="004B2AF9" w:rsidRDefault="00D651C4" w:rsidP="00B2794E">
      <w:pPr>
        <w:pStyle w:val="SingleTxtG"/>
        <w:numPr>
          <w:ilvl w:val="0"/>
          <w:numId w:val="25"/>
        </w:numPr>
        <w:ind w:left="1134" w:firstLine="0"/>
        <w:rPr>
          <w:lang w:val="fr-FR"/>
        </w:rPr>
      </w:pPr>
      <w:r w:rsidRPr="004B2AF9">
        <w:rPr>
          <w:lang w:val="fr-FR"/>
        </w:rPr>
        <w:t xml:space="preserve">Il a été décidé que la proposition serait remaniée et réexaminée au cours de la session. </w:t>
      </w:r>
    </w:p>
    <w:p w:rsidR="00D651C4" w:rsidRPr="004B2AF9" w:rsidRDefault="00D651C4" w:rsidP="00B2794E">
      <w:pPr>
        <w:pStyle w:val="SingleTxtG"/>
        <w:numPr>
          <w:ilvl w:val="0"/>
          <w:numId w:val="25"/>
        </w:numPr>
        <w:ind w:left="1134" w:firstLine="0"/>
        <w:rPr>
          <w:lang w:val="fr-FR"/>
        </w:rPr>
      </w:pPr>
      <w:r w:rsidRPr="004B2AF9">
        <w:rPr>
          <w:lang w:val="fr-FR"/>
        </w:rPr>
        <w:t>Le Groupe de travail a adopté la proposition révisée et la disposition transitoire (voir annexe</w:t>
      </w:r>
      <w:r w:rsidR="00B2794E">
        <w:rPr>
          <w:lang w:val="fr-FR"/>
        </w:rPr>
        <w:t> </w:t>
      </w:r>
      <w:r w:rsidRPr="004B2AF9">
        <w:rPr>
          <w:lang w:val="fr-FR"/>
        </w:rPr>
        <w:t>I).</w:t>
      </w:r>
    </w:p>
    <w:p w:rsidR="00D651C4" w:rsidRPr="004B2AF9" w:rsidRDefault="00D651C4" w:rsidP="00D651C4">
      <w:pPr>
        <w:pStyle w:val="H23G"/>
        <w:rPr>
          <w:lang w:val="fr-FR"/>
        </w:rPr>
      </w:pPr>
      <w:r w:rsidRPr="004B2AF9">
        <w:rPr>
          <w:lang w:val="fr-FR"/>
        </w:rPr>
        <w:tab/>
      </w:r>
      <w:bookmarkStart w:id="65" w:name="_Toc401568248"/>
      <w:bookmarkStart w:id="66" w:name="_Toc401568653"/>
      <w:bookmarkStart w:id="67" w:name="_Toc432670181"/>
      <w:r w:rsidRPr="004B2AF9">
        <w:rPr>
          <w:lang w:val="fr-FR"/>
        </w:rPr>
        <w:t>5.</w:t>
      </w:r>
      <w:r w:rsidRPr="004B2AF9">
        <w:rPr>
          <w:lang w:val="fr-FR"/>
        </w:rPr>
        <w:tab/>
      </w:r>
      <w:bookmarkEnd w:id="65"/>
      <w:bookmarkEnd w:id="66"/>
      <w:bookmarkEnd w:id="67"/>
      <w:r w:rsidRPr="004B2AF9">
        <w:rPr>
          <w:lang w:val="fr-FR"/>
        </w:rPr>
        <w:t>Essai des engins à températures multiples en service</w:t>
      </w:r>
    </w:p>
    <w:p w:rsidR="00D651C4" w:rsidRPr="004B2AF9" w:rsidRDefault="00D651C4" w:rsidP="000E43E4">
      <w:pPr>
        <w:spacing w:after="120"/>
        <w:ind w:left="2268" w:right="1134" w:hanging="1134"/>
        <w:rPr>
          <w:lang w:val="fr-FR"/>
        </w:rPr>
      </w:pPr>
      <w:r w:rsidRPr="004B2AF9">
        <w:rPr>
          <w:i/>
          <w:lang w:val="fr-FR"/>
        </w:rPr>
        <w:t>Document</w:t>
      </w:r>
      <w:r w:rsidR="00B2794E">
        <w:rPr>
          <w:i/>
          <w:lang w:val="fr-FR"/>
        </w:rPr>
        <w:t> </w:t>
      </w:r>
      <w:r w:rsidRPr="004B2AF9">
        <w:rPr>
          <w:lang w:val="fr-FR"/>
        </w:rPr>
        <w:t>:</w:t>
      </w:r>
      <w:r w:rsidRPr="004B2AF9">
        <w:rPr>
          <w:lang w:val="fr-FR"/>
        </w:rPr>
        <w:tab/>
      </w:r>
      <w:r w:rsidRPr="004B2AF9">
        <w:rPr>
          <w:lang w:val="fr-FR"/>
        </w:rPr>
        <w:tab/>
        <w:t>ECE/TRANS/WP.11/2015/13 (France)</w:t>
      </w:r>
      <w:r w:rsidR="00B2794E">
        <w:rPr>
          <w:lang w:val="fr-FR"/>
        </w:rPr>
        <w:t>.</w:t>
      </w:r>
    </w:p>
    <w:p w:rsidR="00D651C4" w:rsidRPr="004B2AF9" w:rsidRDefault="00D651C4" w:rsidP="00B2794E">
      <w:pPr>
        <w:pStyle w:val="SingleTxtG"/>
        <w:numPr>
          <w:ilvl w:val="0"/>
          <w:numId w:val="25"/>
        </w:numPr>
        <w:ind w:left="1134" w:firstLine="0"/>
        <w:rPr>
          <w:lang w:val="fr-FR"/>
        </w:rPr>
      </w:pPr>
      <w:r w:rsidRPr="004B2AF9">
        <w:rPr>
          <w:lang w:val="fr-FR"/>
        </w:rPr>
        <w:t>La proposition était fondée sur la méthode d</w:t>
      </w:r>
      <w:r w:rsidR="0006343E">
        <w:rPr>
          <w:lang w:val="fr-FR"/>
        </w:rPr>
        <w:t>’</w:t>
      </w:r>
      <w:r w:rsidRPr="004B2AF9">
        <w:rPr>
          <w:lang w:val="fr-FR"/>
        </w:rPr>
        <w:t>essai des engins</w:t>
      </w:r>
      <w:r>
        <w:rPr>
          <w:lang w:val="fr-FR"/>
        </w:rPr>
        <w:t xml:space="preserve"> </w:t>
      </w:r>
      <w:r w:rsidRPr="00FF5FD1">
        <w:rPr>
          <w:lang w:val="fr-FR"/>
        </w:rPr>
        <w:t xml:space="preserve">frigorifiques </w:t>
      </w:r>
      <w:r>
        <w:rPr>
          <w:lang w:val="fr-FR"/>
        </w:rPr>
        <w:t>autonomes</w:t>
      </w:r>
      <w:r w:rsidRPr="004B2AF9">
        <w:rPr>
          <w:lang w:val="fr-FR"/>
        </w:rPr>
        <w:t xml:space="preserve"> à température unique, à laquelle avait été ajoutée un essai de réversibilité des compartiments permettant de limiter la durée de l</w:t>
      </w:r>
      <w:r w:rsidR="0006343E">
        <w:rPr>
          <w:lang w:val="fr-FR"/>
        </w:rPr>
        <w:t>’</w:t>
      </w:r>
      <w:r w:rsidRPr="004B2AF9">
        <w:rPr>
          <w:lang w:val="fr-FR"/>
        </w:rPr>
        <w:t>essai tout en lui conservant sa pertinence.</w:t>
      </w:r>
    </w:p>
    <w:p w:rsidR="00D651C4" w:rsidRPr="004B2AF9" w:rsidRDefault="00D651C4" w:rsidP="00B2794E">
      <w:pPr>
        <w:pStyle w:val="SingleTxtG"/>
        <w:numPr>
          <w:ilvl w:val="0"/>
          <w:numId w:val="25"/>
        </w:numPr>
        <w:ind w:left="1134" w:firstLine="0"/>
        <w:rPr>
          <w:lang w:val="fr-FR"/>
        </w:rPr>
      </w:pPr>
      <w:r w:rsidRPr="004B2AF9">
        <w:rPr>
          <w:lang w:val="fr-FR"/>
        </w:rPr>
        <w:t>Le Groupe de travail a décidé que, dans les tableaux relatifs aux engins à deux ou trois compartiments, l</w:t>
      </w:r>
      <w:r w:rsidR="0006343E">
        <w:rPr>
          <w:lang w:val="fr-FR"/>
        </w:rPr>
        <w:t>’</w:t>
      </w:r>
      <w:r w:rsidRPr="004B2AF9">
        <w:rPr>
          <w:lang w:val="fr-FR"/>
        </w:rPr>
        <w:t>intitulé «</w:t>
      </w:r>
      <w:r w:rsidR="00B2794E">
        <w:rPr>
          <w:lang w:val="fr-FR"/>
        </w:rPr>
        <w:t> </w:t>
      </w:r>
      <w:r w:rsidRPr="004B2AF9">
        <w:rPr>
          <w:lang w:val="fr-FR"/>
        </w:rPr>
        <w:t>Températures</w:t>
      </w:r>
      <w:r w:rsidR="00B2794E">
        <w:rPr>
          <w:lang w:val="fr-FR"/>
        </w:rPr>
        <w:t> </w:t>
      </w:r>
      <w:r w:rsidRPr="004B2AF9">
        <w:rPr>
          <w:lang w:val="fr-FR"/>
        </w:rPr>
        <w:t>» devait être remplacé par «</w:t>
      </w:r>
      <w:r w:rsidR="00B2794E">
        <w:rPr>
          <w:lang w:val="fr-FR"/>
        </w:rPr>
        <w:t> </w:t>
      </w:r>
      <w:r w:rsidRPr="004B2AF9">
        <w:rPr>
          <w:lang w:val="fr-FR"/>
        </w:rPr>
        <w:t>Température de la classe</w:t>
      </w:r>
      <w:r w:rsidR="00B2794E">
        <w:rPr>
          <w:lang w:val="fr-FR"/>
        </w:rPr>
        <w:t> </w:t>
      </w:r>
      <w:r w:rsidRPr="004B2AF9">
        <w:rPr>
          <w:lang w:val="fr-FR"/>
        </w:rPr>
        <w:t>». Il a aussi décidé que l</w:t>
      </w:r>
      <w:r w:rsidR="0006343E">
        <w:rPr>
          <w:lang w:val="fr-FR"/>
        </w:rPr>
        <w:t>’</w:t>
      </w:r>
      <w:r w:rsidRPr="004B2AF9">
        <w:rPr>
          <w:lang w:val="fr-FR"/>
        </w:rPr>
        <w:t>essai devrait être facile à exécuter et peu onéreux.</w:t>
      </w:r>
    </w:p>
    <w:p w:rsidR="00D651C4" w:rsidRPr="004B2AF9" w:rsidRDefault="00D651C4" w:rsidP="00B2794E">
      <w:pPr>
        <w:pStyle w:val="SingleTxtG"/>
        <w:numPr>
          <w:ilvl w:val="0"/>
          <w:numId w:val="25"/>
        </w:numPr>
        <w:ind w:left="1134" w:firstLine="0"/>
        <w:rPr>
          <w:lang w:val="fr-FR"/>
        </w:rPr>
      </w:pPr>
      <w:r w:rsidRPr="004B2AF9">
        <w:rPr>
          <w:lang w:val="fr-FR"/>
        </w:rPr>
        <w:t>Une tentative d</w:t>
      </w:r>
      <w:r w:rsidR="0006343E">
        <w:rPr>
          <w:lang w:val="fr-FR"/>
        </w:rPr>
        <w:t>’</w:t>
      </w:r>
      <w:r w:rsidRPr="004B2AF9">
        <w:rPr>
          <w:lang w:val="fr-FR"/>
        </w:rPr>
        <w:t>adoption de la proposition initialement uniquement pour des engins à températures multiples à deux ou trois compartiments a échoué</w:t>
      </w:r>
      <w:r>
        <w:rPr>
          <w:lang w:val="fr-FR"/>
        </w:rPr>
        <w:t>,</w:t>
      </w:r>
      <w:r w:rsidRPr="004B2AF9">
        <w:rPr>
          <w:lang w:val="fr-FR"/>
        </w:rPr>
        <w:t xml:space="preserve"> et l</w:t>
      </w:r>
      <w:r w:rsidR="0006343E">
        <w:rPr>
          <w:lang w:val="fr-FR"/>
        </w:rPr>
        <w:t>’</w:t>
      </w:r>
      <w:r w:rsidRPr="004B2AF9">
        <w:rPr>
          <w:lang w:val="fr-FR"/>
        </w:rPr>
        <w:t>Allemagne a déclaré qu</w:t>
      </w:r>
      <w:r w:rsidR="0006343E">
        <w:rPr>
          <w:lang w:val="fr-FR"/>
        </w:rPr>
        <w:t>’</w:t>
      </w:r>
      <w:r w:rsidRPr="004B2AF9">
        <w:rPr>
          <w:lang w:val="fr-FR"/>
        </w:rPr>
        <w:t>il convenait d</w:t>
      </w:r>
      <w:r w:rsidR="0006343E">
        <w:rPr>
          <w:lang w:val="fr-FR"/>
        </w:rPr>
        <w:t>’</w:t>
      </w:r>
      <w:r w:rsidRPr="004B2AF9">
        <w:rPr>
          <w:lang w:val="fr-FR"/>
        </w:rPr>
        <w:t>apporter d</w:t>
      </w:r>
      <w:r w:rsidR="0006343E">
        <w:rPr>
          <w:lang w:val="fr-FR"/>
        </w:rPr>
        <w:t>’</w:t>
      </w:r>
      <w:r w:rsidRPr="004B2AF9">
        <w:rPr>
          <w:lang w:val="fr-FR"/>
        </w:rPr>
        <w:t>autres modifications à la proposition.</w:t>
      </w:r>
    </w:p>
    <w:p w:rsidR="00D651C4" w:rsidRPr="004B2AF9" w:rsidRDefault="00D651C4" w:rsidP="00B2794E">
      <w:pPr>
        <w:pStyle w:val="SingleTxtG"/>
        <w:numPr>
          <w:ilvl w:val="0"/>
          <w:numId w:val="25"/>
        </w:numPr>
        <w:ind w:left="1134" w:firstLine="0"/>
        <w:rPr>
          <w:lang w:val="fr-FR"/>
        </w:rPr>
      </w:pPr>
      <w:r w:rsidRPr="004B2AF9">
        <w:rPr>
          <w:lang w:val="fr-FR"/>
        </w:rPr>
        <w:t>Il a été décidé que la France et l</w:t>
      </w:r>
      <w:r w:rsidR="0006343E">
        <w:rPr>
          <w:lang w:val="fr-FR"/>
        </w:rPr>
        <w:t>’</w:t>
      </w:r>
      <w:r w:rsidRPr="004B2AF9">
        <w:rPr>
          <w:lang w:val="fr-FR"/>
        </w:rPr>
        <w:t xml:space="preserve">Allemagne établiraient conjointement une proposition révisée pour la session </w:t>
      </w:r>
      <w:r>
        <w:rPr>
          <w:lang w:val="fr-FR"/>
        </w:rPr>
        <w:t xml:space="preserve">suivante </w:t>
      </w:r>
      <w:r w:rsidRPr="004B2AF9">
        <w:rPr>
          <w:lang w:val="fr-FR"/>
        </w:rPr>
        <w:t>et que celle-ci devrait d</w:t>
      </w:r>
      <w:r w:rsidR="0006343E">
        <w:rPr>
          <w:lang w:val="fr-FR"/>
        </w:rPr>
        <w:t>’</w:t>
      </w:r>
      <w:r w:rsidRPr="004B2AF9">
        <w:rPr>
          <w:lang w:val="fr-FR"/>
        </w:rPr>
        <w:t xml:space="preserve">abord être examinée en détail à la réunion suivante de la </w:t>
      </w:r>
      <w:r w:rsidRPr="00F16773">
        <w:rPr>
          <w:lang w:val="fr-FR"/>
        </w:rPr>
        <w:t>sous-commission du transport réfrigéré de l</w:t>
      </w:r>
      <w:r w:rsidR="0006343E">
        <w:rPr>
          <w:lang w:val="fr-FR"/>
        </w:rPr>
        <w:t>’</w:t>
      </w:r>
      <w:r w:rsidRPr="00F16773">
        <w:rPr>
          <w:lang w:val="fr-FR"/>
        </w:rPr>
        <w:t>IIF</w:t>
      </w:r>
      <w:r w:rsidRPr="004B2AF9">
        <w:rPr>
          <w:lang w:val="fr-FR"/>
        </w:rPr>
        <w:t>, car il était désormais urgent d</w:t>
      </w:r>
      <w:r w:rsidR="0006343E">
        <w:rPr>
          <w:lang w:val="fr-FR"/>
        </w:rPr>
        <w:t>’</w:t>
      </w:r>
      <w:r w:rsidRPr="004B2AF9">
        <w:rPr>
          <w:lang w:val="fr-FR"/>
        </w:rPr>
        <w:t>inclure dans l</w:t>
      </w:r>
      <w:r w:rsidR="0006343E">
        <w:rPr>
          <w:lang w:val="fr-FR"/>
        </w:rPr>
        <w:t>’</w:t>
      </w:r>
      <w:r w:rsidRPr="004B2AF9">
        <w:rPr>
          <w:lang w:val="fr-FR"/>
        </w:rPr>
        <w:t>ATP un essai pour les engins à températures multiples en service.</w:t>
      </w:r>
    </w:p>
    <w:p w:rsidR="00D651C4" w:rsidRPr="004B2AF9" w:rsidRDefault="00D651C4" w:rsidP="00B2794E">
      <w:pPr>
        <w:pStyle w:val="SingleTxtG"/>
        <w:numPr>
          <w:ilvl w:val="0"/>
          <w:numId w:val="25"/>
        </w:numPr>
        <w:ind w:left="1134" w:firstLine="0"/>
        <w:rPr>
          <w:lang w:val="fr-FR"/>
        </w:rPr>
      </w:pPr>
      <w:r w:rsidRPr="004B2AF9">
        <w:rPr>
          <w:lang w:val="fr-FR"/>
        </w:rPr>
        <w:t>L</w:t>
      </w:r>
      <w:r w:rsidR="0006343E">
        <w:rPr>
          <w:lang w:val="fr-FR"/>
        </w:rPr>
        <w:t>’</w:t>
      </w:r>
      <w:r w:rsidRPr="004B2AF9">
        <w:rPr>
          <w:lang w:val="fr-FR"/>
        </w:rPr>
        <w:t>Allemagne a souligné qu</w:t>
      </w:r>
      <w:r w:rsidR="0006343E">
        <w:rPr>
          <w:lang w:val="fr-FR"/>
        </w:rPr>
        <w:t>’</w:t>
      </w:r>
      <w:r w:rsidRPr="004B2AF9">
        <w:rPr>
          <w:lang w:val="fr-FR"/>
        </w:rPr>
        <w:t xml:space="preserve">il </w:t>
      </w:r>
      <w:r>
        <w:rPr>
          <w:lang w:val="fr-FR"/>
        </w:rPr>
        <w:t>était nécessaire de</w:t>
      </w:r>
      <w:r w:rsidRPr="004B2AF9">
        <w:rPr>
          <w:lang w:val="fr-FR"/>
        </w:rPr>
        <w:t xml:space="preserve"> convenir du marquage des engins à températures multiples avant </w:t>
      </w:r>
      <w:r>
        <w:rPr>
          <w:lang w:val="fr-FR"/>
        </w:rPr>
        <w:t>qu</w:t>
      </w:r>
      <w:r w:rsidR="0006343E">
        <w:rPr>
          <w:lang w:val="fr-FR"/>
        </w:rPr>
        <w:t>’</w:t>
      </w:r>
      <w:r>
        <w:rPr>
          <w:lang w:val="fr-FR"/>
        </w:rPr>
        <w:t xml:space="preserve">un accord </w:t>
      </w:r>
      <w:r w:rsidRPr="004B2AF9">
        <w:rPr>
          <w:lang w:val="fr-FR"/>
        </w:rPr>
        <w:t>sur un essai des engins de ce type en service</w:t>
      </w:r>
      <w:r>
        <w:rPr>
          <w:lang w:val="fr-FR"/>
        </w:rPr>
        <w:t xml:space="preserve"> puisse être trouvé</w:t>
      </w:r>
      <w:r w:rsidRPr="004B2AF9">
        <w:rPr>
          <w:lang w:val="fr-FR"/>
        </w:rPr>
        <w:t>.</w:t>
      </w:r>
    </w:p>
    <w:p w:rsidR="00D651C4" w:rsidRPr="004B2AF9" w:rsidRDefault="00D651C4" w:rsidP="00D651C4">
      <w:pPr>
        <w:pStyle w:val="H23G"/>
        <w:rPr>
          <w:lang w:val="fr-FR"/>
        </w:rPr>
      </w:pPr>
      <w:r w:rsidRPr="004B2AF9">
        <w:rPr>
          <w:lang w:val="fr-FR"/>
        </w:rPr>
        <w:tab/>
      </w:r>
      <w:bookmarkStart w:id="68" w:name="_Toc401568258"/>
      <w:bookmarkStart w:id="69" w:name="_Toc401568663"/>
      <w:bookmarkStart w:id="70" w:name="_Toc432670182"/>
      <w:r w:rsidRPr="004B2AF9">
        <w:rPr>
          <w:lang w:val="fr-FR"/>
        </w:rPr>
        <w:t>6.</w:t>
      </w:r>
      <w:r w:rsidRPr="004B2AF9">
        <w:rPr>
          <w:lang w:val="fr-FR"/>
        </w:rPr>
        <w:tab/>
      </w:r>
      <w:bookmarkEnd w:id="68"/>
      <w:bookmarkEnd w:id="69"/>
      <w:bookmarkEnd w:id="70"/>
      <w:r w:rsidRPr="004B2AF9">
        <w:rPr>
          <w:lang w:val="fr-FR"/>
        </w:rPr>
        <w:t>Marques d</w:t>
      </w:r>
      <w:r w:rsidR="0006343E">
        <w:rPr>
          <w:lang w:val="fr-FR"/>
        </w:rPr>
        <w:t>’</w:t>
      </w:r>
      <w:r w:rsidRPr="004B2AF9">
        <w:rPr>
          <w:lang w:val="fr-FR"/>
        </w:rPr>
        <w:t>identification des engins à températures multiples</w:t>
      </w:r>
    </w:p>
    <w:p w:rsidR="00D651C4" w:rsidRPr="004B2AF9" w:rsidRDefault="00D651C4" w:rsidP="000E43E4">
      <w:pPr>
        <w:spacing w:after="120"/>
        <w:ind w:left="2268" w:right="1134" w:hanging="1134"/>
        <w:rPr>
          <w:lang w:val="fr-FR"/>
        </w:rPr>
      </w:pPr>
      <w:r w:rsidRPr="004B2AF9">
        <w:rPr>
          <w:i/>
          <w:lang w:val="fr-FR"/>
        </w:rPr>
        <w:t>Document</w:t>
      </w:r>
      <w:r w:rsidR="00B2794E">
        <w:rPr>
          <w:i/>
          <w:lang w:val="fr-FR"/>
        </w:rPr>
        <w:t> </w:t>
      </w:r>
      <w:r w:rsidRPr="004B2AF9">
        <w:rPr>
          <w:lang w:val="fr-FR"/>
        </w:rPr>
        <w:t>:</w:t>
      </w:r>
      <w:r w:rsidRPr="004B2AF9">
        <w:rPr>
          <w:lang w:val="fr-FR"/>
        </w:rPr>
        <w:tab/>
      </w:r>
      <w:r w:rsidRPr="004B2AF9">
        <w:rPr>
          <w:lang w:val="fr-FR"/>
        </w:rPr>
        <w:tab/>
        <w:t>ECE/TRANS/WP.11/2015/15 (France)</w:t>
      </w:r>
      <w:r w:rsidR="00B2794E">
        <w:rPr>
          <w:lang w:val="fr-FR"/>
        </w:rPr>
        <w:t>.</w:t>
      </w:r>
    </w:p>
    <w:p w:rsidR="00D651C4" w:rsidRPr="004B2AF9" w:rsidRDefault="00D651C4" w:rsidP="00B2794E">
      <w:pPr>
        <w:pStyle w:val="SingleTxtG"/>
        <w:numPr>
          <w:ilvl w:val="0"/>
          <w:numId w:val="25"/>
        </w:numPr>
        <w:ind w:left="1134" w:firstLine="0"/>
        <w:rPr>
          <w:lang w:val="fr-FR"/>
        </w:rPr>
      </w:pPr>
      <w:r w:rsidRPr="004B2AF9">
        <w:rPr>
          <w:lang w:val="fr-FR"/>
        </w:rPr>
        <w:t>La France a proposé d</w:t>
      </w:r>
      <w:r w:rsidR="0006343E">
        <w:rPr>
          <w:lang w:val="fr-FR"/>
        </w:rPr>
        <w:t>’</w:t>
      </w:r>
      <w:r w:rsidRPr="004B2AF9">
        <w:rPr>
          <w:lang w:val="fr-FR"/>
        </w:rPr>
        <w:t>adopter des prescriptions minimales en matière de marquage et a indiqué que cette proposition avait</w:t>
      </w:r>
      <w:r>
        <w:rPr>
          <w:lang w:val="fr-FR"/>
        </w:rPr>
        <w:t xml:space="preserve"> recueilli l</w:t>
      </w:r>
      <w:r w:rsidR="0006343E">
        <w:rPr>
          <w:lang w:val="fr-FR"/>
        </w:rPr>
        <w:t>’</w:t>
      </w:r>
      <w:r>
        <w:rPr>
          <w:lang w:val="fr-FR"/>
        </w:rPr>
        <w:t>assentiment de la sous-c</w:t>
      </w:r>
      <w:r w:rsidRPr="004B2AF9">
        <w:rPr>
          <w:lang w:val="fr-FR"/>
        </w:rPr>
        <w:t>ommission du transport réfrigéré de l</w:t>
      </w:r>
      <w:r w:rsidR="0006343E">
        <w:rPr>
          <w:lang w:val="fr-FR"/>
        </w:rPr>
        <w:t>’</w:t>
      </w:r>
      <w:r w:rsidRPr="004B2AF9">
        <w:rPr>
          <w:lang w:val="fr-FR"/>
        </w:rPr>
        <w:t>IIF. Le marquage devait permettre aux autorités de contrôle de vérifier facilement l</w:t>
      </w:r>
      <w:r w:rsidR="0006343E">
        <w:rPr>
          <w:lang w:val="fr-FR"/>
        </w:rPr>
        <w:t>’</w:t>
      </w:r>
      <w:r w:rsidRPr="004B2AF9">
        <w:rPr>
          <w:lang w:val="fr-FR"/>
        </w:rPr>
        <w:t>adéquation de l</w:t>
      </w:r>
      <w:r w:rsidR="0006343E">
        <w:rPr>
          <w:lang w:val="fr-FR"/>
        </w:rPr>
        <w:t>’</w:t>
      </w:r>
      <w:r w:rsidRPr="004B2AF9">
        <w:rPr>
          <w:lang w:val="fr-FR"/>
        </w:rPr>
        <w:t>engin aux marchandises transportées. Il devait permettre en particulier de savoir combien l</w:t>
      </w:r>
      <w:r w:rsidR="0006343E">
        <w:rPr>
          <w:lang w:val="fr-FR"/>
        </w:rPr>
        <w:t>’</w:t>
      </w:r>
      <w:r w:rsidRPr="004B2AF9">
        <w:rPr>
          <w:lang w:val="fr-FR"/>
        </w:rPr>
        <w:t xml:space="preserve">engin comptait de compartiments et leurs classes respectives afin </w:t>
      </w:r>
      <w:r>
        <w:rPr>
          <w:lang w:val="fr-FR"/>
        </w:rPr>
        <w:t xml:space="preserve">de déterminer </w:t>
      </w:r>
      <w:r w:rsidRPr="004B2AF9">
        <w:rPr>
          <w:lang w:val="fr-FR"/>
        </w:rPr>
        <w:t>si les marchandises transportées pouvaient l</w:t>
      </w:r>
      <w:r w:rsidR="0006343E">
        <w:rPr>
          <w:lang w:val="fr-FR"/>
        </w:rPr>
        <w:t>’</w:t>
      </w:r>
      <w:r w:rsidRPr="004B2AF9">
        <w:rPr>
          <w:lang w:val="fr-FR"/>
        </w:rPr>
        <w:t>être dans le compartiment concerné.</w:t>
      </w:r>
    </w:p>
    <w:p w:rsidR="00D651C4" w:rsidRPr="004B2AF9" w:rsidRDefault="00D651C4" w:rsidP="00B2794E">
      <w:pPr>
        <w:pStyle w:val="SingleTxtG"/>
        <w:numPr>
          <w:ilvl w:val="0"/>
          <w:numId w:val="25"/>
        </w:numPr>
        <w:ind w:left="1134" w:firstLine="0"/>
        <w:rPr>
          <w:lang w:val="fr-FR"/>
        </w:rPr>
      </w:pPr>
      <w:r w:rsidRPr="004B2AF9">
        <w:rPr>
          <w:lang w:val="fr-FR"/>
        </w:rPr>
        <w:t>Les voix se sont réparties comme suit</w:t>
      </w:r>
      <w:r w:rsidR="00B2794E">
        <w:rPr>
          <w:lang w:val="fr-FR"/>
        </w:rPr>
        <w:t> </w:t>
      </w:r>
      <w:r w:rsidRPr="004B2AF9">
        <w:rPr>
          <w:lang w:val="fr-FR"/>
        </w:rPr>
        <w:t>: 7 pays ont voté pour la proposition (Espagne, France, Italie, Maroc, Pologne, Portugal et Suède) et 3 contre (Allemagne, Belgique et Pays-Bas).</w:t>
      </w:r>
    </w:p>
    <w:p w:rsidR="00D651C4" w:rsidRPr="004B2AF9" w:rsidRDefault="00D651C4" w:rsidP="00B2794E">
      <w:pPr>
        <w:pStyle w:val="SingleTxtG"/>
        <w:numPr>
          <w:ilvl w:val="0"/>
          <w:numId w:val="25"/>
        </w:numPr>
        <w:ind w:left="1134" w:firstLine="0"/>
        <w:rPr>
          <w:lang w:val="fr-FR"/>
        </w:rPr>
      </w:pPr>
      <w:r w:rsidRPr="004B2AF9">
        <w:rPr>
          <w:lang w:val="fr-FR"/>
        </w:rPr>
        <w:t>Il a été décidé qu</w:t>
      </w:r>
      <w:r w:rsidR="0006343E">
        <w:rPr>
          <w:lang w:val="fr-FR"/>
        </w:rPr>
        <w:t>’</w:t>
      </w:r>
      <w:r w:rsidRPr="004B2AF9">
        <w:rPr>
          <w:lang w:val="fr-FR"/>
        </w:rPr>
        <w:t>un groupe de travail informel composé de l</w:t>
      </w:r>
      <w:r w:rsidR="0006343E">
        <w:rPr>
          <w:lang w:val="fr-FR"/>
        </w:rPr>
        <w:t>’</w:t>
      </w:r>
      <w:r w:rsidRPr="004B2AF9">
        <w:rPr>
          <w:lang w:val="fr-FR"/>
        </w:rPr>
        <w:t>Allemagne, de la France et d</w:t>
      </w:r>
      <w:r w:rsidR="0006343E">
        <w:rPr>
          <w:lang w:val="fr-FR"/>
        </w:rPr>
        <w:t>’</w:t>
      </w:r>
      <w:r w:rsidRPr="004B2AF9">
        <w:rPr>
          <w:lang w:val="fr-FR"/>
        </w:rPr>
        <w:t>autres pays intéressés et présidé par les Pays-Bas établirait une nouvelle proposition pour la session suivante.</w:t>
      </w:r>
    </w:p>
    <w:p w:rsidR="00D651C4" w:rsidRPr="004B2AF9" w:rsidRDefault="00D651C4" w:rsidP="00D651C4">
      <w:pPr>
        <w:pStyle w:val="H23G"/>
        <w:rPr>
          <w:lang w:val="fr-FR"/>
        </w:rPr>
      </w:pPr>
      <w:r w:rsidRPr="004B2AF9">
        <w:rPr>
          <w:lang w:val="fr-FR"/>
        </w:rPr>
        <w:tab/>
      </w:r>
      <w:bookmarkStart w:id="71" w:name="_Toc401568259"/>
      <w:bookmarkStart w:id="72" w:name="_Toc401568664"/>
      <w:bookmarkStart w:id="73" w:name="_Toc432670183"/>
      <w:r w:rsidRPr="004B2AF9">
        <w:rPr>
          <w:lang w:val="fr-FR"/>
        </w:rPr>
        <w:t>7.</w:t>
      </w:r>
      <w:r w:rsidRPr="004B2AF9">
        <w:rPr>
          <w:lang w:val="fr-FR"/>
        </w:rPr>
        <w:tab/>
      </w:r>
      <w:bookmarkEnd w:id="71"/>
      <w:bookmarkEnd w:id="72"/>
      <w:bookmarkEnd w:id="73"/>
      <w:r w:rsidRPr="004B2AF9">
        <w:rPr>
          <w:lang w:val="fr-FR"/>
        </w:rPr>
        <w:t>Renvois à des normes dans l</w:t>
      </w:r>
      <w:r w:rsidR="0006343E">
        <w:rPr>
          <w:lang w:val="fr-FR"/>
        </w:rPr>
        <w:t>’</w:t>
      </w:r>
      <w:r w:rsidRPr="004B2AF9">
        <w:rPr>
          <w:lang w:val="fr-FR"/>
        </w:rPr>
        <w:t>ATP et révision de ces normes</w:t>
      </w:r>
    </w:p>
    <w:p w:rsidR="00D651C4" w:rsidRPr="004B2AF9" w:rsidRDefault="00D651C4" w:rsidP="000E43E4">
      <w:pPr>
        <w:spacing w:after="120"/>
        <w:ind w:left="2268" w:right="1134" w:hanging="1134"/>
        <w:rPr>
          <w:lang w:val="fr-FR"/>
        </w:rPr>
      </w:pPr>
      <w:r w:rsidRPr="004B2AF9">
        <w:rPr>
          <w:i/>
          <w:lang w:val="fr-FR"/>
        </w:rPr>
        <w:t>Document</w:t>
      </w:r>
      <w:r w:rsidR="00B2794E">
        <w:rPr>
          <w:i/>
          <w:lang w:val="fr-FR"/>
        </w:rPr>
        <w:t> </w:t>
      </w:r>
      <w:r w:rsidRPr="004B2AF9">
        <w:rPr>
          <w:lang w:val="fr-FR"/>
        </w:rPr>
        <w:t>:</w:t>
      </w:r>
      <w:r w:rsidRPr="004B2AF9">
        <w:rPr>
          <w:lang w:val="fr-FR"/>
        </w:rPr>
        <w:tab/>
      </w:r>
      <w:r w:rsidRPr="004B2AF9">
        <w:rPr>
          <w:lang w:val="fr-FR"/>
        </w:rPr>
        <w:tab/>
        <w:t>ECE/TRANS/WP.11/2015/20 (Fédération de Russie)</w:t>
      </w:r>
      <w:r w:rsidR="00B2794E">
        <w:rPr>
          <w:lang w:val="fr-FR"/>
        </w:rPr>
        <w:t>.</w:t>
      </w:r>
    </w:p>
    <w:p w:rsidR="00D651C4" w:rsidRPr="004B2AF9" w:rsidRDefault="00D651C4" w:rsidP="00B2794E">
      <w:pPr>
        <w:pStyle w:val="SingleTxtG"/>
        <w:numPr>
          <w:ilvl w:val="0"/>
          <w:numId w:val="25"/>
        </w:numPr>
        <w:ind w:left="1134" w:firstLine="0"/>
        <w:rPr>
          <w:lang w:val="fr-FR"/>
        </w:rPr>
      </w:pPr>
      <w:r w:rsidRPr="004B2AF9">
        <w:rPr>
          <w:lang w:val="fr-FR"/>
        </w:rPr>
        <w:t>Les documents ECE/TRANS/WP.11/2015/18 à 22 ayant été soumis par la Fédération de Russie après la date limite officielle, les services de traduction de l</w:t>
      </w:r>
      <w:r w:rsidR="0006343E">
        <w:rPr>
          <w:lang w:val="fr-FR"/>
        </w:rPr>
        <w:t>’</w:t>
      </w:r>
      <w:r w:rsidRPr="004B2AF9">
        <w:rPr>
          <w:lang w:val="fr-FR"/>
        </w:rPr>
        <w:t>ONU n</w:t>
      </w:r>
      <w:r w:rsidR="0006343E">
        <w:rPr>
          <w:lang w:val="fr-FR"/>
        </w:rPr>
        <w:t>’</w:t>
      </w:r>
      <w:r w:rsidRPr="004B2AF9">
        <w:rPr>
          <w:lang w:val="fr-FR"/>
        </w:rPr>
        <w:t>avaient pas été en mesure de les traduire avant la session. Le secrétariat avait donc décidé de traiter les traductions anglaises fournies par la Fédération de Russie comme des documents officiels. La Belgique a fait valoir que, selon le règlement intérieur, en raison de la soumission de ces documents après la date limite officielle et en l</w:t>
      </w:r>
      <w:r w:rsidR="0006343E">
        <w:rPr>
          <w:lang w:val="fr-FR"/>
        </w:rPr>
        <w:t>’</w:t>
      </w:r>
      <w:r w:rsidRPr="004B2AF9">
        <w:rPr>
          <w:lang w:val="fr-FR"/>
        </w:rPr>
        <w:t xml:space="preserve">absence de traductions officielles dans toutes les langues de la CEE, le Groupe de travail </w:t>
      </w:r>
      <w:r>
        <w:rPr>
          <w:lang w:val="fr-FR"/>
        </w:rPr>
        <w:t>n</w:t>
      </w:r>
      <w:r w:rsidR="0006343E">
        <w:rPr>
          <w:lang w:val="fr-FR"/>
        </w:rPr>
        <w:t>’</w:t>
      </w:r>
      <w:r>
        <w:rPr>
          <w:lang w:val="fr-FR"/>
        </w:rPr>
        <w:t xml:space="preserve">était </w:t>
      </w:r>
      <w:r w:rsidRPr="004B2AF9">
        <w:rPr>
          <w:lang w:val="fr-FR"/>
        </w:rPr>
        <w:t xml:space="preserve">pas </w:t>
      </w:r>
      <w:r>
        <w:rPr>
          <w:lang w:val="fr-FR"/>
        </w:rPr>
        <w:t xml:space="preserve">en mesure de </w:t>
      </w:r>
      <w:r w:rsidRPr="004B2AF9">
        <w:rPr>
          <w:lang w:val="fr-FR"/>
        </w:rPr>
        <w:t xml:space="preserve">traiter ces documents comme des documents officiels </w:t>
      </w:r>
      <w:r>
        <w:rPr>
          <w:lang w:val="fr-FR"/>
        </w:rPr>
        <w:t xml:space="preserve">sur lesquels il pouvait se prononcer, </w:t>
      </w:r>
      <w:r w:rsidRPr="004B2AF9">
        <w:rPr>
          <w:lang w:val="fr-FR"/>
        </w:rPr>
        <w:t>et devait les traiter comme des documents informels. Cette observation a reçu l</w:t>
      </w:r>
      <w:r w:rsidR="0006343E">
        <w:rPr>
          <w:lang w:val="fr-FR"/>
        </w:rPr>
        <w:t>’</w:t>
      </w:r>
      <w:r w:rsidRPr="004B2AF9">
        <w:rPr>
          <w:lang w:val="fr-FR"/>
        </w:rPr>
        <w:t>appui du Danemark, de la France et de la Suède. Le Groupe de travail a donc décidé que les propositions pourraient être débattues, mais qu</w:t>
      </w:r>
      <w:r w:rsidR="0006343E">
        <w:rPr>
          <w:lang w:val="fr-FR"/>
        </w:rPr>
        <w:t>’</w:t>
      </w:r>
      <w:r w:rsidRPr="004B2AF9">
        <w:rPr>
          <w:lang w:val="fr-FR"/>
        </w:rPr>
        <w:t>il ne serait pas possible de prendre une décision officielle les concernant.</w:t>
      </w:r>
    </w:p>
    <w:p w:rsidR="00D651C4" w:rsidRPr="004B2AF9" w:rsidRDefault="00D651C4" w:rsidP="00B2794E">
      <w:pPr>
        <w:pStyle w:val="SingleTxtG"/>
        <w:numPr>
          <w:ilvl w:val="0"/>
          <w:numId w:val="25"/>
        </w:numPr>
        <w:ind w:left="1134" w:firstLine="0"/>
        <w:rPr>
          <w:lang w:val="fr-FR"/>
        </w:rPr>
      </w:pPr>
      <w:r w:rsidRPr="004B2AF9">
        <w:rPr>
          <w:lang w:val="fr-FR"/>
        </w:rPr>
        <w:t>La proposition russe concernant la révision des normes faisait valoir que les renvois à des normes obsolètes et à des normes nationales dans l</w:t>
      </w:r>
      <w:r w:rsidR="0006343E">
        <w:rPr>
          <w:lang w:val="fr-FR"/>
        </w:rPr>
        <w:t>’</w:t>
      </w:r>
      <w:r w:rsidRPr="004B2AF9">
        <w:rPr>
          <w:lang w:val="fr-FR"/>
        </w:rPr>
        <w:t>ATP devraient être supprimés. Les normes AMCA et les normes régionales (européennes) EN pourraient être conservées jusqu</w:t>
      </w:r>
      <w:r w:rsidR="0006343E">
        <w:rPr>
          <w:lang w:val="fr-FR"/>
        </w:rPr>
        <w:t>’</w:t>
      </w:r>
      <w:r w:rsidRPr="004B2AF9">
        <w:rPr>
          <w:lang w:val="fr-FR"/>
        </w:rPr>
        <w:t>à ce qu</w:t>
      </w:r>
      <w:r w:rsidR="0006343E">
        <w:rPr>
          <w:lang w:val="fr-FR"/>
        </w:rPr>
        <w:t>’</w:t>
      </w:r>
      <w:r w:rsidRPr="004B2AF9">
        <w:rPr>
          <w:lang w:val="fr-FR"/>
        </w:rPr>
        <w:t xml:space="preserve">elles </w:t>
      </w:r>
      <w:r>
        <w:rPr>
          <w:lang w:val="fr-FR"/>
        </w:rPr>
        <w:t>puiss</w:t>
      </w:r>
      <w:r w:rsidRPr="004B2AF9">
        <w:rPr>
          <w:lang w:val="fr-FR"/>
        </w:rPr>
        <w:t xml:space="preserve">ent </w:t>
      </w:r>
      <w:r>
        <w:rPr>
          <w:lang w:val="fr-FR"/>
        </w:rPr>
        <w:t xml:space="preserve">être </w:t>
      </w:r>
      <w:r w:rsidRPr="004B2AF9">
        <w:rPr>
          <w:lang w:val="fr-FR"/>
        </w:rPr>
        <w:t>remplacées par des normes ISO équivalentes.</w:t>
      </w:r>
    </w:p>
    <w:p w:rsidR="00D651C4" w:rsidRPr="004B2AF9" w:rsidRDefault="00D651C4" w:rsidP="00B2794E">
      <w:pPr>
        <w:pStyle w:val="SingleTxtG"/>
        <w:numPr>
          <w:ilvl w:val="0"/>
          <w:numId w:val="25"/>
        </w:numPr>
        <w:ind w:left="1134" w:firstLine="0"/>
        <w:rPr>
          <w:rFonts w:eastAsia="PMingLiU"/>
          <w:lang w:val="fr-FR" w:eastAsia="zh-TW"/>
        </w:rPr>
      </w:pPr>
      <w:r w:rsidRPr="004B2AF9">
        <w:rPr>
          <w:lang w:val="fr-FR"/>
        </w:rPr>
        <w:t>Il a été souligné que deux des propositions énoncées dans le document avaient déjà été adoptées à la session précédente et figuraient à l</w:t>
      </w:r>
      <w:r w:rsidR="0006343E">
        <w:rPr>
          <w:lang w:val="fr-FR"/>
        </w:rPr>
        <w:t>’</w:t>
      </w:r>
      <w:r w:rsidRPr="004B2AF9">
        <w:rPr>
          <w:lang w:val="fr-FR"/>
        </w:rPr>
        <w:t>annexe</w:t>
      </w:r>
      <w:r w:rsidR="000C5CF2">
        <w:rPr>
          <w:lang w:val="fr-FR"/>
        </w:rPr>
        <w:t> </w:t>
      </w:r>
      <w:r w:rsidRPr="004B2AF9">
        <w:rPr>
          <w:lang w:val="fr-FR"/>
        </w:rPr>
        <w:t>II du document ECE/TRANS/WP.11/231. Le Groupe de travail a décidé que, aux deuxième et troisième paragraphes de l</w:t>
      </w:r>
      <w:r w:rsidR="0006343E">
        <w:rPr>
          <w:lang w:val="fr-FR"/>
        </w:rPr>
        <w:t>’</w:t>
      </w:r>
      <w:r w:rsidRPr="004B2AF9">
        <w:rPr>
          <w:lang w:val="fr-FR"/>
        </w:rPr>
        <w:t>appendice</w:t>
      </w:r>
      <w:r w:rsidR="00B2794E">
        <w:rPr>
          <w:lang w:val="fr-FR"/>
        </w:rPr>
        <w:t> </w:t>
      </w:r>
      <w:r w:rsidRPr="004B2AF9">
        <w:rPr>
          <w:lang w:val="fr-FR"/>
        </w:rPr>
        <w:t>1 de l</w:t>
      </w:r>
      <w:r w:rsidR="0006343E">
        <w:rPr>
          <w:lang w:val="fr-FR"/>
        </w:rPr>
        <w:t>’</w:t>
      </w:r>
      <w:r w:rsidRPr="004B2AF9">
        <w:rPr>
          <w:lang w:val="fr-FR"/>
        </w:rPr>
        <w:t>annexe</w:t>
      </w:r>
      <w:r w:rsidR="00B2794E">
        <w:rPr>
          <w:lang w:val="fr-FR"/>
        </w:rPr>
        <w:t> </w:t>
      </w:r>
      <w:r w:rsidRPr="004B2AF9">
        <w:rPr>
          <w:lang w:val="fr-FR"/>
        </w:rPr>
        <w:t>2 de la version russe de l</w:t>
      </w:r>
      <w:r w:rsidR="0006343E">
        <w:rPr>
          <w:lang w:val="fr-FR"/>
        </w:rPr>
        <w:t>’</w:t>
      </w:r>
      <w:r w:rsidRPr="004B2AF9">
        <w:rPr>
          <w:lang w:val="fr-FR"/>
        </w:rPr>
        <w:t>ATP, l</w:t>
      </w:r>
      <w:r w:rsidR="0006343E">
        <w:rPr>
          <w:lang w:val="fr-FR"/>
        </w:rPr>
        <w:t>’</w:t>
      </w:r>
      <w:r w:rsidRPr="004B2AF9">
        <w:rPr>
          <w:lang w:val="fr-FR"/>
        </w:rPr>
        <w:t xml:space="preserve">intitulé russe des </w:t>
      </w:r>
      <w:r>
        <w:rPr>
          <w:lang w:val="fr-FR"/>
        </w:rPr>
        <w:t>normes EN</w:t>
      </w:r>
      <w:r w:rsidR="00B2794E">
        <w:rPr>
          <w:lang w:val="fr-FR"/>
        </w:rPr>
        <w:t> </w:t>
      </w:r>
      <w:r>
        <w:rPr>
          <w:lang w:val="fr-FR"/>
        </w:rPr>
        <w:t>13486 et EN</w:t>
      </w:r>
      <w:r w:rsidR="00B2794E">
        <w:rPr>
          <w:lang w:val="fr-FR"/>
        </w:rPr>
        <w:t> </w:t>
      </w:r>
      <w:r>
        <w:rPr>
          <w:lang w:val="fr-FR"/>
        </w:rPr>
        <w:t>12830 dev</w:t>
      </w:r>
      <w:r w:rsidRPr="004B2AF9">
        <w:rPr>
          <w:lang w:val="fr-FR"/>
        </w:rPr>
        <w:t>ait être corrigé (voir annexe</w:t>
      </w:r>
      <w:r w:rsidR="000C5CF2">
        <w:rPr>
          <w:lang w:val="fr-FR"/>
        </w:rPr>
        <w:t> </w:t>
      </w:r>
      <w:r w:rsidRPr="004B2AF9">
        <w:rPr>
          <w:lang w:val="fr-FR"/>
        </w:rPr>
        <w:t>II)</w:t>
      </w:r>
      <w:r w:rsidRPr="004B2AF9">
        <w:rPr>
          <w:rFonts w:eastAsia="PMingLiU"/>
          <w:lang w:val="fr-FR" w:eastAsia="zh-TW"/>
        </w:rPr>
        <w:t>.</w:t>
      </w:r>
    </w:p>
    <w:p w:rsidR="00D651C4" w:rsidRPr="004B2AF9" w:rsidRDefault="00D651C4" w:rsidP="00D651C4">
      <w:pPr>
        <w:pStyle w:val="H1G"/>
        <w:rPr>
          <w:lang w:val="fr-FR"/>
        </w:rPr>
      </w:pPr>
      <w:r w:rsidRPr="004B2AF9">
        <w:rPr>
          <w:lang w:val="fr-FR"/>
        </w:rPr>
        <w:tab/>
      </w:r>
      <w:bookmarkStart w:id="74" w:name="_Toc401568260"/>
      <w:bookmarkStart w:id="75" w:name="_Toc401568665"/>
      <w:bookmarkStart w:id="76" w:name="_Toc432670184"/>
      <w:r w:rsidRPr="004B2AF9">
        <w:rPr>
          <w:lang w:val="fr-FR"/>
        </w:rPr>
        <w:t>B.</w:t>
      </w:r>
      <w:r w:rsidRPr="004B2AF9">
        <w:rPr>
          <w:lang w:val="fr-FR"/>
        </w:rPr>
        <w:tab/>
      </w:r>
      <w:bookmarkEnd w:id="74"/>
      <w:bookmarkEnd w:id="75"/>
      <w:bookmarkEnd w:id="76"/>
      <w:r w:rsidRPr="004B2AF9">
        <w:rPr>
          <w:lang w:val="fr-FR"/>
        </w:rPr>
        <w:t>Nouvelles propositions</w:t>
      </w:r>
    </w:p>
    <w:p w:rsidR="00D651C4" w:rsidRPr="004B2AF9" w:rsidRDefault="00D651C4" w:rsidP="00D651C4">
      <w:pPr>
        <w:pStyle w:val="H23G"/>
        <w:rPr>
          <w:lang w:val="fr-FR"/>
        </w:rPr>
      </w:pPr>
      <w:r w:rsidRPr="004B2AF9">
        <w:rPr>
          <w:lang w:val="fr-FR"/>
        </w:rPr>
        <w:tab/>
      </w:r>
      <w:bookmarkStart w:id="77" w:name="_Toc432670185"/>
      <w:r w:rsidRPr="004B2AF9">
        <w:rPr>
          <w:lang w:val="fr-FR"/>
        </w:rPr>
        <w:t>1.</w:t>
      </w:r>
      <w:r w:rsidRPr="004B2AF9">
        <w:rPr>
          <w:lang w:val="fr-FR"/>
        </w:rPr>
        <w:tab/>
      </w:r>
      <w:bookmarkEnd w:id="77"/>
      <w:r w:rsidRPr="004B2AF9">
        <w:rPr>
          <w:lang w:val="fr-FR"/>
        </w:rPr>
        <w:t>Accréditation des autorités compétentes</w:t>
      </w:r>
    </w:p>
    <w:p w:rsidR="00D651C4" w:rsidRPr="004B2AF9" w:rsidRDefault="00D651C4" w:rsidP="000E43E4">
      <w:pPr>
        <w:spacing w:after="120"/>
        <w:ind w:left="2268" w:right="1134" w:hanging="1134"/>
        <w:rPr>
          <w:lang w:val="fr-FR"/>
        </w:rPr>
      </w:pPr>
      <w:r w:rsidRPr="004B2AF9">
        <w:rPr>
          <w:i/>
          <w:lang w:val="fr-FR"/>
        </w:rPr>
        <w:t>Document</w:t>
      </w:r>
      <w:r w:rsidR="00D65700">
        <w:rPr>
          <w:i/>
          <w:lang w:val="fr-FR"/>
        </w:rPr>
        <w:t> </w:t>
      </w:r>
      <w:r w:rsidRPr="004B2AF9">
        <w:rPr>
          <w:lang w:val="fr-FR"/>
        </w:rPr>
        <w:t>:</w:t>
      </w:r>
      <w:r w:rsidRPr="004B2AF9">
        <w:rPr>
          <w:lang w:val="fr-FR"/>
        </w:rPr>
        <w:tab/>
      </w:r>
      <w:r w:rsidRPr="004B2AF9">
        <w:rPr>
          <w:lang w:val="fr-FR"/>
        </w:rPr>
        <w:tab/>
        <w:t>ECE/TRANS/WP.11/2015/12 (France)</w:t>
      </w:r>
      <w:r w:rsidR="00D65700">
        <w:rPr>
          <w:lang w:val="fr-FR"/>
        </w:rPr>
        <w:t>.</w:t>
      </w:r>
    </w:p>
    <w:p w:rsidR="00D651C4" w:rsidRPr="004B2AF9" w:rsidRDefault="00D651C4" w:rsidP="00D65700">
      <w:pPr>
        <w:pStyle w:val="SingleTxtG"/>
        <w:numPr>
          <w:ilvl w:val="0"/>
          <w:numId w:val="25"/>
        </w:numPr>
        <w:ind w:left="1134" w:firstLine="0"/>
        <w:rPr>
          <w:lang w:val="fr-FR"/>
        </w:rPr>
      </w:pPr>
      <w:r w:rsidRPr="004B2AF9">
        <w:rPr>
          <w:lang w:val="fr-FR"/>
        </w:rPr>
        <w:t>Dans la proposition qu</w:t>
      </w:r>
      <w:r w:rsidR="0006343E">
        <w:rPr>
          <w:lang w:val="fr-FR"/>
        </w:rPr>
        <w:t>’</w:t>
      </w:r>
      <w:r w:rsidRPr="004B2AF9">
        <w:rPr>
          <w:lang w:val="fr-FR"/>
        </w:rPr>
        <w:t>elle avait soumise, la France faisait valoir que l</w:t>
      </w:r>
      <w:r w:rsidR="0006343E">
        <w:rPr>
          <w:lang w:val="fr-FR"/>
        </w:rPr>
        <w:t>’</w:t>
      </w:r>
      <w:r w:rsidRPr="004B2AF9">
        <w:rPr>
          <w:lang w:val="fr-FR"/>
        </w:rPr>
        <w:t>accréditation des autorités compétentes contribuerait à garantir l</w:t>
      </w:r>
      <w:r w:rsidR="0006343E">
        <w:rPr>
          <w:lang w:val="fr-FR"/>
        </w:rPr>
        <w:t>’</w:t>
      </w:r>
      <w:r w:rsidRPr="004B2AF9">
        <w:rPr>
          <w:lang w:val="fr-FR"/>
        </w:rPr>
        <w:t>impartialité des décisions de certification, le respect des procédures et normes techniques et la compétence des évaluateurs.</w:t>
      </w:r>
    </w:p>
    <w:p w:rsidR="00D651C4" w:rsidRPr="004B2AF9" w:rsidRDefault="00D651C4" w:rsidP="00D65700">
      <w:pPr>
        <w:pStyle w:val="SingleTxtG"/>
        <w:numPr>
          <w:ilvl w:val="0"/>
          <w:numId w:val="25"/>
        </w:numPr>
        <w:ind w:left="1134" w:firstLine="0"/>
        <w:rPr>
          <w:lang w:val="fr-FR"/>
        </w:rPr>
      </w:pPr>
      <w:r w:rsidRPr="004B2AF9">
        <w:rPr>
          <w:lang w:val="fr-FR"/>
        </w:rPr>
        <w:t xml:space="preserve">La majorité des pays étaient opposés à la proposition visant à </w:t>
      </w:r>
      <w:r>
        <w:rPr>
          <w:lang w:val="fr-FR"/>
        </w:rPr>
        <w:t>rendre obligatoire</w:t>
      </w:r>
      <w:r w:rsidRPr="004B2AF9">
        <w:rPr>
          <w:lang w:val="fr-FR"/>
        </w:rPr>
        <w:t xml:space="preserve"> l</w:t>
      </w:r>
      <w:r w:rsidR="0006343E">
        <w:rPr>
          <w:lang w:val="fr-FR"/>
        </w:rPr>
        <w:t>’</w:t>
      </w:r>
      <w:r w:rsidRPr="004B2AF9">
        <w:rPr>
          <w:lang w:val="fr-FR"/>
        </w:rPr>
        <w:t xml:space="preserve">accréditation des autorités compétentes selon la norme ISO 17065:2012 (Évaluation de la conformité </w:t>
      </w:r>
      <w:r w:rsidR="0006343E">
        <w:rPr>
          <w:lang w:val="fr-FR"/>
        </w:rPr>
        <w:t>−</w:t>
      </w:r>
      <w:r w:rsidRPr="004B2AF9">
        <w:rPr>
          <w:lang w:val="fr-FR"/>
        </w:rPr>
        <w:t xml:space="preserve"> Exigences pour les organismes certifiant les produits, les procédés et les services). La Fédération de Russie s</w:t>
      </w:r>
      <w:r w:rsidR="0006343E">
        <w:rPr>
          <w:lang w:val="fr-FR"/>
        </w:rPr>
        <w:t>’</w:t>
      </w:r>
      <w:r w:rsidRPr="004B2AF9">
        <w:rPr>
          <w:lang w:val="fr-FR"/>
        </w:rPr>
        <w:t>est dite opposée à la proposition au motif que les autorités publiques ne pouvaient pas être accréditées par une tierce partie. Il a également été déclaré que les coûts avaient été sous-estimés et seraient trop élevés pour les autorités compétentes qui ne délivraient qu</w:t>
      </w:r>
      <w:r w:rsidR="0006343E">
        <w:rPr>
          <w:lang w:val="fr-FR"/>
        </w:rPr>
        <w:t>’</w:t>
      </w:r>
      <w:r w:rsidRPr="004B2AF9">
        <w:rPr>
          <w:lang w:val="fr-FR"/>
        </w:rPr>
        <w:t>un petit nombre d</w:t>
      </w:r>
      <w:r w:rsidR="0006343E">
        <w:rPr>
          <w:lang w:val="fr-FR"/>
        </w:rPr>
        <w:t>’</w:t>
      </w:r>
      <w:r w:rsidRPr="004B2AF9">
        <w:rPr>
          <w:lang w:val="fr-FR"/>
        </w:rPr>
        <w:t>attestations. La proposition n</w:t>
      </w:r>
      <w:r w:rsidR="0006343E">
        <w:rPr>
          <w:lang w:val="fr-FR"/>
        </w:rPr>
        <w:t>’</w:t>
      </w:r>
      <w:r w:rsidRPr="004B2AF9">
        <w:rPr>
          <w:lang w:val="fr-FR"/>
        </w:rPr>
        <w:t>a pas été mise aux voix.</w:t>
      </w:r>
    </w:p>
    <w:p w:rsidR="00D651C4" w:rsidRPr="004B2AF9" w:rsidRDefault="00D651C4" w:rsidP="00D651C4">
      <w:pPr>
        <w:pStyle w:val="H23G"/>
        <w:rPr>
          <w:lang w:val="fr-FR"/>
        </w:rPr>
      </w:pPr>
      <w:r w:rsidRPr="004B2AF9">
        <w:rPr>
          <w:lang w:val="fr-FR"/>
        </w:rPr>
        <w:tab/>
      </w:r>
      <w:bookmarkStart w:id="78" w:name="_Toc432670186"/>
      <w:r w:rsidRPr="004B2AF9">
        <w:rPr>
          <w:lang w:val="fr-FR"/>
        </w:rPr>
        <w:t>2.</w:t>
      </w:r>
      <w:r w:rsidRPr="004B2AF9">
        <w:rPr>
          <w:lang w:val="fr-FR"/>
        </w:rPr>
        <w:tab/>
        <w:t>Article 18</w:t>
      </w:r>
      <w:bookmarkEnd w:id="78"/>
    </w:p>
    <w:p w:rsidR="00D651C4" w:rsidRPr="004B2AF9" w:rsidRDefault="00D651C4" w:rsidP="00D65700">
      <w:pPr>
        <w:pStyle w:val="SingleTxtG"/>
        <w:numPr>
          <w:ilvl w:val="0"/>
          <w:numId w:val="25"/>
        </w:numPr>
        <w:ind w:left="1134" w:firstLine="0"/>
        <w:rPr>
          <w:lang w:val="fr-FR"/>
        </w:rPr>
      </w:pPr>
      <w:r w:rsidRPr="004B2AF9">
        <w:rPr>
          <w:lang w:val="fr-FR"/>
        </w:rPr>
        <w:t>Le groupe de travail informel présidé par la Belgique a présenté à nouveau la proposition d</w:t>
      </w:r>
      <w:r w:rsidR="0006343E">
        <w:rPr>
          <w:lang w:val="fr-FR"/>
        </w:rPr>
        <w:t>’</w:t>
      </w:r>
      <w:r w:rsidRPr="004B2AF9">
        <w:rPr>
          <w:lang w:val="fr-FR"/>
        </w:rPr>
        <w:t>amendement formulée par l</w:t>
      </w:r>
      <w:r w:rsidR="0006343E">
        <w:rPr>
          <w:lang w:val="fr-FR"/>
        </w:rPr>
        <w:t>’</w:t>
      </w:r>
      <w:r w:rsidRPr="004B2AF9">
        <w:rPr>
          <w:lang w:val="fr-FR"/>
        </w:rPr>
        <w:t>Italie en 2002 et par le Portugal en 2007 pour modifier la règle de l</w:t>
      </w:r>
      <w:r w:rsidR="0006343E">
        <w:rPr>
          <w:lang w:val="fr-FR"/>
        </w:rPr>
        <w:t>’</w:t>
      </w:r>
      <w:r w:rsidRPr="004B2AF9">
        <w:rPr>
          <w:lang w:val="fr-FR"/>
        </w:rPr>
        <w:t>unanimité énoncée au paragraphe</w:t>
      </w:r>
      <w:r w:rsidR="00D65700">
        <w:rPr>
          <w:lang w:val="fr-FR"/>
        </w:rPr>
        <w:t> </w:t>
      </w:r>
      <w:r w:rsidRPr="004B2AF9">
        <w:rPr>
          <w:lang w:val="fr-FR"/>
        </w:rPr>
        <w:t>4 de l</w:t>
      </w:r>
      <w:r w:rsidR="0006343E">
        <w:rPr>
          <w:lang w:val="fr-FR"/>
        </w:rPr>
        <w:t>’</w:t>
      </w:r>
      <w:r w:rsidRPr="004B2AF9">
        <w:rPr>
          <w:lang w:val="fr-FR"/>
        </w:rPr>
        <w:t>article</w:t>
      </w:r>
      <w:r w:rsidR="00D65700">
        <w:rPr>
          <w:lang w:val="fr-FR"/>
        </w:rPr>
        <w:t> </w:t>
      </w:r>
      <w:r w:rsidRPr="004B2AF9">
        <w:rPr>
          <w:lang w:val="fr-FR"/>
        </w:rPr>
        <w:t>18. Il était proposé qu</w:t>
      </w:r>
      <w:r w:rsidR="0006343E">
        <w:rPr>
          <w:lang w:val="fr-FR"/>
        </w:rPr>
        <w:t>’</w:t>
      </w:r>
      <w:r w:rsidRPr="004B2AF9">
        <w:rPr>
          <w:lang w:val="fr-FR"/>
        </w:rPr>
        <w:t xml:space="preserve">au moins trois objections soient nécessaires pour </w:t>
      </w:r>
      <w:r>
        <w:rPr>
          <w:lang w:val="fr-FR"/>
        </w:rPr>
        <w:t xml:space="preserve">entraîner le </w:t>
      </w:r>
      <w:r w:rsidRPr="004B2AF9">
        <w:rPr>
          <w:lang w:val="fr-FR"/>
        </w:rPr>
        <w:t xml:space="preserve">rejet </w:t>
      </w:r>
      <w:r>
        <w:rPr>
          <w:lang w:val="fr-FR"/>
        </w:rPr>
        <w:t>d</w:t>
      </w:r>
      <w:r w:rsidR="0006343E">
        <w:rPr>
          <w:lang w:val="fr-FR"/>
        </w:rPr>
        <w:t>’</w:t>
      </w:r>
      <w:r w:rsidRPr="004B2AF9">
        <w:rPr>
          <w:lang w:val="fr-FR"/>
        </w:rPr>
        <w:t>un amendement aux annexes techniques de l</w:t>
      </w:r>
      <w:r w:rsidR="0006343E">
        <w:rPr>
          <w:lang w:val="fr-FR"/>
        </w:rPr>
        <w:t>’</w:t>
      </w:r>
      <w:r w:rsidRPr="004B2AF9">
        <w:rPr>
          <w:lang w:val="fr-FR"/>
        </w:rPr>
        <w:t>ATP, et que la règle de l</w:t>
      </w:r>
      <w:r w:rsidR="0006343E">
        <w:rPr>
          <w:lang w:val="fr-FR"/>
        </w:rPr>
        <w:t>’</w:t>
      </w:r>
      <w:r w:rsidRPr="004B2AF9">
        <w:rPr>
          <w:lang w:val="fr-FR"/>
        </w:rPr>
        <w:t>unanimité ne soit maintenue que pour les articles de l</w:t>
      </w:r>
      <w:r w:rsidR="0006343E">
        <w:rPr>
          <w:lang w:val="fr-FR"/>
        </w:rPr>
        <w:t>’</w:t>
      </w:r>
      <w:r w:rsidRPr="004B2AF9">
        <w:rPr>
          <w:lang w:val="fr-FR"/>
        </w:rPr>
        <w:t>ATP lui-même.</w:t>
      </w:r>
    </w:p>
    <w:p w:rsidR="00D651C4" w:rsidRPr="004B2AF9" w:rsidRDefault="00D651C4" w:rsidP="00D65700">
      <w:pPr>
        <w:pStyle w:val="SingleTxtG"/>
        <w:numPr>
          <w:ilvl w:val="0"/>
          <w:numId w:val="25"/>
        </w:numPr>
        <w:ind w:left="1134" w:firstLine="0"/>
        <w:rPr>
          <w:lang w:val="fr-FR"/>
        </w:rPr>
      </w:pPr>
      <w:r w:rsidRPr="004B2AF9">
        <w:rPr>
          <w:lang w:val="fr-FR"/>
        </w:rPr>
        <w:t>Plusieurs pays ont appuyé la proposition, mais le Danemark et le Royaume-Uni ont fait part de leur opposition en faisant valoir qu</w:t>
      </w:r>
      <w:r w:rsidR="0006343E">
        <w:rPr>
          <w:lang w:val="fr-FR"/>
        </w:rPr>
        <w:t>’</w:t>
      </w:r>
      <w:r w:rsidRPr="004B2AF9">
        <w:rPr>
          <w:lang w:val="fr-FR"/>
        </w:rPr>
        <w:t xml:space="preserve">il pourrait en résulter une perte de souveraineté sur les questions </w:t>
      </w:r>
      <w:r>
        <w:rPr>
          <w:lang w:val="fr-FR"/>
        </w:rPr>
        <w:t>ayant trait à</w:t>
      </w:r>
      <w:r w:rsidRPr="004B2AF9">
        <w:rPr>
          <w:lang w:val="fr-FR"/>
        </w:rPr>
        <w:t xml:space="preserve"> l</w:t>
      </w:r>
      <w:r w:rsidR="0006343E">
        <w:rPr>
          <w:lang w:val="fr-FR"/>
        </w:rPr>
        <w:t>’</w:t>
      </w:r>
      <w:r w:rsidRPr="004B2AF9">
        <w:rPr>
          <w:lang w:val="fr-FR"/>
        </w:rPr>
        <w:t>ATP. La Fédération de Russie s</w:t>
      </w:r>
      <w:r w:rsidR="0006343E">
        <w:rPr>
          <w:lang w:val="fr-FR"/>
        </w:rPr>
        <w:t>’</w:t>
      </w:r>
      <w:r w:rsidRPr="004B2AF9">
        <w:rPr>
          <w:lang w:val="fr-FR"/>
        </w:rPr>
        <w:t xml:space="preserve">est également prononcée contre les changements proposés. </w:t>
      </w:r>
    </w:p>
    <w:p w:rsidR="00D651C4" w:rsidRPr="004B2AF9" w:rsidRDefault="00D651C4" w:rsidP="00D651C4">
      <w:pPr>
        <w:pStyle w:val="H23G"/>
        <w:rPr>
          <w:lang w:val="fr-FR"/>
        </w:rPr>
      </w:pPr>
      <w:r w:rsidRPr="004B2AF9">
        <w:rPr>
          <w:lang w:val="fr-FR"/>
        </w:rPr>
        <w:tab/>
      </w:r>
      <w:bookmarkStart w:id="79" w:name="_Toc432670187"/>
      <w:r w:rsidRPr="004B2AF9">
        <w:rPr>
          <w:lang w:val="fr-FR"/>
        </w:rPr>
        <w:t>3.</w:t>
      </w:r>
      <w:r w:rsidRPr="004B2AF9">
        <w:rPr>
          <w:lang w:val="fr-FR"/>
        </w:rPr>
        <w:tab/>
      </w:r>
      <w:bookmarkEnd w:id="79"/>
      <w:r w:rsidRPr="004B2AF9">
        <w:rPr>
          <w:lang w:val="fr-FR"/>
        </w:rPr>
        <w:t>Définitions à ajouter à l</w:t>
      </w:r>
      <w:r w:rsidR="0006343E">
        <w:rPr>
          <w:lang w:val="fr-FR"/>
        </w:rPr>
        <w:t>’</w:t>
      </w:r>
      <w:r w:rsidRPr="004B2AF9">
        <w:rPr>
          <w:lang w:val="fr-FR"/>
        </w:rPr>
        <w:t>annexe 1</w:t>
      </w:r>
    </w:p>
    <w:p w:rsidR="00D651C4" w:rsidRPr="004B2AF9" w:rsidRDefault="00D651C4" w:rsidP="000E43E4">
      <w:pPr>
        <w:spacing w:after="120"/>
        <w:ind w:left="2268" w:right="1134" w:hanging="1134"/>
        <w:rPr>
          <w:lang w:val="fr-FR"/>
        </w:rPr>
      </w:pPr>
      <w:r w:rsidRPr="004B2AF9">
        <w:rPr>
          <w:i/>
          <w:lang w:val="fr-FR"/>
        </w:rPr>
        <w:t>Document</w:t>
      </w:r>
      <w:r w:rsidR="000E43E4">
        <w:rPr>
          <w:i/>
          <w:lang w:val="fr-FR"/>
        </w:rPr>
        <w:t>s</w:t>
      </w:r>
      <w:r w:rsidR="00D65700">
        <w:rPr>
          <w:i/>
          <w:lang w:val="fr-FR"/>
        </w:rPr>
        <w:t> </w:t>
      </w:r>
      <w:r w:rsidRPr="004B2AF9">
        <w:rPr>
          <w:lang w:val="fr-FR"/>
        </w:rPr>
        <w:t>:</w:t>
      </w:r>
      <w:r w:rsidRPr="004B2AF9">
        <w:rPr>
          <w:lang w:val="fr-FR"/>
        </w:rPr>
        <w:tab/>
      </w:r>
      <w:r w:rsidRPr="004B2AF9">
        <w:rPr>
          <w:lang w:val="fr-FR"/>
        </w:rPr>
        <w:tab/>
        <w:t>ECE/TRANS/WP.11/2015/17 (Pays-Bas)</w:t>
      </w:r>
      <w:r w:rsidR="000E43E4">
        <w:rPr>
          <w:lang w:val="fr-FR"/>
        </w:rPr>
        <w:t xml:space="preserve"> </w:t>
      </w:r>
      <w:r w:rsidR="000E43E4">
        <w:rPr>
          <w:lang w:val="fr-FR"/>
        </w:rPr>
        <w:br/>
      </w:r>
      <w:r w:rsidRPr="000E43E4">
        <w:rPr>
          <w:lang w:val="fr-FR"/>
        </w:rPr>
        <w:t>Document informel</w:t>
      </w:r>
      <w:r w:rsidR="000E43E4">
        <w:rPr>
          <w:lang w:val="fr-FR"/>
        </w:rPr>
        <w:t xml:space="preserve"> </w:t>
      </w:r>
      <w:r w:rsidRPr="000E43E4">
        <w:rPr>
          <w:lang w:val="fr-FR"/>
        </w:rPr>
        <w:t xml:space="preserve">INF.13 </w:t>
      </w:r>
      <w:r w:rsidRPr="004B2AF9">
        <w:rPr>
          <w:lang w:val="fr-FR"/>
        </w:rPr>
        <w:t>(Pays-Bas)</w:t>
      </w:r>
      <w:r w:rsidR="00D65700">
        <w:rPr>
          <w:lang w:val="fr-FR"/>
        </w:rPr>
        <w:t>.</w:t>
      </w:r>
    </w:p>
    <w:p w:rsidR="00D651C4" w:rsidRPr="004B2AF9" w:rsidRDefault="00D651C4" w:rsidP="00D65700">
      <w:pPr>
        <w:pStyle w:val="SingleTxtG"/>
        <w:numPr>
          <w:ilvl w:val="0"/>
          <w:numId w:val="25"/>
        </w:numPr>
        <w:ind w:left="1134" w:firstLine="0"/>
        <w:rPr>
          <w:lang w:val="fr-FR"/>
        </w:rPr>
      </w:pPr>
      <w:r w:rsidRPr="004B2AF9">
        <w:rPr>
          <w:lang w:val="fr-FR"/>
        </w:rPr>
        <w:t>Afin d</w:t>
      </w:r>
      <w:r w:rsidR="0006343E">
        <w:rPr>
          <w:lang w:val="fr-FR"/>
        </w:rPr>
        <w:t>’</w:t>
      </w:r>
      <w:r w:rsidRPr="004B2AF9">
        <w:rPr>
          <w:lang w:val="fr-FR"/>
        </w:rPr>
        <w:t>améliorer la compréhension de l</w:t>
      </w:r>
      <w:r w:rsidR="0006343E">
        <w:rPr>
          <w:lang w:val="fr-FR"/>
        </w:rPr>
        <w:t>’</w:t>
      </w:r>
      <w:r w:rsidRPr="004B2AF9">
        <w:rPr>
          <w:lang w:val="fr-FR"/>
        </w:rPr>
        <w:t>ATP et d</w:t>
      </w:r>
      <w:r w:rsidR="0006343E">
        <w:rPr>
          <w:lang w:val="fr-FR"/>
        </w:rPr>
        <w:t>’</w:t>
      </w:r>
      <w:r w:rsidRPr="004B2AF9">
        <w:rPr>
          <w:lang w:val="fr-FR"/>
        </w:rPr>
        <w:t>en limiter l</w:t>
      </w:r>
      <w:r w:rsidR="0006343E">
        <w:rPr>
          <w:lang w:val="fr-FR"/>
        </w:rPr>
        <w:t>’</w:t>
      </w:r>
      <w:r w:rsidRPr="004B2AF9">
        <w:rPr>
          <w:lang w:val="fr-FR"/>
        </w:rPr>
        <w:t>interprétation, les Pays-Bas proposaient d</w:t>
      </w:r>
      <w:r w:rsidR="0006343E">
        <w:rPr>
          <w:lang w:val="fr-FR"/>
        </w:rPr>
        <w:t>’</w:t>
      </w:r>
      <w:r w:rsidRPr="004B2AF9">
        <w:rPr>
          <w:lang w:val="fr-FR"/>
        </w:rPr>
        <w:t>ajouter des définitions à l</w:t>
      </w:r>
      <w:r w:rsidR="0006343E">
        <w:rPr>
          <w:lang w:val="fr-FR"/>
        </w:rPr>
        <w:t>’</w:t>
      </w:r>
      <w:r w:rsidRPr="004B2AF9">
        <w:rPr>
          <w:lang w:val="fr-FR"/>
        </w:rPr>
        <w:t>annexe</w:t>
      </w:r>
      <w:r w:rsidR="009E3358">
        <w:rPr>
          <w:lang w:val="fr-FR"/>
        </w:rPr>
        <w:t> </w:t>
      </w:r>
      <w:r w:rsidRPr="004B2AF9">
        <w:rPr>
          <w:lang w:val="fr-FR"/>
        </w:rPr>
        <w:t xml:space="preserve">1. Les définitions figureraient par ordre alphabétique dans </w:t>
      </w:r>
      <w:r>
        <w:rPr>
          <w:lang w:val="fr-FR"/>
        </w:rPr>
        <w:t>chaque</w:t>
      </w:r>
      <w:r w:rsidRPr="004B2AF9">
        <w:rPr>
          <w:lang w:val="fr-FR"/>
        </w:rPr>
        <w:t xml:space="preserve"> langue de publication de l</w:t>
      </w:r>
      <w:r w:rsidR="0006343E">
        <w:rPr>
          <w:lang w:val="fr-FR"/>
        </w:rPr>
        <w:t>’</w:t>
      </w:r>
      <w:r w:rsidRPr="004B2AF9">
        <w:rPr>
          <w:lang w:val="fr-FR"/>
        </w:rPr>
        <w:t>ATP.</w:t>
      </w:r>
    </w:p>
    <w:p w:rsidR="00D651C4" w:rsidRPr="004B2AF9" w:rsidRDefault="00D651C4" w:rsidP="00D65700">
      <w:pPr>
        <w:pStyle w:val="SingleTxtG"/>
        <w:numPr>
          <w:ilvl w:val="0"/>
          <w:numId w:val="25"/>
        </w:numPr>
        <w:ind w:left="1134" w:firstLine="0"/>
        <w:rPr>
          <w:lang w:val="fr-FR"/>
        </w:rPr>
      </w:pPr>
      <w:r w:rsidRPr="004B2AF9">
        <w:rPr>
          <w:lang w:val="fr-FR"/>
        </w:rPr>
        <w:t>Les différentes définitions ont fait l</w:t>
      </w:r>
      <w:r w:rsidR="0006343E">
        <w:rPr>
          <w:lang w:val="fr-FR"/>
        </w:rPr>
        <w:t>’</w:t>
      </w:r>
      <w:r w:rsidRPr="004B2AF9">
        <w:rPr>
          <w:lang w:val="fr-FR"/>
        </w:rPr>
        <w:t>objet de débats approfondis et des corr</w:t>
      </w:r>
      <w:r>
        <w:rPr>
          <w:lang w:val="fr-FR"/>
        </w:rPr>
        <w:t>ections ont été proposées dans chacune d</w:t>
      </w:r>
      <w:r w:rsidRPr="004B2AF9">
        <w:rPr>
          <w:lang w:val="fr-FR"/>
        </w:rPr>
        <w:t>es trois versions linguistiques.</w:t>
      </w:r>
    </w:p>
    <w:p w:rsidR="00D651C4" w:rsidRPr="004B2AF9" w:rsidRDefault="00D651C4" w:rsidP="00D65700">
      <w:pPr>
        <w:pStyle w:val="SingleTxtG"/>
        <w:numPr>
          <w:ilvl w:val="0"/>
          <w:numId w:val="25"/>
        </w:numPr>
        <w:ind w:left="1134" w:firstLine="0"/>
        <w:rPr>
          <w:lang w:val="fr-FR"/>
        </w:rPr>
      </w:pPr>
      <w:r w:rsidRPr="004B2AF9">
        <w:rPr>
          <w:lang w:val="fr-FR"/>
        </w:rPr>
        <w:t>En dépit de l</w:t>
      </w:r>
      <w:r w:rsidR="0006343E">
        <w:rPr>
          <w:lang w:val="fr-FR"/>
        </w:rPr>
        <w:t>’</w:t>
      </w:r>
      <w:r w:rsidRPr="004B2AF9">
        <w:rPr>
          <w:lang w:val="fr-FR"/>
        </w:rPr>
        <w:t>appui qu</w:t>
      </w:r>
      <w:r w:rsidR="0006343E">
        <w:rPr>
          <w:lang w:val="fr-FR"/>
        </w:rPr>
        <w:t>’</w:t>
      </w:r>
      <w:r w:rsidRPr="004B2AF9">
        <w:rPr>
          <w:lang w:val="fr-FR"/>
        </w:rPr>
        <w:t>elles avaient apporté aux travaux sur les définitions, certaines délégations n</w:t>
      </w:r>
      <w:r w:rsidR="0006343E">
        <w:rPr>
          <w:lang w:val="fr-FR"/>
        </w:rPr>
        <w:t>’</w:t>
      </w:r>
      <w:r w:rsidRPr="004B2AF9">
        <w:rPr>
          <w:lang w:val="fr-FR"/>
        </w:rPr>
        <w:t xml:space="preserve">ont pas </w:t>
      </w:r>
      <w:r>
        <w:rPr>
          <w:lang w:val="fr-FR"/>
        </w:rPr>
        <w:t>été en mesure d</w:t>
      </w:r>
      <w:r w:rsidR="0006343E">
        <w:rPr>
          <w:lang w:val="fr-FR"/>
        </w:rPr>
        <w:t>’</w:t>
      </w:r>
      <w:r w:rsidRPr="004B2AF9">
        <w:rPr>
          <w:lang w:val="fr-FR"/>
        </w:rPr>
        <w:t>accepter la proposition sous sa forme actuelle.</w:t>
      </w:r>
    </w:p>
    <w:p w:rsidR="00D651C4" w:rsidRPr="004B2AF9" w:rsidRDefault="00D651C4" w:rsidP="00D65700">
      <w:pPr>
        <w:pStyle w:val="SingleTxtG"/>
        <w:numPr>
          <w:ilvl w:val="0"/>
          <w:numId w:val="25"/>
        </w:numPr>
        <w:ind w:left="1134" w:firstLine="0"/>
        <w:rPr>
          <w:rFonts w:eastAsia="SimSun"/>
          <w:lang w:val="fr-FR" w:eastAsia="zh-CN"/>
        </w:rPr>
      </w:pPr>
      <w:r w:rsidRPr="004B2AF9">
        <w:rPr>
          <w:lang w:val="fr-FR"/>
        </w:rPr>
        <w:t>Le Groupe de travail a prié les Pays-Bas de poursuivre leurs travaux sur les définitions et plusieurs délégations, y compris la Fédération de Russie, ont exprimé leur volonté de participer à ces travaux à l</w:t>
      </w:r>
      <w:r w:rsidR="0006343E">
        <w:rPr>
          <w:lang w:val="fr-FR"/>
        </w:rPr>
        <w:t>’</w:t>
      </w:r>
      <w:r w:rsidRPr="004B2AF9">
        <w:rPr>
          <w:lang w:val="fr-FR"/>
        </w:rPr>
        <w:t>avenir. Il a été suggéré qu</w:t>
      </w:r>
      <w:r w:rsidR="0006343E">
        <w:rPr>
          <w:lang w:val="fr-FR"/>
        </w:rPr>
        <w:t>’</w:t>
      </w:r>
      <w:r w:rsidRPr="004B2AF9">
        <w:rPr>
          <w:lang w:val="fr-FR"/>
        </w:rPr>
        <w:t>un projet de texte soit diffusé pour commentaires avant d</w:t>
      </w:r>
      <w:r w:rsidR="0006343E">
        <w:rPr>
          <w:lang w:val="fr-FR"/>
        </w:rPr>
        <w:t>’</w:t>
      </w:r>
      <w:r w:rsidRPr="004B2AF9">
        <w:rPr>
          <w:lang w:val="fr-FR"/>
        </w:rPr>
        <w:t>être soumis en tant que document officiel. Le Président a proposé que soit dressée la liste des termes à définir afin que l</w:t>
      </w:r>
      <w:r w:rsidR="0006343E">
        <w:rPr>
          <w:lang w:val="fr-FR"/>
        </w:rPr>
        <w:t>’</w:t>
      </w:r>
      <w:r w:rsidRPr="004B2AF9">
        <w:rPr>
          <w:lang w:val="fr-FR"/>
        </w:rPr>
        <w:t>on puisse vérifier, à la session suivante, si toutes les définitions voulues avaient été établies</w:t>
      </w:r>
      <w:r w:rsidRPr="004B2AF9">
        <w:rPr>
          <w:rFonts w:eastAsia="SimSun"/>
          <w:lang w:val="fr-FR" w:eastAsia="zh-CN"/>
        </w:rPr>
        <w:t>.</w:t>
      </w:r>
    </w:p>
    <w:p w:rsidR="00D651C4" w:rsidRPr="004B2AF9" w:rsidRDefault="00D651C4" w:rsidP="00D651C4">
      <w:pPr>
        <w:pStyle w:val="H23G"/>
        <w:rPr>
          <w:lang w:val="fr-FR"/>
        </w:rPr>
      </w:pPr>
      <w:r w:rsidRPr="004B2AF9">
        <w:rPr>
          <w:lang w:val="fr-FR"/>
        </w:rPr>
        <w:tab/>
      </w:r>
      <w:bookmarkStart w:id="80" w:name="_Toc432670188"/>
      <w:r w:rsidRPr="004B2AF9">
        <w:rPr>
          <w:lang w:val="fr-FR"/>
        </w:rPr>
        <w:t>4.</w:t>
      </w:r>
      <w:r w:rsidRPr="004B2AF9">
        <w:rPr>
          <w:lang w:val="fr-FR"/>
        </w:rPr>
        <w:tab/>
      </w:r>
      <w:bookmarkEnd w:id="80"/>
      <w:r w:rsidRPr="004B2AF9">
        <w:rPr>
          <w:lang w:val="fr-FR"/>
        </w:rPr>
        <w:t>Accréditation des stations d</w:t>
      </w:r>
      <w:r w:rsidR="0006343E">
        <w:rPr>
          <w:lang w:val="fr-FR"/>
        </w:rPr>
        <w:t>’</w:t>
      </w:r>
      <w:r w:rsidRPr="004B2AF9">
        <w:rPr>
          <w:lang w:val="fr-FR"/>
        </w:rPr>
        <w:t>essai</w:t>
      </w:r>
    </w:p>
    <w:p w:rsidR="00D651C4" w:rsidRPr="004B2AF9" w:rsidRDefault="00D651C4" w:rsidP="000E43E4">
      <w:pPr>
        <w:spacing w:after="120"/>
        <w:ind w:left="2268" w:right="1134" w:hanging="1134"/>
        <w:rPr>
          <w:lang w:val="fr-FR"/>
        </w:rPr>
      </w:pPr>
      <w:r w:rsidRPr="004B2AF9">
        <w:rPr>
          <w:i/>
          <w:lang w:val="fr-FR"/>
        </w:rPr>
        <w:t>Document</w:t>
      </w:r>
      <w:r w:rsidR="009E3358">
        <w:rPr>
          <w:i/>
          <w:lang w:val="fr-FR"/>
        </w:rPr>
        <w:t> </w:t>
      </w:r>
      <w:r w:rsidRPr="004B2AF9">
        <w:rPr>
          <w:lang w:val="fr-FR"/>
        </w:rPr>
        <w:t>:</w:t>
      </w:r>
      <w:r w:rsidRPr="004B2AF9">
        <w:rPr>
          <w:lang w:val="fr-FR"/>
        </w:rPr>
        <w:tab/>
      </w:r>
      <w:r w:rsidRPr="004B2AF9">
        <w:rPr>
          <w:lang w:val="fr-FR"/>
        </w:rPr>
        <w:tab/>
        <w:t>ECE/TRANS/WP.11/2015/11 (France)</w:t>
      </w:r>
      <w:r w:rsidR="009E3358">
        <w:rPr>
          <w:lang w:val="fr-FR"/>
        </w:rPr>
        <w:t>.</w:t>
      </w:r>
    </w:p>
    <w:p w:rsidR="00D651C4" w:rsidRPr="004B2AF9" w:rsidRDefault="00D651C4" w:rsidP="00D65700">
      <w:pPr>
        <w:pStyle w:val="SingleTxtG"/>
        <w:numPr>
          <w:ilvl w:val="0"/>
          <w:numId w:val="25"/>
        </w:numPr>
        <w:ind w:left="1134" w:firstLine="0"/>
        <w:rPr>
          <w:lang w:val="fr-FR"/>
        </w:rPr>
      </w:pPr>
      <w:r w:rsidRPr="004B2AF9">
        <w:rPr>
          <w:lang w:val="fr-FR"/>
        </w:rPr>
        <w:t>Plusieurs stations d</w:t>
      </w:r>
      <w:r w:rsidR="0006343E">
        <w:rPr>
          <w:lang w:val="fr-FR"/>
        </w:rPr>
        <w:t>’</w:t>
      </w:r>
      <w:r w:rsidRPr="004B2AF9">
        <w:rPr>
          <w:lang w:val="fr-FR"/>
        </w:rPr>
        <w:t>essai officielles avaient obtenu l</w:t>
      </w:r>
      <w:r w:rsidR="0006343E">
        <w:rPr>
          <w:lang w:val="fr-FR"/>
        </w:rPr>
        <w:t>’</w:t>
      </w:r>
      <w:r w:rsidRPr="004B2AF9">
        <w:rPr>
          <w:lang w:val="fr-FR"/>
        </w:rPr>
        <w:t>accréditation de leur activité selon la norme ISO</w:t>
      </w:r>
      <w:r w:rsidR="009E3358">
        <w:rPr>
          <w:lang w:val="fr-FR"/>
        </w:rPr>
        <w:t> </w:t>
      </w:r>
      <w:r w:rsidRPr="004B2AF9">
        <w:rPr>
          <w:lang w:val="fr-FR"/>
        </w:rPr>
        <w:t>17025 (Exigences générales concernant la compétence des laboratoires d</w:t>
      </w:r>
      <w:r w:rsidR="0006343E">
        <w:rPr>
          <w:lang w:val="fr-FR"/>
        </w:rPr>
        <w:t>’</w:t>
      </w:r>
      <w:r w:rsidRPr="004B2AF9">
        <w:rPr>
          <w:lang w:val="fr-FR"/>
        </w:rPr>
        <w:t>étalonnage</w:t>
      </w:r>
      <w:r>
        <w:rPr>
          <w:lang w:val="fr-FR"/>
        </w:rPr>
        <w:t>s</w:t>
      </w:r>
      <w:r w:rsidRPr="004B2AF9">
        <w:rPr>
          <w:lang w:val="fr-FR"/>
        </w:rPr>
        <w:t xml:space="preserve"> et d</w:t>
      </w:r>
      <w:r w:rsidR="0006343E">
        <w:rPr>
          <w:lang w:val="fr-FR"/>
        </w:rPr>
        <w:t>’</w:t>
      </w:r>
      <w:r w:rsidRPr="004B2AF9">
        <w:rPr>
          <w:lang w:val="fr-FR"/>
        </w:rPr>
        <w:t>essai</w:t>
      </w:r>
      <w:r>
        <w:rPr>
          <w:lang w:val="fr-FR"/>
        </w:rPr>
        <w:t>s</w:t>
      </w:r>
      <w:r w:rsidRPr="004B2AF9">
        <w:rPr>
          <w:lang w:val="fr-FR"/>
        </w:rPr>
        <w:t>). La proposition française faisait valoir que l</w:t>
      </w:r>
      <w:r w:rsidR="0006343E">
        <w:rPr>
          <w:lang w:val="fr-FR"/>
        </w:rPr>
        <w:t>’</w:t>
      </w:r>
      <w:r w:rsidRPr="004B2AF9">
        <w:rPr>
          <w:lang w:val="fr-FR"/>
        </w:rPr>
        <w:t>évaluation des stations d</w:t>
      </w:r>
      <w:r w:rsidR="0006343E">
        <w:rPr>
          <w:lang w:val="fr-FR"/>
        </w:rPr>
        <w:t>’</w:t>
      </w:r>
      <w:r w:rsidRPr="004B2AF9">
        <w:rPr>
          <w:lang w:val="fr-FR"/>
        </w:rPr>
        <w:t xml:space="preserve">essai par une tierce partie </w:t>
      </w:r>
      <w:r>
        <w:rPr>
          <w:lang w:val="fr-FR"/>
        </w:rPr>
        <w:t>garantissait</w:t>
      </w:r>
      <w:r w:rsidRPr="004B2AF9">
        <w:rPr>
          <w:lang w:val="fr-FR"/>
        </w:rPr>
        <w:t xml:space="preserve"> un niveau plus élevé d</w:t>
      </w:r>
      <w:r w:rsidR="0006343E">
        <w:rPr>
          <w:lang w:val="fr-FR"/>
        </w:rPr>
        <w:t>’</w:t>
      </w:r>
      <w:r w:rsidRPr="004B2AF9">
        <w:rPr>
          <w:lang w:val="fr-FR"/>
        </w:rPr>
        <w:t>harmonisation des pratiques.</w:t>
      </w:r>
    </w:p>
    <w:p w:rsidR="00D651C4" w:rsidRPr="004B2AF9" w:rsidRDefault="00D651C4" w:rsidP="00D65700">
      <w:pPr>
        <w:pStyle w:val="SingleTxtG"/>
        <w:numPr>
          <w:ilvl w:val="0"/>
          <w:numId w:val="25"/>
        </w:numPr>
        <w:ind w:left="1134" w:firstLine="0"/>
        <w:rPr>
          <w:lang w:val="fr-FR"/>
        </w:rPr>
      </w:pPr>
      <w:r w:rsidRPr="004B2AF9">
        <w:rPr>
          <w:lang w:val="fr-FR"/>
        </w:rPr>
        <w:t>Le Groupe de travail a rejeté la proposition d</w:t>
      </w:r>
      <w:r w:rsidR="0006343E">
        <w:rPr>
          <w:lang w:val="fr-FR"/>
        </w:rPr>
        <w:t>’</w:t>
      </w:r>
      <w:r w:rsidRPr="004B2AF9">
        <w:rPr>
          <w:lang w:val="fr-FR"/>
        </w:rPr>
        <w:t>amendement à l</w:t>
      </w:r>
      <w:r w:rsidR="0006343E">
        <w:rPr>
          <w:lang w:val="fr-FR"/>
        </w:rPr>
        <w:t>’</w:t>
      </w:r>
      <w:r w:rsidRPr="004B2AF9">
        <w:rPr>
          <w:lang w:val="fr-FR"/>
        </w:rPr>
        <w:t>ATP au motif que les coûts avaient été sous-estimés et seraient trop élevés pour les stations d</w:t>
      </w:r>
      <w:r w:rsidR="0006343E">
        <w:rPr>
          <w:lang w:val="fr-FR"/>
        </w:rPr>
        <w:t>’</w:t>
      </w:r>
      <w:r w:rsidRPr="004B2AF9">
        <w:rPr>
          <w:lang w:val="fr-FR"/>
        </w:rPr>
        <w:t>essai qui n</w:t>
      </w:r>
      <w:r w:rsidR="0006343E">
        <w:rPr>
          <w:lang w:val="fr-FR"/>
        </w:rPr>
        <w:t>’</w:t>
      </w:r>
      <w:r w:rsidRPr="004B2AF9">
        <w:rPr>
          <w:lang w:val="fr-FR"/>
        </w:rPr>
        <w:t>établissaient qu</w:t>
      </w:r>
      <w:r w:rsidR="0006343E">
        <w:rPr>
          <w:lang w:val="fr-FR"/>
        </w:rPr>
        <w:t>’</w:t>
      </w:r>
      <w:r w:rsidRPr="004B2AF9">
        <w:rPr>
          <w:lang w:val="fr-FR"/>
        </w:rPr>
        <w:t>un petit nombre de procès-verbaux d</w:t>
      </w:r>
      <w:r w:rsidR="0006343E">
        <w:rPr>
          <w:lang w:val="fr-FR"/>
        </w:rPr>
        <w:t>’</w:t>
      </w:r>
      <w:r w:rsidRPr="004B2AF9">
        <w:rPr>
          <w:lang w:val="fr-FR"/>
        </w:rPr>
        <w:t>essai.</w:t>
      </w:r>
    </w:p>
    <w:p w:rsidR="00D651C4" w:rsidRPr="004B2AF9" w:rsidRDefault="00D651C4" w:rsidP="00D65700">
      <w:pPr>
        <w:pStyle w:val="SingleTxtG"/>
        <w:numPr>
          <w:ilvl w:val="0"/>
          <w:numId w:val="25"/>
        </w:numPr>
        <w:ind w:left="1134" w:firstLine="0"/>
        <w:rPr>
          <w:lang w:val="fr-FR"/>
        </w:rPr>
      </w:pPr>
      <w:r w:rsidRPr="004B2AF9">
        <w:rPr>
          <w:lang w:val="fr-FR"/>
        </w:rPr>
        <w:t>Les voix se sont réparties comme suit</w:t>
      </w:r>
      <w:r w:rsidR="009E3358">
        <w:rPr>
          <w:lang w:val="fr-FR"/>
        </w:rPr>
        <w:t> </w:t>
      </w:r>
      <w:r w:rsidRPr="004B2AF9">
        <w:rPr>
          <w:lang w:val="fr-FR"/>
        </w:rPr>
        <w:t xml:space="preserve">: 5 pays ont voté pour la proposition (Espagne, France, Maroc, Pologne et Portugal) et </w:t>
      </w:r>
      <w:r w:rsidR="00436EC3">
        <w:rPr>
          <w:lang w:val="fr-FR"/>
        </w:rPr>
        <w:t>6</w:t>
      </w:r>
      <w:r w:rsidRPr="004B2AF9">
        <w:rPr>
          <w:lang w:val="fr-FR"/>
        </w:rPr>
        <w:t xml:space="preserve"> contre (Allemagne, Danemark, États-Unis, Fédération de Russie, Pays-Bas et Royaume-Uni).</w:t>
      </w:r>
    </w:p>
    <w:p w:rsidR="00D651C4" w:rsidRPr="004B2AF9" w:rsidRDefault="00D651C4" w:rsidP="00D651C4">
      <w:pPr>
        <w:pStyle w:val="H23G"/>
        <w:rPr>
          <w:lang w:val="fr-FR"/>
        </w:rPr>
      </w:pPr>
      <w:r w:rsidRPr="004B2AF9">
        <w:rPr>
          <w:lang w:val="fr-FR"/>
        </w:rPr>
        <w:tab/>
      </w:r>
      <w:bookmarkStart w:id="81" w:name="_Toc432670189"/>
      <w:r w:rsidRPr="004B2AF9">
        <w:rPr>
          <w:lang w:val="fr-FR"/>
        </w:rPr>
        <w:t>5.</w:t>
      </w:r>
      <w:r w:rsidRPr="004B2AF9">
        <w:rPr>
          <w:lang w:val="fr-FR"/>
        </w:rPr>
        <w:tab/>
      </w:r>
      <w:bookmarkEnd w:id="81"/>
      <w:r w:rsidR="009E3358">
        <w:rPr>
          <w:lang w:val="fr-FR"/>
        </w:rPr>
        <w:t>Modèle n</w:t>
      </w:r>
      <w:r w:rsidR="009E3358" w:rsidRPr="009E3358">
        <w:rPr>
          <w:vertAlign w:val="superscript"/>
          <w:lang w:val="fr-FR"/>
        </w:rPr>
        <w:t>o</w:t>
      </w:r>
      <w:r w:rsidR="009E3358">
        <w:rPr>
          <w:lang w:val="fr-FR"/>
        </w:rPr>
        <w:t> </w:t>
      </w:r>
      <w:r w:rsidRPr="004B2AF9">
        <w:rPr>
          <w:lang w:val="fr-FR"/>
        </w:rPr>
        <w:t>10 de procès-verbal d</w:t>
      </w:r>
      <w:r w:rsidR="0006343E">
        <w:rPr>
          <w:lang w:val="fr-FR"/>
        </w:rPr>
        <w:t>’</w:t>
      </w:r>
      <w:r w:rsidRPr="004B2AF9">
        <w:rPr>
          <w:lang w:val="fr-FR"/>
        </w:rPr>
        <w:t>essai</w:t>
      </w:r>
    </w:p>
    <w:p w:rsidR="00D651C4" w:rsidRPr="004B2AF9" w:rsidRDefault="00D651C4" w:rsidP="000E43E4">
      <w:pPr>
        <w:spacing w:after="120"/>
        <w:ind w:left="2268" w:right="1134" w:hanging="1134"/>
        <w:rPr>
          <w:lang w:val="fr-FR"/>
        </w:rPr>
      </w:pPr>
      <w:r w:rsidRPr="004B2AF9">
        <w:rPr>
          <w:i/>
          <w:lang w:val="fr-FR"/>
        </w:rPr>
        <w:t>Document</w:t>
      </w:r>
      <w:r w:rsidR="009E3358">
        <w:rPr>
          <w:i/>
          <w:lang w:val="fr-FR"/>
        </w:rPr>
        <w:t> </w:t>
      </w:r>
      <w:r w:rsidRPr="004B2AF9">
        <w:rPr>
          <w:lang w:val="fr-FR"/>
        </w:rPr>
        <w:t>:</w:t>
      </w:r>
      <w:r w:rsidRPr="004B2AF9">
        <w:rPr>
          <w:lang w:val="fr-FR"/>
        </w:rPr>
        <w:tab/>
      </w:r>
      <w:r w:rsidRPr="004B2AF9">
        <w:rPr>
          <w:lang w:val="fr-FR"/>
        </w:rPr>
        <w:tab/>
        <w:t>ECE/TRANS/WP.11/2015/1 (</w:t>
      </w:r>
      <w:r>
        <w:rPr>
          <w:lang w:val="fr-FR"/>
        </w:rPr>
        <w:t>Royaume-Uni</w:t>
      </w:r>
      <w:r w:rsidRPr="004B2AF9">
        <w:rPr>
          <w:lang w:val="fr-FR"/>
        </w:rPr>
        <w:t>)</w:t>
      </w:r>
      <w:r w:rsidR="009E3358">
        <w:rPr>
          <w:lang w:val="fr-FR"/>
        </w:rPr>
        <w:t>.</w:t>
      </w:r>
    </w:p>
    <w:p w:rsidR="00D651C4" w:rsidRPr="004B2AF9" w:rsidRDefault="00D651C4" w:rsidP="00D65700">
      <w:pPr>
        <w:pStyle w:val="SingleTxtG"/>
        <w:numPr>
          <w:ilvl w:val="0"/>
          <w:numId w:val="25"/>
        </w:numPr>
        <w:ind w:left="1134" w:firstLine="0"/>
        <w:rPr>
          <w:lang w:val="fr-FR"/>
        </w:rPr>
      </w:pPr>
      <w:r w:rsidRPr="004B2AF9">
        <w:rPr>
          <w:lang w:val="fr-FR"/>
        </w:rPr>
        <w:t>Conformément à l</w:t>
      </w:r>
      <w:r w:rsidR="0006343E">
        <w:rPr>
          <w:lang w:val="fr-FR"/>
        </w:rPr>
        <w:t>’</w:t>
      </w:r>
      <w:r w:rsidRPr="004B2AF9">
        <w:rPr>
          <w:lang w:val="fr-FR"/>
        </w:rPr>
        <w:t>alinéa a</w:t>
      </w:r>
      <w:r>
        <w:rPr>
          <w:lang w:val="fr-FR"/>
        </w:rPr>
        <w:t>)</w:t>
      </w:r>
      <w:r w:rsidRPr="004B2AF9">
        <w:rPr>
          <w:lang w:val="fr-FR"/>
        </w:rPr>
        <w:t xml:space="preserve"> du paragraphe</w:t>
      </w:r>
      <w:r w:rsidR="009E3358">
        <w:rPr>
          <w:lang w:val="fr-FR"/>
        </w:rPr>
        <w:t> </w:t>
      </w:r>
      <w:r w:rsidRPr="004B2AF9">
        <w:rPr>
          <w:lang w:val="fr-FR"/>
        </w:rPr>
        <w:t>6 de l</w:t>
      </w:r>
      <w:r w:rsidR="0006343E">
        <w:rPr>
          <w:lang w:val="fr-FR"/>
        </w:rPr>
        <w:t>’</w:t>
      </w:r>
      <w:r w:rsidRPr="004B2AF9">
        <w:rPr>
          <w:lang w:val="fr-FR"/>
        </w:rPr>
        <w:t>appendice</w:t>
      </w:r>
      <w:r w:rsidR="009E3358">
        <w:rPr>
          <w:lang w:val="fr-FR"/>
        </w:rPr>
        <w:t> </w:t>
      </w:r>
      <w:r w:rsidRPr="004B2AF9">
        <w:rPr>
          <w:lang w:val="fr-FR"/>
        </w:rPr>
        <w:t>1 de l</w:t>
      </w:r>
      <w:r w:rsidR="0006343E">
        <w:rPr>
          <w:lang w:val="fr-FR"/>
        </w:rPr>
        <w:t>’</w:t>
      </w:r>
      <w:r w:rsidRPr="004B2AF9">
        <w:rPr>
          <w:lang w:val="fr-FR"/>
        </w:rPr>
        <w:t>annexe</w:t>
      </w:r>
      <w:r w:rsidR="009E3358">
        <w:rPr>
          <w:lang w:val="fr-FR"/>
        </w:rPr>
        <w:t> </w:t>
      </w:r>
      <w:r w:rsidRPr="004B2AF9">
        <w:rPr>
          <w:lang w:val="fr-FR"/>
        </w:rPr>
        <w:t>1, le procès-verbal d</w:t>
      </w:r>
      <w:r w:rsidR="0006343E">
        <w:rPr>
          <w:lang w:val="fr-FR"/>
        </w:rPr>
        <w:t>’</w:t>
      </w:r>
      <w:r w:rsidRPr="004B2AF9">
        <w:rPr>
          <w:lang w:val="fr-FR"/>
        </w:rPr>
        <w:t>essai d</w:t>
      </w:r>
      <w:r w:rsidR="0006343E">
        <w:rPr>
          <w:lang w:val="fr-FR"/>
        </w:rPr>
        <w:t>’</w:t>
      </w:r>
      <w:r w:rsidRPr="004B2AF9">
        <w:rPr>
          <w:lang w:val="fr-FR"/>
        </w:rPr>
        <w:t>un engin fabriqué en série est valide pour une durée de six ans, pour les équipements isothermes, réfrigérants, frigorifiques ou calorifiques selon les définitions de l</w:t>
      </w:r>
      <w:r w:rsidR="0006343E">
        <w:rPr>
          <w:lang w:val="fr-FR"/>
        </w:rPr>
        <w:t>’</w:t>
      </w:r>
      <w:r w:rsidRPr="004B2AF9">
        <w:rPr>
          <w:lang w:val="fr-FR"/>
        </w:rPr>
        <w:t>ATP. Pour plus de clarté, le Royaume-Uni proposait de préciser cette information dans le modèle n</w:t>
      </w:r>
      <w:r w:rsidRPr="004B2AF9">
        <w:rPr>
          <w:vertAlign w:val="superscript"/>
          <w:lang w:val="fr-FR"/>
        </w:rPr>
        <w:t>o</w:t>
      </w:r>
      <w:r w:rsidRPr="004B2AF9">
        <w:rPr>
          <w:lang w:val="fr-FR"/>
        </w:rPr>
        <w:t xml:space="preserve"> 10 de procès-verbal </w:t>
      </w:r>
      <w:r w:rsidRPr="00D65700">
        <w:rPr>
          <w:rFonts w:eastAsia="PMingLiU"/>
          <w:lang w:val="fr-FR" w:eastAsia="zh-TW"/>
        </w:rPr>
        <w:t>d</w:t>
      </w:r>
      <w:r w:rsidR="0006343E">
        <w:rPr>
          <w:rFonts w:eastAsia="PMingLiU"/>
          <w:lang w:val="fr-FR" w:eastAsia="zh-TW"/>
        </w:rPr>
        <w:t>’</w:t>
      </w:r>
      <w:r w:rsidRPr="00D65700">
        <w:rPr>
          <w:rFonts w:eastAsia="PMingLiU"/>
          <w:lang w:val="fr-FR" w:eastAsia="zh-TW"/>
        </w:rPr>
        <w:t>essai</w:t>
      </w:r>
      <w:r w:rsidRPr="004B2AF9">
        <w:rPr>
          <w:lang w:val="fr-FR"/>
        </w:rPr>
        <w:t xml:space="preserve">, comme cela </w:t>
      </w:r>
      <w:r>
        <w:rPr>
          <w:lang w:val="fr-FR"/>
        </w:rPr>
        <w:t>l</w:t>
      </w:r>
      <w:r w:rsidR="0006343E">
        <w:rPr>
          <w:lang w:val="fr-FR"/>
        </w:rPr>
        <w:t>’</w:t>
      </w:r>
      <w:r>
        <w:rPr>
          <w:lang w:val="fr-FR"/>
        </w:rPr>
        <w:t xml:space="preserve">était déjà </w:t>
      </w:r>
      <w:r w:rsidRPr="004B2AF9">
        <w:rPr>
          <w:lang w:val="fr-FR"/>
        </w:rPr>
        <w:t>dans les modèles n</w:t>
      </w:r>
      <w:r w:rsidRPr="004B2AF9">
        <w:rPr>
          <w:vertAlign w:val="superscript"/>
          <w:lang w:val="fr-FR"/>
        </w:rPr>
        <w:t>os</w:t>
      </w:r>
      <w:r w:rsidRPr="004B2AF9">
        <w:rPr>
          <w:lang w:val="fr-FR"/>
        </w:rPr>
        <w:t> 2A, 2B, 4A, 4B, 4C, 5 et 6.</w:t>
      </w:r>
    </w:p>
    <w:p w:rsidR="00D651C4" w:rsidRPr="004B2AF9" w:rsidRDefault="00D651C4" w:rsidP="00D65700">
      <w:pPr>
        <w:pStyle w:val="SingleTxtG"/>
        <w:numPr>
          <w:ilvl w:val="0"/>
          <w:numId w:val="25"/>
        </w:numPr>
        <w:ind w:left="1134" w:firstLine="0"/>
        <w:rPr>
          <w:lang w:val="fr-FR"/>
        </w:rPr>
      </w:pPr>
      <w:r w:rsidRPr="004B2AF9">
        <w:rPr>
          <w:lang w:val="fr-FR"/>
        </w:rPr>
        <w:t>Le Groupe de travail a adopté la proposition (voir annexe I) et décidé qu</w:t>
      </w:r>
      <w:r w:rsidR="0006343E">
        <w:rPr>
          <w:lang w:val="fr-FR"/>
        </w:rPr>
        <w:t>’</w:t>
      </w:r>
      <w:r>
        <w:rPr>
          <w:lang w:val="fr-FR"/>
        </w:rPr>
        <w:t>aucune mesure transitoire n</w:t>
      </w:r>
      <w:r w:rsidR="0006343E">
        <w:rPr>
          <w:lang w:val="fr-FR"/>
        </w:rPr>
        <w:t>’</w:t>
      </w:r>
      <w:r>
        <w:rPr>
          <w:lang w:val="fr-FR"/>
        </w:rPr>
        <w:t>ét</w:t>
      </w:r>
      <w:r w:rsidRPr="004B2AF9">
        <w:rPr>
          <w:lang w:val="fr-FR"/>
        </w:rPr>
        <w:t>ait nécessaire</w:t>
      </w:r>
      <w:r w:rsidRPr="004B2AF9">
        <w:rPr>
          <w:rFonts w:eastAsia="SimSun"/>
          <w:lang w:val="fr-FR" w:eastAsia="zh-CN"/>
        </w:rPr>
        <w:t>.</w:t>
      </w:r>
    </w:p>
    <w:p w:rsidR="00D651C4" w:rsidRPr="004B2AF9" w:rsidRDefault="00D651C4" w:rsidP="00D651C4">
      <w:pPr>
        <w:pStyle w:val="H23G"/>
        <w:tabs>
          <w:tab w:val="left" w:pos="1134"/>
          <w:tab w:val="left" w:pos="1701"/>
          <w:tab w:val="left" w:pos="2268"/>
          <w:tab w:val="left" w:pos="2835"/>
          <w:tab w:val="left" w:pos="3402"/>
          <w:tab w:val="left" w:pos="3969"/>
          <w:tab w:val="left" w:pos="4536"/>
          <w:tab w:val="left" w:pos="5103"/>
          <w:tab w:val="left" w:pos="5670"/>
          <w:tab w:val="left" w:pos="6389"/>
        </w:tabs>
        <w:rPr>
          <w:lang w:val="fr-FR"/>
        </w:rPr>
      </w:pPr>
      <w:r w:rsidRPr="004B2AF9">
        <w:rPr>
          <w:lang w:val="fr-FR"/>
        </w:rPr>
        <w:tab/>
      </w:r>
      <w:bookmarkStart w:id="82" w:name="_Toc432670190"/>
      <w:r w:rsidRPr="004B2AF9">
        <w:rPr>
          <w:lang w:val="fr-FR"/>
        </w:rPr>
        <w:t>6.</w:t>
      </w:r>
      <w:r w:rsidRPr="004B2AF9">
        <w:rPr>
          <w:lang w:val="fr-FR"/>
        </w:rPr>
        <w:tab/>
      </w:r>
      <w:bookmarkEnd w:id="82"/>
      <w:r w:rsidRPr="004B2AF9">
        <w:rPr>
          <w:lang w:val="fr-FR"/>
        </w:rPr>
        <w:t>Suivi et enregistrement de la température des denrées alimentaires réfrigérées</w:t>
      </w:r>
    </w:p>
    <w:p w:rsidR="00D651C4" w:rsidRPr="004B2AF9" w:rsidRDefault="00D651C4" w:rsidP="000E43E4">
      <w:pPr>
        <w:spacing w:after="120"/>
        <w:ind w:left="2268" w:right="1134" w:hanging="1134"/>
        <w:rPr>
          <w:lang w:val="fr-FR"/>
        </w:rPr>
      </w:pPr>
      <w:r w:rsidRPr="004B2AF9">
        <w:rPr>
          <w:i/>
          <w:lang w:val="fr-FR"/>
        </w:rPr>
        <w:t>Document</w:t>
      </w:r>
      <w:r w:rsidR="009E3358">
        <w:rPr>
          <w:i/>
          <w:lang w:val="fr-FR"/>
        </w:rPr>
        <w:t> </w:t>
      </w:r>
      <w:r w:rsidRPr="004B2AF9">
        <w:rPr>
          <w:lang w:val="fr-FR"/>
        </w:rPr>
        <w:t>:</w:t>
      </w:r>
      <w:r w:rsidRPr="004B2AF9">
        <w:rPr>
          <w:lang w:val="fr-FR"/>
        </w:rPr>
        <w:tab/>
      </w:r>
      <w:r w:rsidRPr="004B2AF9">
        <w:rPr>
          <w:lang w:val="fr-FR"/>
        </w:rPr>
        <w:tab/>
        <w:t>ECE/TRANS/WP.11/2015/21 (Fédération de Russie)</w:t>
      </w:r>
      <w:r w:rsidR="009E3358">
        <w:rPr>
          <w:lang w:val="fr-FR"/>
        </w:rPr>
        <w:t>.</w:t>
      </w:r>
    </w:p>
    <w:p w:rsidR="00D651C4" w:rsidRPr="004B2AF9" w:rsidRDefault="00D651C4" w:rsidP="00D65700">
      <w:pPr>
        <w:pStyle w:val="SingleTxtG"/>
        <w:numPr>
          <w:ilvl w:val="0"/>
          <w:numId w:val="25"/>
        </w:numPr>
        <w:ind w:left="1134" w:firstLine="0"/>
        <w:rPr>
          <w:lang w:val="fr-FR"/>
        </w:rPr>
      </w:pPr>
      <w:r>
        <w:rPr>
          <w:lang w:val="fr-FR"/>
        </w:rPr>
        <w:t>Dans s</w:t>
      </w:r>
      <w:r w:rsidRPr="004B2AF9">
        <w:rPr>
          <w:lang w:val="fr-FR"/>
        </w:rPr>
        <w:t>a proposition</w:t>
      </w:r>
      <w:r>
        <w:rPr>
          <w:lang w:val="fr-FR"/>
        </w:rPr>
        <w:t>,</w:t>
      </w:r>
      <w:r w:rsidRPr="004B2AF9">
        <w:rPr>
          <w:lang w:val="fr-FR"/>
        </w:rPr>
        <w:t xml:space="preserve"> la Fédération de Russie faisait valoir que, pour </w:t>
      </w:r>
      <w:r>
        <w:rPr>
          <w:lang w:val="fr-FR"/>
        </w:rPr>
        <w:t xml:space="preserve">garantir la préservation de </w:t>
      </w:r>
      <w:r w:rsidRPr="004B2AF9">
        <w:rPr>
          <w:lang w:val="fr-FR"/>
        </w:rPr>
        <w:t xml:space="preserve">la qualité des denrées alimentaires réfrigérées au cours du transport, il importait de définir la plage de températures autorisée et </w:t>
      </w:r>
      <w:r>
        <w:rPr>
          <w:lang w:val="fr-FR"/>
        </w:rPr>
        <w:t>de rendre obligatoire</w:t>
      </w:r>
      <w:r w:rsidRPr="004B2AF9">
        <w:rPr>
          <w:lang w:val="fr-FR"/>
        </w:rPr>
        <w:t xml:space="preserve"> que la température de l</w:t>
      </w:r>
      <w:r w:rsidR="0006343E">
        <w:rPr>
          <w:lang w:val="fr-FR"/>
        </w:rPr>
        <w:t>’</w:t>
      </w:r>
      <w:r w:rsidRPr="004B2AF9">
        <w:rPr>
          <w:lang w:val="fr-FR"/>
        </w:rPr>
        <w:t>air soit contrôlée à l</w:t>
      </w:r>
      <w:r w:rsidR="0006343E">
        <w:rPr>
          <w:lang w:val="fr-FR"/>
        </w:rPr>
        <w:t>’</w:t>
      </w:r>
      <w:r w:rsidRPr="004B2AF9">
        <w:rPr>
          <w:lang w:val="fr-FR"/>
        </w:rPr>
        <w:t>intérieur de l</w:t>
      </w:r>
      <w:r w:rsidR="0006343E">
        <w:rPr>
          <w:lang w:val="fr-FR"/>
        </w:rPr>
        <w:t>’</w:t>
      </w:r>
      <w:r w:rsidRPr="004B2AF9">
        <w:rPr>
          <w:lang w:val="fr-FR"/>
        </w:rPr>
        <w:t>engin utilisé pour le transport de ces denrées.</w:t>
      </w:r>
    </w:p>
    <w:p w:rsidR="00D651C4" w:rsidRPr="004B2AF9" w:rsidRDefault="00D651C4" w:rsidP="00D65700">
      <w:pPr>
        <w:pStyle w:val="SingleTxtG"/>
        <w:numPr>
          <w:ilvl w:val="0"/>
          <w:numId w:val="25"/>
        </w:numPr>
        <w:ind w:left="1134" w:firstLine="0"/>
        <w:rPr>
          <w:lang w:val="fr-FR"/>
        </w:rPr>
      </w:pPr>
      <w:r w:rsidRPr="004B2AF9">
        <w:rPr>
          <w:lang w:val="fr-FR"/>
        </w:rPr>
        <w:t>Un pa</w:t>
      </w:r>
      <w:r>
        <w:rPr>
          <w:lang w:val="fr-FR"/>
        </w:rPr>
        <w:t>ys a estimé qu</w:t>
      </w:r>
      <w:r w:rsidR="0006343E">
        <w:rPr>
          <w:lang w:val="fr-FR"/>
        </w:rPr>
        <w:t>’</w:t>
      </w:r>
      <w:r>
        <w:rPr>
          <w:lang w:val="fr-FR"/>
        </w:rPr>
        <w:t>il n</w:t>
      </w:r>
      <w:r w:rsidR="0006343E">
        <w:rPr>
          <w:lang w:val="fr-FR"/>
        </w:rPr>
        <w:t>’</w:t>
      </w:r>
      <w:r>
        <w:rPr>
          <w:lang w:val="fr-FR"/>
        </w:rPr>
        <w:t>était pas né</w:t>
      </w:r>
      <w:r w:rsidRPr="004B2AF9">
        <w:rPr>
          <w:lang w:val="fr-FR"/>
        </w:rPr>
        <w:t>cessaire, pour garantir la s</w:t>
      </w:r>
      <w:r>
        <w:rPr>
          <w:lang w:val="fr-FR"/>
        </w:rPr>
        <w:t>ûre</w:t>
      </w:r>
      <w:r w:rsidRPr="004B2AF9">
        <w:rPr>
          <w:lang w:val="fr-FR"/>
        </w:rPr>
        <w:t xml:space="preserve">té </w:t>
      </w:r>
      <w:r>
        <w:rPr>
          <w:lang w:val="fr-FR"/>
        </w:rPr>
        <w:t xml:space="preserve">des denrées </w:t>
      </w:r>
      <w:r w:rsidRPr="004B2AF9">
        <w:rPr>
          <w:lang w:val="fr-FR"/>
        </w:rPr>
        <w:t>alimentaire</w:t>
      </w:r>
      <w:r>
        <w:rPr>
          <w:lang w:val="fr-FR"/>
        </w:rPr>
        <w:t>s</w:t>
      </w:r>
      <w:r w:rsidRPr="004B2AF9">
        <w:rPr>
          <w:lang w:val="fr-FR"/>
        </w:rPr>
        <w:t xml:space="preserve">, de définir la limite inférieure de la plage de températures autorisée. En outre, les températures minimales proposées rendraient impossible le transport des viandes réfrigérées à très basse température. </w:t>
      </w:r>
      <w:r>
        <w:t>Un autre pays s</w:t>
      </w:r>
      <w:r w:rsidR="0006343E">
        <w:t>’</w:t>
      </w:r>
      <w:r>
        <w:t>est opposé à la proposition en raison du coût de l</w:t>
      </w:r>
      <w:r w:rsidR="0006343E">
        <w:t>’</w:t>
      </w:r>
      <w:r>
        <w:t>équipement requis, qui avoisinait les 1 000 euros pour l</w:t>
      </w:r>
      <w:r w:rsidR="0006343E">
        <w:t>’</w:t>
      </w:r>
      <w:r>
        <w:t>enregistreur, auquel il fallait ajouter le coût de l</w:t>
      </w:r>
      <w:r w:rsidR="0006343E">
        <w:t>’</w:t>
      </w:r>
      <w:r>
        <w:t>étalonnage annuel</w:t>
      </w:r>
      <w:r w:rsidRPr="004B2AF9">
        <w:rPr>
          <w:lang w:val="fr-FR"/>
        </w:rPr>
        <w:t>.</w:t>
      </w:r>
    </w:p>
    <w:p w:rsidR="00D651C4" w:rsidRPr="004B2AF9" w:rsidRDefault="00D651C4" w:rsidP="00D65700">
      <w:pPr>
        <w:pStyle w:val="SingleTxtG"/>
        <w:numPr>
          <w:ilvl w:val="0"/>
          <w:numId w:val="25"/>
        </w:numPr>
        <w:ind w:left="1134" w:firstLine="0"/>
        <w:rPr>
          <w:lang w:val="fr-FR"/>
        </w:rPr>
      </w:pPr>
      <w:r w:rsidRPr="004B2AF9">
        <w:rPr>
          <w:lang w:val="fr-FR"/>
        </w:rPr>
        <w:t>La Fédération de Russie a été invitée à réviser sa proposition pour la session suivante en tenant compte des observations formulées.</w:t>
      </w:r>
    </w:p>
    <w:p w:rsidR="00D651C4" w:rsidRPr="004B2AF9" w:rsidRDefault="00D651C4" w:rsidP="00D651C4">
      <w:pPr>
        <w:pStyle w:val="H23G"/>
        <w:rPr>
          <w:lang w:val="fr-FR"/>
        </w:rPr>
      </w:pPr>
      <w:r w:rsidRPr="004B2AF9">
        <w:rPr>
          <w:lang w:val="fr-FR"/>
        </w:rPr>
        <w:tab/>
      </w:r>
      <w:bookmarkStart w:id="83" w:name="_Toc432670191"/>
      <w:r w:rsidRPr="004B2AF9">
        <w:rPr>
          <w:lang w:val="fr-FR"/>
        </w:rPr>
        <w:t>7.</w:t>
      </w:r>
      <w:r w:rsidRPr="004B2AF9">
        <w:rPr>
          <w:lang w:val="fr-FR"/>
        </w:rPr>
        <w:tab/>
      </w:r>
      <w:bookmarkEnd w:id="83"/>
      <w:r w:rsidRPr="004B2AF9">
        <w:rPr>
          <w:lang w:val="fr-FR"/>
        </w:rPr>
        <w:t>Référentiel d</w:t>
      </w:r>
      <w:r w:rsidR="0006343E">
        <w:rPr>
          <w:lang w:val="fr-FR"/>
        </w:rPr>
        <w:t>’</w:t>
      </w:r>
      <w:r w:rsidRPr="004B2AF9">
        <w:rPr>
          <w:lang w:val="fr-FR"/>
        </w:rPr>
        <w:t>audit des constructeurs d</w:t>
      </w:r>
      <w:r w:rsidR="0006343E">
        <w:rPr>
          <w:lang w:val="fr-FR"/>
        </w:rPr>
        <w:t>’</w:t>
      </w:r>
      <w:r w:rsidRPr="004B2AF9">
        <w:rPr>
          <w:lang w:val="fr-FR"/>
        </w:rPr>
        <w:t>engins de transport sous température dirigée</w:t>
      </w:r>
    </w:p>
    <w:p w:rsidR="00D651C4" w:rsidRPr="004B2AF9" w:rsidRDefault="00D651C4" w:rsidP="000E43E4">
      <w:pPr>
        <w:spacing w:after="120"/>
        <w:ind w:left="2268" w:right="1134" w:hanging="1134"/>
        <w:rPr>
          <w:lang w:val="fr-FR"/>
        </w:rPr>
      </w:pPr>
      <w:r w:rsidRPr="004B2AF9">
        <w:rPr>
          <w:i/>
          <w:lang w:val="fr-FR"/>
        </w:rPr>
        <w:t>Document</w:t>
      </w:r>
      <w:r w:rsidR="009E3358">
        <w:rPr>
          <w:i/>
          <w:lang w:val="fr-FR"/>
        </w:rPr>
        <w:t> </w:t>
      </w:r>
      <w:r w:rsidRPr="004B2AF9">
        <w:rPr>
          <w:lang w:val="fr-FR"/>
        </w:rPr>
        <w:t>:</w:t>
      </w:r>
      <w:r w:rsidRPr="004B2AF9">
        <w:rPr>
          <w:lang w:val="fr-FR"/>
        </w:rPr>
        <w:tab/>
      </w:r>
      <w:r w:rsidRPr="004B2AF9">
        <w:rPr>
          <w:lang w:val="fr-FR"/>
        </w:rPr>
        <w:tab/>
        <w:t>ECE/TRANS/WP.11/2015/16 (France)</w:t>
      </w:r>
      <w:r w:rsidR="009E3358">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La France a</w:t>
      </w:r>
      <w:r>
        <w:rPr>
          <w:lang w:val="fr-FR"/>
        </w:rPr>
        <w:t>vait</w:t>
      </w:r>
      <w:r w:rsidRPr="004B2AF9">
        <w:rPr>
          <w:lang w:val="fr-FR"/>
        </w:rPr>
        <w:t xml:space="preserve"> proposé que les États puissent avoir recours à des audits de la production sur la base d</w:t>
      </w:r>
      <w:r w:rsidR="0006343E">
        <w:rPr>
          <w:lang w:val="fr-FR"/>
        </w:rPr>
        <w:t>’</w:t>
      </w:r>
      <w:r w:rsidRPr="004B2AF9">
        <w:rPr>
          <w:lang w:val="fr-FR"/>
        </w:rPr>
        <w:t>une procédure qui serait énoncée dans une nouvelle annexe de l</w:t>
      </w:r>
      <w:r w:rsidR="0006343E">
        <w:rPr>
          <w:lang w:val="fr-FR"/>
        </w:rPr>
        <w:t>’</w:t>
      </w:r>
      <w:r w:rsidRPr="004B2AF9">
        <w:rPr>
          <w:lang w:val="fr-FR"/>
        </w:rPr>
        <w:t>ATP.</w:t>
      </w:r>
    </w:p>
    <w:p w:rsidR="00D651C4" w:rsidRPr="004B2AF9" w:rsidRDefault="00D651C4" w:rsidP="00F855B4">
      <w:pPr>
        <w:pStyle w:val="SingleTxtG"/>
        <w:numPr>
          <w:ilvl w:val="0"/>
          <w:numId w:val="25"/>
        </w:numPr>
        <w:ind w:left="1134" w:firstLine="0"/>
        <w:rPr>
          <w:lang w:val="fr-FR"/>
        </w:rPr>
      </w:pPr>
      <w:r w:rsidRPr="004B2AF9">
        <w:rPr>
          <w:lang w:val="fr-FR"/>
        </w:rPr>
        <w:t>Certaines délégations n</w:t>
      </w:r>
      <w:r w:rsidR="0006343E">
        <w:rPr>
          <w:lang w:val="fr-FR"/>
        </w:rPr>
        <w:t>’</w:t>
      </w:r>
      <w:r w:rsidRPr="004B2AF9">
        <w:rPr>
          <w:lang w:val="fr-FR"/>
        </w:rPr>
        <w:t xml:space="preserve">étaient pas convaincues que </w:t>
      </w:r>
      <w:r>
        <w:rPr>
          <w:lang w:val="fr-FR"/>
        </w:rPr>
        <w:t>cette nouvelle procédure relevât</w:t>
      </w:r>
      <w:r w:rsidRPr="004B2AF9">
        <w:rPr>
          <w:lang w:val="fr-FR"/>
        </w:rPr>
        <w:t xml:space="preserve"> de l</w:t>
      </w:r>
      <w:r w:rsidR="0006343E">
        <w:rPr>
          <w:lang w:val="fr-FR"/>
        </w:rPr>
        <w:t>’</w:t>
      </w:r>
      <w:r w:rsidRPr="004B2AF9">
        <w:rPr>
          <w:lang w:val="fr-FR"/>
        </w:rPr>
        <w:t>ATP. Les voix se sont réparties comme suit</w:t>
      </w:r>
      <w:r w:rsidR="00F855B4">
        <w:rPr>
          <w:lang w:val="fr-FR"/>
        </w:rPr>
        <w:t> </w:t>
      </w:r>
      <w:r w:rsidRPr="004B2AF9">
        <w:rPr>
          <w:lang w:val="fr-FR"/>
        </w:rPr>
        <w:t>: 2 pays ont voté pour la proposition (France et Pologne) et 5 contre (Allemagne, États-Unis, Fédération de Russie, Maroc et Portugal). La Belgique s</w:t>
      </w:r>
      <w:r w:rsidR="0006343E">
        <w:rPr>
          <w:lang w:val="fr-FR"/>
        </w:rPr>
        <w:t>’</w:t>
      </w:r>
      <w:r w:rsidRPr="004B2AF9">
        <w:rPr>
          <w:lang w:val="fr-FR"/>
        </w:rPr>
        <w:t>est abstenue.</w:t>
      </w:r>
    </w:p>
    <w:p w:rsidR="00D651C4" w:rsidRPr="004B2AF9" w:rsidRDefault="00D651C4" w:rsidP="00D651C4">
      <w:pPr>
        <w:pStyle w:val="H23G"/>
        <w:rPr>
          <w:lang w:val="fr-FR"/>
        </w:rPr>
      </w:pPr>
      <w:r w:rsidRPr="004B2AF9">
        <w:rPr>
          <w:lang w:val="fr-FR"/>
        </w:rPr>
        <w:tab/>
      </w:r>
      <w:bookmarkStart w:id="84" w:name="_Toc432670192"/>
      <w:r w:rsidRPr="004B2AF9">
        <w:rPr>
          <w:lang w:val="fr-FR"/>
        </w:rPr>
        <w:t>8.</w:t>
      </w:r>
      <w:r w:rsidRPr="004B2AF9">
        <w:rPr>
          <w:lang w:val="fr-FR"/>
        </w:rPr>
        <w:tab/>
      </w:r>
      <w:bookmarkEnd w:id="84"/>
      <w:r w:rsidRPr="004B2AF9">
        <w:rPr>
          <w:lang w:val="fr-FR"/>
        </w:rPr>
        <w:t>Nouvelle annexe relative au transport de fruits et légumes</w:t>
      </w:r>
    </w:p>
    <w:p w:rsidR="00D651C4" w:rsidRPr="004B2AF9" w:rsidRDefault="00D651C4" w:rsidP="000E43E4">
      <w:pPr>
        <w:spacing w:after="120"/>
        <w:ind w:left="2268" w:right="1134" w:hanging="1134"/>
        <w:rPr>
          <w:lang w:val="fr-FR"/>
        </w:rPr>
      </w:pPr>
      <w:r w:rsidRPr="004B2AF9">
        <w:rPr>
          <w:i/>
          <w:lang w:val="fr-FR"/>
        </w:rPr>
        <w:t>Document</w:t>
      </w:r>
      <w:r w:rsidR="00F855B4">
        <w:rPr>
          <w:i/>
          <w:lang w:val="fr-FR"/>
        </w:rPr>
        <w:t> </w:t>
      </w:r>
      <w:r w:rsidRPr="004B2AF9">
        <w:rPr>
          <w:lang w:val="fr-FR"/>
        </w:rPr>
        <w:t>:</w:t>
      </w:r>
      <w:r w:rsidRPr="004B2AF9">
        <w:rPr>
          <w:lang w:val="fr-FR"/>
        </w:rPr>
        <w:tab/>
      </w:r>
      <w:r w:rsidRPr="004B2AF9">
        <w:rPr>
          <w:lang w:val="fr-FR"/>
        </w:rPr>
        <w:tab/>
        <w:t>ECE/TRANS/WP.11/2015/22 (Fédération de Russie)</w:t>
      </w:r>
      <w:r w:rsidR="00F855B4">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La Fédération de Russie estimait que l</w:t>
      </w:r>
      <w:r w:rsidR="0006343E">
        <w:rPr>
          <w:lang w:val="fr-FR"/>
        </w:rPr>
        <w:t>’</w:t>
      </w:r>
      <w:r w:rsidRPr="004B2AF9">
        <w:rPr>
          <w:lang w:val="fr-FR"/>
        </w:rPr>
        <w:t>ajout d</w:t>
      </w:r>
      <w:r w:rsidR="0006343E">
        <w:rPr>
          <w:lang w:val="fr-FR"/>
        </w:rPr>
        <w:t>’</w:t>
      </w:r>
      <w:r w:rsidRPr="004B2AF9">
        <w:rPr>
          <w:lang w:val="fr-FR"/>
        </w:rPr>
        <w:t>une nouvelle annexe à l</w:t>
      </w:r>
      <w:r w:rsidR="0006343E">
        <w:rPr>
          <w:lang w:val="fr-FR"/>
        </w:rPr>
        <w:t>’</w:t>
      </w:r>
      <w:r w:rsidRPr="004B2AF9">
        <w:rPr>
          <w:lang w:val="fr-FR"/>
        </w:rPr>
        <w:t>ATP indiquant des températures recommandées pour le transport de fruits et légumes frais permettrait de préserver la qualité et la sûreté de ces denrées pendant le transport, élargirait le c</w:t>
      </w:r>
      <w:r>
        <w:rPr>
          <w:lang w:val="fr-FR"/>
        </w:rPr>
        <w:t>hamp d</w:t>
      </w:r>
      <w:r w:rsidR="0006343E">
        <w:rPr>
          <w:lang w:val="fr-FR"/>
        </w:rPr>
        <w:t>’</w:t>
      </w:r>
      <w:r>
        <w:rPr>
          <w:lang w:val="fr-FR"/>
        </w:rPr>
        <w:t>application de l</w:t>
      </w:r>
      <w:r w:rsidR="0006343E">
        <w:rPr>
          <w:lang w:val="fr-FR"/>
        </w:rPr>
        <w:t>’</w:t>
      </w:r>
      <w:r>
        <w:rPr>
          <w:lang w:val="fr-FR"/>
        </w:rPr>
        <w:t>ATP et cré</w:t>
      </w:r>
      <w:r w:rsidRPr="004B2AF9">
        <w:rPr>
          <w:lang w:val="fr-FR"/>
        </w:rPr>
        <w:t>erait les conditions préalables nécessaires à l</w:t>
      </w:r>
      <w:r w:rsidR="0006343E">
        <w:rPr>
          <w:lang w:val="fr-FR"/>
        </w:rPr>
        <w:t>’</w:t>
      </w:r>
      <w:r w:rsidRPr="004B2AF9">
        <w:rPr>
          <w:lang w:val="fr-FR"/>
        </w:rPr>
        <w:t>adhésion de nouvelles Parties contractantes à l</w:t>
      </w:r>
      <w:r w:rsidR="0006343E">
        <w:rPr>
          <w:lang w:val="fr-FR"/>
        </w:rPr>
        <w:t>’</w:t>
      </w:r>
      <w:r w:rsidRPr="004B2AF9">
        <w:rPr>
          <w:lang w:val="fr-FR"/>
        </w:rPr>
        <w:t>ATP.</w:t>
      </w:r>
    </w:p>
    <w:p w:rsidR="00D651C4" w:rsidRPr="004B2AF9" w:rsidRDefault="00D651C4" w:rsidP="00F855B4">
      <w:pPr>
        <w:pStyle w:val="SingleTxtG"/>
        <w:numPr>
          <w:ilvl w:val="0"/>
          <w:numId w:val="25"/>
        </w:numPr>
        <w:ind w:left="1134" w:firstLine="0"/>
        <w:rPr>
          <w:lang w:val="fr-FR"/>
        </w:rPr>
      </w:pPr>
      <w:r w:rsidRPr="004B2AF9">
        <w:rPr>
          <w:lang w:val="fr-FR"/>
        </w:rPr>
        <w:t>Le Danemark a fait valoir que l</w:t>
      </w:r>
      <w:r w:rsidR="0006343E">
        <w:rPr>
          <w:lang w:val="fr-FR"/>
        </w:rPr>
        <w:t>’</w:t>
      </w:r>
      <w:r w:rsidRPr="004B2AF9">
        <w:rPr>
          <w:lang w:val="fr-FR"/>
        </w:rPr>
        <w:t>objectif de l</w:t>
      </w:r>
      <w:r w:rsidR="0006343E">
        <w:rPr>
          <w:lang w:val="fr-FR"/>
        </w:rPr>
        <w:t>’</w:t>
      </w:r>
      <w:r w:rsidRPr="004B2AF9">
        <w:rPr>
          <w:lang w:val="fr-FR"/>
        </w:rPr>
        <w:t xml:space="preserve">ATP était </w:t>
      </w:r>
      <w:r>
        <w:rPr>
          <w:lang w:val="fr-FR"/>
        </w:rPr>
        <w:t>de garantir</w:t>
      </w:r>
      <w:r w:rsidRPr="004B2AF9">
        <w:rPr>
          <w:lang w:val="fr-FR"/>
        </w:rPr>
        <w:t xml:space="preserve"> la sûreté des </w:t>
      </w:r>
      <w:r w:rsidRPr="00DE7B03">
        <w:rPr>
          <w:lang w:val="fr-FR"/>
        </w:rPr>
        <w:t xml:space="preserve">denrées </w:t>
      </w:r>
      <w:r w:rsidRPr="004B2AF9">
        <w:rPr>
          <w:lang w:val="fr-FR"/>
        </w:rPr>
        <w:t>alimentaires, non leur qualité, et que les fruits et légumes ne posaient pas de problème sur le plan de la sûreté. Le Danemark, le Maroc et la Suède se sont déclarés opposés à la proposition. Compte tenu de cette opposition, la Fédération de Russie a estimé que l</w:t>
      </w:r>
      <w:r w:rsidR="0006343E">
        <w:rPr>
          <w:lang w:val="fr-FR"/>
        </w:rPr>
        <w:t>’</w:t>
      </w:r>
      <w:r w:rsidRPr="004B2AF9">
        <w:rPr>
          <w:lang w:val="fr-FR"/>
        </w:rPr>
        <w:t>annexe devrait être incluse dans le Manuel ATP. Le Danemark a fait remarquer que recommander des températures dans le Manuel ATP ne constituait pas une extension de l</w:t>
      </w:r>
      <w:r w:rsidR="0006343E">
        <w:rPr>
          <w:lang w:val="fr-FR"/>
        </w:rPr>
        <w:t>’</w:t>
      </w:r>
      <w:r w:rsidRPr="004B2AF9">
        <w:rPr>
          <w:lang w:val="fr-FR"/>
        </w:rPr>
        <w:t>ATP.</w:t>
      </w:r>
    </w:p>
    <w:p w:rsidR="00D651C4" w:rsidRPr="004B2AF9" w:rsidRDefault="00D651C4" w:rsidP="00F855B4">
      <w:pPr>
        <w:pStyle w:val="SingleTxtG"/>
        <w:numPr>
          <w:ilvl w:val="0"/>
          <w:numId w:val="25"/>
        </w:numPr>
        <w:ind w:left="1134" w:firstLine="0"/>
        <w:rPr>
          <w:lang w:val="fr-FR"/>
        </w:rPr>
      </w:pPr>
      <w:r w:rsidRPr="004B2AF9">
        <w:rPr>
          <w:lang w:val="fr-FR"/>
        </w:rPr>
        <w:t xml:space="preserve">La Fédération de Russie a été invitée à soumettre une proposition révisée pour la session </w:t>
      </w:r>
      <w:r>
        <w:rPr>
          <w:lang w:val="fr-FR"/>
        </w:rPr>
        <w:t xml:space="preserve">suivante </w:t>
      </w:r>
      <w:r w:rsidRPr="004B2AF9">
        <w:rPr>
          <w:lang w:val="fr-FR"/>
        </w:rPr>
        <w:t>si elle souhaitait poursuivre ses travaux sur la question</w:t>
      </w:r>
      <w:r w:rsidRPr="004B2AF9">
        <w:rPr>
          <w:rFonts w:eastAsia="SimSun"/>
          <w:lang w:val="fr-FR" w:eastAsia="zh-CN"/>
        </w:rPr>
        <w:t>.</w:t>
      </w:r>
    </w:p>
    <w:p w:rsidR="00D651C4" w:rsidRPr="004B2AF9" w:rsidRDefault="00D651C4" w:rsidP="00D651C4">
      <w:pPr>
        <w:pStyle w:val="H23G"/>
        <w:rPr>
          <w:lang w:val="fr-FR"/>
        </w:rPr>
      </w:pPr>
      <w:r w:rsidRPr="004B2AF9">
        <w:rPr>
          <w:lang w:val="fr-FR"/>
        </w:rPr>
        <w:tab/>
      </w:r>
      <w:bookmarkStart w:id="85" w:name="_Toc432670193"/>
      <w:r w:rsidRPr="004B2AF9">
        <w:rPr>
          <w:lang w:val="fr-FR"/>
        </w:rPr>
        <w:t>9.</w:t>
      </w:r>
      <w:r w:rsidRPr="004B2AF9">
        <w:rPr>
          <w:lang w:val="fr-FR"/>
        </w:rPr>
        <w:tab/>
      </w:r>
      <w:bookmarkEnd w:id="85"/>
      <w:r w:rsidRPr="004B2AF9">
        <w:rPr>
          <w:lang w:val="fr-FR"/>
        </w:rPr>
        <w:t>Propositions de diverses corrections rédactionnelles</w:t>
      </w:r>
    </w:p>
    <w:p w:rsidR="00D651C4" w:rsidRPr="004B2AF9" w:rsidRDefault="00D651C4" w:rsidP="000E43E4">
      <w:pPr>
        <w:spacing w:after="120"/>
        <w:ind w:left="2268" w:right="1134" w:hanging="1134"/>
        <w:rPr>
          <w:lang w:val="fr-FR"/>
        </w:rPr>
      </w:pPr>
      <w:r w:rsidRPr="004B2AF9">
        <w:rPr>
          <w:i/>
          <w:lang w:val="fr-FR"/>
        </w:rPr>
        <w:t>Document</w:t>
      </w:r>
      <w:r w:rsidR="00F855B4">
        <w:rPr>
          <w:i/>
          <w:lang w:val="fr-FR"/>
        </w:rPr>
        <w:t> </w:t>
      </w:r>
      <w:r w:rsidRPr="004B2AF9">
        <w:rPr>
          <w:lang w:val="fr-FR"/>
        </w:rPr>
        <w:t>:</w:t>
      </w:r>
      <w:r w:rsidRPr="004B2AF9">
        <w:rPr>
          <w:lang w:val="fr-FR"/>
        </w:rPr>
        <w:tab/>
      </w:r>
      <w:r w:rsidRPr="004B2AF9">
        <w:rPr>
          <w:lang w:val="fr-FR"/>
        </w:rPr>
        <w:tab/>
        <w:t>ECE/TRANS/WP.11/2015/5 (secrétariat)</w:t>
      </w:r>
      <w:r w:rsidR="00F855B4">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Le Groupe de travail a adopté les corrections rédactionnelles proposées par le secrétariat en tenant compte des observations formulées par les Parties contractantes présentes (voir annexes</w:t>
      </w:r>
      <w:r w:rsidR="00F855B4">
        <w:rPr>
          <w:lang w:val="fr-FR"/>
        </w:rPr>
        <w:t> </w:t>
      </w:r>
      <w:r w:rsidRPr="004B2AF9">
        <w:rPr>
          <w:lang w:val="fr-FR"/>
        </w:rPr>
        <w:t>I et II).</w:t>
      </w:r>
    </w:p>
    <w:p w:rsidR="00D651C4" w:rsidRPr="004B2AF9" w:rsidRDefault="00D651C4" w:rsidP="00F855B4">
      <w:pPr>
        <w:pStyle w:val="SingleTxtG"/>
        <w:numPr>
          <w:ilvl w:val="0"/>
          <w:numId w:val="25"/>
        </w:numPr>
        <w:ind w:left="1134" w:firstLine="0"/>
        <w:rPr>
          <w:lang w:val="fr-FR"/>
        </w:rPr>
      </w:pPr>
      <w:r w:rsidRPr="00C44073">
        <w:rPr>
          <w:lang w:val="fr-FR"/>
        </w:rPr>
        <w:t xml:space="preserve">Le Groupe de travail </w:t>
      </w:r>
      <w:r w:rsidRPr="004B2AF9">
        <w:rPr>
          <w:lang w:val="fr-FR"/>
        </w:rPr>
        <w:t>a invité le secrétariat à transmettre les propositions d</w:t>
      </w:r>
      <w:r w:rsidR="0006343E">
        <w:rPr>
          <w:lang w:val="fr-FR"/>
        </w:rPr>
        <w:t>’</w:t>
      </w:r>
      <w:r w:rsidRPr="004B2AF9">
        <w:rPr>
          <w:lang w:val="fr-FR"/>
        </w:rPr>
        <w:t xml:space="preserve">amendement adoptées </w:t>
      </w:r>
      <w:r>
        <w:rPr>
          <w:lang w:val="fr-FR"/>
        </w:rPr>
        <w:t>figura</w:t>
      </w:r>
      <w:r w:rsidR="00F855B4">
        <w:rPr>
          <w:lang w:val="fr-FR"/>
        </w:rPr>
        <w:t>nt à l</w:t>
      </w:r>
      <w:r w:rsidR="0006343E">
        <w:rPr>
          <w:lang w:val="fr-FR"/>
        </w:rPr>
        <w:t>’</w:t>
      </w:r>
      <w:r w:rsidR="00F855B4">
        <w:rPr>
          <w:lang w:val="fr-FR"/>
        </w:rPr>
        <w:t>annexe </w:t>
      </w:r>
      <w:r w:rsidRPr="004B2AF9">
        <w:rPr>
          <w:lang w:val="fr-FR"/>
        </w:rPr>
        <w:t>I du présent rapport, ainsi que les corrections figurant à l</w:t>
      </w:r>
      <w:r w:rsidR="0006343E">
        <w:rPr>
          <w:lang w:val="fr-FR"/>
        </w:rPr>
        <w:t>’</w:t>
      </w:r>
      <w:r w:rsidRPr="004B2AF9">
        <w:rPr>
          <w:lang w:val="fr-FR"/>
        </w:rPr>
        <w:t>annexe</w:t>
      </w:r>
      <w:r w:rsidR="00F855B4">
        <w:rPr>
          <w:lang w:val="fr-FR"/>
        </w:rPr>
        <w:t> </w:t>
      </w:r>
      <w:r w:rsidRPr="004B2AF9">
        <w:rPr>
          <w:lang w:val="fr-FR"/>
        </w:rPr>
        <w:t>II, à la Section des traités de l</w:t>
      </w:r>
      <w:r w:rsidR="0006343E">
        <w:rPr>
          <w:lang w:val="fr-FR"/>
        </w:rPr>
        <w:t>’</w:t>
      </w:r>
      <w:r w:rsidRPr="004B2AF9">
        <w:rPr>
          <w:lang w:val="fr-FR"/>
        </w:rPr>
        <w:t>ONU aux fins de notification officielle aux Parties contractantes à l</w:t>
      </w:r>
      <w:r w:rsidR="0006343E">
        <w:rPr>
          <w:lang w:val="fr-FR"/>
        </w:rPr>
        <w:t>’</w:t>
      </w:r>
      <w:r w:rsidRPr="004B2AF9">
        <w:rPr>
          <w:lang w:val="fr-FR"/>
        </w:rPr>
        <w:t>ATP.</w:t>
      </w:r>
    </w:p>
    <w:p w:rsidR="00D651C4" w:rsidRPr="004B2AF9" w:rsidRDefault="00D651C4" w:rsidP="00D651C4">
      <w:pPr>
        <w:pStyle w:val="HChG"/>
        <w:rPr>
          <w:lang w:val="fr-FR"/>
        </w:rPr>
      </w:pPr>
      <w:r w:rsidRPr="004B2AF9">
        <w:rPr>
          <w:lang w:val="fr-FR"/>
        </w:rPr>
        <w:tab/>
      </w:r>
      <w:bookmarkStart w:id="86" w:name="_Toc432670194"/>
      <w:r w:rsidRPr="004B2AF9">
        <w:rPr>
          <w:lang w:val="fr-FR"/>
        </w:rPr>
        <w:t>VII.</w:t>
      </w:r>
      <w:r w:rsidRPr="004B2AF9">
        <w:rPr>
          <w:lang w:val="fr-FR"/>
        </w:rPr>
        <w:tab/>
        <w:t>Manuel ATP (point 6 de l</w:t>
      </w:r>
      <w:r w:rsidR="0006343E">
        <w:rPr>
          <w:lang w:val="fr-FR"/>
        </w:rPr>
        <w:t>’</w:t>
      </w:r>
      <w:r w:rsidRPr="004B2AF9">
        <w:rPr>
          <w:lang w:val="fr-FR"/>
        </w:rPr>
        <w:t>ordre du jour)</w:t>
      </w:r>
      <w:bookmarkEnd w:id="86"/>
    </w:p>
    <w:p w:rsidR="00D651C4" w:rsidRPr="004B2AF9" w:rsidRDefault="00D651C4" w:rsidP="00F855B4">
      <w:pPr>
        <w:pStyle w:val="SingleTxtG"/>
        <w:numPr>
          <w:ilvl w:val="0"/>
          <w:numId w:val="25"/>
        </w:numPr>
        <w:ind w:left="1134" w:firstLine="0"/>
        <w:rPr>
          <w:lang w:val="fr-FR"/>
        </w:rPr>
      </w:pPr>
      <w:r w:rsidRPr="004B2AF9">
        <w:rPr>
          <w:lang w:val="fr-FR"/>
        </w:rPr>
        <w:t>Le Groupe de travail a été informé que la dernière version du Manuel ATP était disponible sur le site Web de la Division des transports en anglais, en français et en russe, à l</w:t>
      </w:r>
      <w:r w:rsidR="0006343E">
        <w:rPr>
          <w:lang w:val="fr-FR"/>
        </w:rPr>
        <w:t>’</w:t>
      </w:r>
      <w:r w:rsidRPr="004B2AF9">
        <w:rPr>
          <w:lang w:val="fr-FR"/>
        </w:rPr>
        <w:t>adresse suivante</w:t>
      </w:r>
      <w:r w:rsidR="00F855B4">
        <w:rPr>
          <w:lang w:val="fr-FR"/>
        </w:rPr>
        <w:t> </w:t>
      </w:r>
      <w:r w:rsidRPr="004B2AF9">
        <w:rPr>
          <w:lang w:val="fr-FR"/>
        </w:rPr>
        <w:t>: http://www.unece.org/trans/main/wp11/atp_handbook. html.</w:t>
      </w:r>
    </w:p>
    <w:p w:rsidR="00D651C4" w:rsidRPr="004B2AF9" w:rsidRDefault="00D651C4" w:rsidP="00D651C4">
      <w:pPr>
        <w:pStyle w:val="H1G"/>
        <w:rPr>
          <w:lang w:val="fr-FR"/>
        </w:rPr>
      </w:pPr>
      <w:r w:rsidRPr="004B2AF9">
        <w:rPr>
          <w:lang w:val="fr-FR"/>
        </w:rPr>
        <w:tab/>
      </w:r>
      <w:bookmarkStart w:id="87" w:name="_Toc432670195"/>
      <w:bookmarkStart w:id="88" w:name="_Toc401568265"/>
      <w:bookmarkStart w:id="89" w:name="_Toc401568670"/>
      <w:r w:rsidRPr="004B2AF9">
        <w:rPr>
          <w:lang w:val="fr-FR"/>
        </w:rPr>
        <w:t>A.</w:t>
      </w:r>
      <w:r w:rsidRPr="004B2AF9">
        <w:rPr>
          <w:lang w:val="fr-FR"/>
        </w:rPr>
        <w:tab/>
      </w:r>
      <w:bookmarkEnd w:id="87"/>
      <w:r w:rsidRPr="004B2AF9">
        <w:rPr>
          <w:lang w:val="fr-FR"/>
        </w:rPr>
        <w:t>Définition des denrées périssables</w:t>
      </w:r>
    </w:p>
    <w:p w:rsidR="00D651C4" w:rsidRPr="004B2AF9" w:rsidRDefault="00D651C4" w:rsidP="000E43E4">
      <w:pPr>
        <w:spacing w:after="120"/>
        <w:ind w:left="2268" w:right="1134" w:hanging="1134"/>
        <w:rPr>
          <w:lang w:val="fr-FR"/>
        </w:rPr>
      </w:pPr>
      <w:r w:rsidRPr="004B2AF9">
        <w:rPr>
          <w:i/>
          <w:lang w:val="fr-FR"/>
        </w:rPr>
        <w:t>Document</w:t>
      </w:r>
      <w:r w:rsidR="000E43E4">
        <w:rPr>
          <w:i/>
          <w:lang w:val="fr-FR"/>
        </w:rPr>
        <w:t>s</w:t>
      </w:r>
      <w:r w:rsidR="00F855B4">
        <w:rPr>
          <w:i/>
          <w:lang w:val="fr-FR"/>
        </w:rPr>
        <w:t> </w:t>
      </w:r>
      <w:r w:rsidRPr="004B2AF9">
        <w:rPr>
          <w:lang w:val="fr-FR"/>
        </w:rPr>
        <w:t>:</w:t>
      </w:r>
      <w:r w:rsidRPr="004B2AF9">
        <w:rPr>
          <w:lang w:val="fr-FR"/>
        </w:rPr>
        <w:tab/>
      </w:r>
      <w:r w:rsidRPr="004B2AF9">
        <w:rPr>
          <w:lang w:val="fr-FR"/>
        </w:rPr>
        <w:tab/>
        <w:t>ECE/TRANS/WP.11/2015/18 (Fédération de Russie)</w:t>
      </w:r>
      <w:r w:rsidR="000E43E4">
        <w:rPr>
          <w:lang w:val="fr-FR"/>
        </w:rPr>
        <w:t xml:space="preserve"> </w:t>
      </w:r>
      <w:r w:rsidR="000E43E4">
        <w:rPr>
          <w:lang w:val="fr-FR"/>
        </w:rPr>
        <w:br/>
      </w:r>
      <w:r w:rsidRPr="000E43E4">
        <w:rPr>
          <w:lang w:val="fr-FR"/>
        </w:rPr>
        <w:t>Document informel</w:t>
      </w:r>
      <w:r w:rsidR="000E43E4">
        <w:rPr>
          <w:lang w:val="fr-FR"/>
        </w:rPr>
        <w:t xml:space="preserve"> </w:t>
      </w:r>
      <w:r w:rsidRPr="000E43E4">
        <w:rPr>
          <w:lang w:val="fr-FR"/>
        </w:rPr>
        <w:t>IN</w:t>
      </w:r>
      <w:r w:rsidRPr="004B2AF9">
        <w:rPr>
          <w:lang w:val="fr-FR"/>
        </w:rPr>
        <w:t>F.18 (Fédération de Russie)</w:t>
      </w:r>
      <w:r w:rsidR="00F855B4">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À la soixante-dixième session, un accord général avait été trouvé concernant l</w:t>
      </w:r>
      <w:r w:rsidR="0006343E">
        <w:rPr>
          <w:lang w:val="fr-FR"/>
        </w:rPr>
        <w:t>’</w:t>
      </w:r>
      <w:r w:rsidRPr="004B2AF9">
        <w:rPr>
          <w:lang w:val="fr-FR"/>
        </w:rPr>
        <w:t>ajout d</w:t>
      </w:r>
      <w:r w:rsidR="0006343E">
        <w:rPr>
          <w:lang w:val="fr-FR"/>
        </w:rPr>
        <w:t>’</w:t>
      </w:r>
      <w:r w:rsidRPr="004B2AF9">
        <w:rPr>
          <w:lang w:val="fr-FR"/>
        </w:rPr>
        <w:t>une définition des denrées périssables dans un commentaire du Manuel ATP.</w:t>
      </w:r>
    </w:p>
    <w:p w:rsidR="00D651C4" w:rsidRPr="004B2AF9" w:rsidRDefault="00D651C4" w:rsidP="00F855B4">
      <w:pPr>
        <w:pStyle w:val="SingleTxtG"/>
        <w:numPr>
          <w:ilvl w:val="0"/>
          <w:numId w:val="25"/>
        </w:numPr>
        <w:ind w:left="1134" w:firstLine="0"/>
        <w:rPr>
          <w:lang w:val="fr-FR"/>
        </w:rPr>
      </w:pPr>
      <w:r w:rsidRPr="004B2AF9">
        <w:rPr>
          <w:lang w:val="fr-FR"/>
        </w:rPr>
        <w:t xml:space="preserve">Plusieurs pays </w:t>
      </w:r>
      <w:r>
        <w:rPr>
          <w:lang w:val="fr-FR"/>
        </w:rPr>
        <w:t>n</w:t>
      </w:r>
      <w:r w:rsidR="0006343E">
        <w:rPr>
          <w:lang w:val="fr-FR"/>
        </w:rPr>
        <w:t>’</w:t>
      </w:r>
      <w:r>
        <w:rPr>
          <w:lang w:val="fr-FR"/>
        </w:rPr>
        <w:t xml:space="preserve">étaient pas </w:t>
      </w:r>
      <w:r w:rsidRPr="0041615E">
        <w:rPr>
          <w:lang w:val="fr-FR"/>
        </w:rPr>
        <w:t xml:space="preserve">pleinement </w:t>
      </w:r>
      <w:r>
        <w:rPr>
          <w:lang w:val="fr-FR"/>
        </w:rPr>
        <w:t xml:space="preserve">satisfaits de </w:t>
      </w:r>
      <w:r w:rsidRPr="004B2AF9">
        <w:rPr>
          <w:lang w:val="fr-FR"/>
        </w:rPr>
        <w:t>la définition proposée, notam</w:t>
      </w:r>
      <w:r>
        <w:rPr>
          <w:lang w:val="fr-FR"/>
        </w:rPr>
        <w:t>ment en ce qui concernai</w:t>
      </w:r>
      <w:r w:rsidRPr="004B2AF9">
        <w:rPr>
          <w:lang w:val="fr-FR"/>
        </w:rPr>
        <w:t>t les mentions de la «</w:t>
      </w:r>
      <w:r w:rsidR="00436EC3">
        <w:rPr>
          <w:lang w:val="fr-FR"/>
        </w:rPr>
        <w:t> </w:t>
      </w:r>
      <w:r w:rsidRPr="004B2AF9">
        <w:rPr>
          <w:lang w:val="fr-FR"/>
        </w:rPr>
        <w:t>qualité</w:t>
      </w:r>
      <w:r w:rsidR="00436EC3">
        <w:rPr>
          <w:lang w:val="fr-FR"/>
        </w:rPr>
        <w:t> </w:t>
      </w:r>
      <w:r w:rsidRPr="004B2AF9">
        <w:rPr>
          <w:lang w:val="fr-FR"/>
        </w:rPr>
        <w:t xml:space="preserve">» des denrées périssables. Deux pays ont proposé que soit utilisée une définition existante, par exemple la définition des denrées périssables </w:t>
      </w:r>
      <w:r>
        <w:rPr>
          <w:lang w:val="fr-FR"/>
        </w:rPr>
        <w:t xml:space="preserve">du </w:t>
      </w:r>
      <w:r w:rsidRPr="004B2AF9">
        <w:rPr>
          <w:lang w:val="fr-FR"/>
        </w:rPr>
        <w:t>Codex Alimentarius.</w:t>
      </w:r>
    </w:p>
    <w:p w:rsidR="00D651C4" w:rsidRPr="004B2AF9" w:rsidRDefault="00D651C4" w:rsidP="00F855B4">
      <w:pPr>
        <w:pStyle w:val="SingleTxtG"/>
        <w:numPr>
          <w:ilvl w:val="0"/>
          <w:numId w:val="25"/>
        </w:numPr>
        <w:ind w:left="1134" w:firstLine="0"/>
        <w:rPr>
          <w:lang w:val="fr-FR" w:eastAsia="ru-RU"/>
        </w:rPr>
      </w:pPr>
      <w:r w:rsidRPr="004B2AF9">
        <w:rPr>
          <w:lang w:val="fr-FR"/>
        </w:rPr>
        <w:t xml:space="preserve">La Fédération de Russie a </w:t>
      </w:r>
      <w:r>
        <w:rPr>
          <w:lang w:val="fr-FR"/>
        </w:rPr>
        <w:t>présenté</w:t>
      </w:r>
      <w:r w:rsidRPr="004B2AF9">
        <w:rPr>
          <w:lang w:val="fr-FR"/>
        </w:rPr>
        <w:t xml:space="preserve"> plusieurs propositions </w:t>
      </w:r>
      <w:r>
        <w:rPr>
          <w:lang w:val="fr-FR"/>
        </w:rPr>
        <w:t>qui ont été</w:t>
      </w:r>
      <w:r w:rsidRPr="004B2AF9">
        <w:rPr>
          <w:lang w:val="fr-FR"/>
        </w:rPr>
        <w:t xml:space="preserve"> débat</w:t>
      </w:r>
      <w:r>
        <w:rPr>
          <w:lang w:val="fr-FR"/>
        </w:rPr>
        <w:t>tues</w:t>
      </w:r>
      <w:r w:rsidRPr="004B2AF9">
        <w:rPr>
          <w:lang w:val="fr-FR"/>
        </w:rPr>
        <w:t xml:space="preserve"> au cours de la session. Le Groupe de travail</w:t>
      </w:r>
      <w:r>
        <w:rPr>
          <w:lang w:val="fr-FR"/>
        </w:rPr>
        <w:t xml:space="preserve"> lui</w:t>
      </w:r>
      <w:r w:rsidRPr="004B2AF9">
        <w:rPr>
          <w:lang w:val="fr-FR"/>
        </w:rPr>
        <w:t xml:space="preserve"> a demandé de soumettre une proposition officielle pour adoption à sa session suivante.</w:t>
      </w:r>
    </w:p>
    <w:p w:rsidR="00D651C4" w:rsidRPr="004B2AF9" w:rsidRDefault="00D651C4" w:rsidP="00D651C4">
      <w:pPr>
        <w:pStyle w:val="H1G"/>
        <w:rPr>
          <w:lang w:val="fr-FR"/>
        </w:rPr>
      </w:pPr>
      <w:r w:rsidRPr="004B2AF9">
        <w:rPr>
          <w:lang w:val="fr-FR"/>
        </w:rPr>
        <w:tab/>
      </w:r>
      <w:bookmarkStart w:id="90" w:name="_Toc432670196"/>
      <w:r w:rsidRPr="004B2AF9">
        <w:rPr>
          <w:lang w:val="fr-FR"/>
        </w:rPr>
        <w:t>B.</w:t>
      </w:r>
      <w:r w:rsidRPr="004B2AF9">
        <w:rPr>
          <w:lang w:val="fr-FR"/>
        </w:rPr>
        <w:tab/>
      </w:r>
      <w:bookmarkEnd w:id="88"/>
      <w:bookmarkEnd w:id="89"/>
      <w:bookmarkEnd w:id="90"/>
      <w:r w:rsidRPr="004B2AF9">
        <w:rPr>
          <w:lang w:val="fr-FR"/>
        </w:rPr>
        <w:t>Mesure de la surface extérieure des fourgons</w:t>
      </w:r>
    </w:p>
    <w:p w:rsidR="00D651C4" w:rsidRPr="004B2AF9" w:rsidRDefault="00D651C4" w:rsidP="000E43E4">
      <w:pPr>
        <w:spacing w:after="120"/>
        <w:ind w:left="2268" w:right="1134" w:hanging="1134"/>
        <w:rPr>
          <w:lang w:val="fr-FR"/>
        </w:rPr>
      </w:pPr>
      <w:r w:rsidRPr="004B2AF9">
        <w:rPr>
          <w:i/>
          <w:lang w:val="fr-FR"/>
        </w:rPr>
        <w:t>Document</w:t>
      </w:r>
      <w:r w:rsidR="009B0529">
        <w:rPr>
          <w:i/>
          <w:lang w:val="fr-FR"/>
        </w:rPr>
        <w:t> </w:t>
      </w:r>
      <w:r w:rsidRPr="004B2AF9">
        <w:rPr>
          <w:lang w:val="fr-FR"/>
        </w:rPr>
        <w:t>:</w:t>
      </w:r>
      <w:r w:rsidRPr="004B2AF9">
        <w:rPr>
          <w:lang w:val="fr-FR"/>
        </w:rPr>
        <w:tab/>
      </w:r>
      <w:r w:rsidRPr="004B2AF9">
        <w:rPr>
          <w:lang w:val="fr-FR"/>
        </w:rPr>
        <w:tab/>
        <w:t>ECE/TRANS/WP.11/2015/2 (Royaume-Uni)</w:t>
      </w:r>
      <w:r w:rsidR="009B0529">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Le Groupe de travail a décidé d</w:t>
      </w:r>
      <w:r w:rsidR="0006343E">
        <w:rPr>
          <w:lang w:val="fr-FR"/>
        </w:rPr>
        <w:t>’</w:t>
      </w:r>
      <w:r w:rsidRPr="004B2AF9">
        <w:rPr>
          <w:lang w:val="fr-FR"/>
        </w:rPr>
        <w:t>ajouter au Manuel ATP les croquis relatifs aux trois méthodes de mesure de la surface extérieure des fourgons (voir annexe III).</w:t>
      </w:r>
    </w:p>
    <w:p w:rsidR="00D651C4" w:rsidRPr="004B2AF9" w:rsidRDefault="00D651C4" w:rsidP="00D651C4">
      <w:pPr>
        <w:pStyle w:val="H1G"/>
        <w:rPr>
          <w:lang w:val="fr-FR"/>
        </w:rPr>
      </w:pPr>
      <w:r w:rsidRPr="004B2AF9">
        <w:rPr>
          <w:lang w:val="fr-FR"/>
        </w:rPr>
        <w:tab/>
      </w:r>
      <w:bookmarkStart w:id="91" w:name="_Toc432670197"/>
      <w:bookmarkStart w:id="92" w:name="_Toc401568266"/>
      <w:bookmarkStart w:id="93" w:name="_Toc401568671"/>
      <w:r w:rsidRPr="004B2AF9">
        <w:rPr>
          <w:lang w:val="fr-FR"/>
        </w:rPr>
        <w:t>C.</w:t>
      </w:r>
      <w:r w:rsidRPr="004B2AF9">
        <w:rPr>
          <w:lang w:val="fr-FR"/>
        </w:rPr>
        <w:tab/>
      </w:r>
      <w:bookmarkEnd w:id="91"/>
      <w:r w:rsidRPr="004B2AF9">
        <w:rPr>
          <w:lang w:val="fr-FR"/>
        </w:rPr>
        <w:t xml:space="preserve">Surfaces </w:t>
      </w:r>
      <w:r>
        <w:rPr>
          <w:lang w:val="fr-FR"/>
        </w:rPr>
        <w:t>in</w:t>
      </w:r>
      <w:r w:rsidRPr="0057464F">
        <w:rPr>
          <w:lang w:val="fr-FR"/>
        </w:rPr>
        <w:t>térieure</w:t>
      </w:r>
      <w:r>
        <w:rPr>
          <w:lang w:val="fr-FR"/>
        </w:rPr>
        <w:t>s</w:t>
      </w:r>
      <w:r w:rsidRPr="0057464F">
        <w:rPr>
          <w:lang w:val="fr-FR"/>
        </w:rPr>
        <w:t xml:space="preserve"> </w:t>
      </w:r>
      <w:r w:rsidRPr="004B2AF9">
        <w:rPr>
          <w:lang w:val="fr-FR"/>
        </w:rPr>
        <w:t xml:space="preserve">et </w:t>
      </w:r>
      <w:r w:rsidRPr="0057464F">
        <w:rPr>
          <w:lang w:val="fr-FR"/>
        </w:rPr>
        <w:t>extérieure</w:t>
      </w:r>
      <w:r>
        <w:rPr>
          <w:lang w:val="fr-FR"/>
        </w:rPr>
        <w:t>s</w:t>
      </w:r>
      <w:r w:rsidRPr="0057464F">
        <w:rPr>
          <w:lang w:val="fr-FR"/>
        </w:rPr>
        <w:t xml:space="preserve"> </w:t>
      </w:r>
      <w:r w:rsidRPr="004B2AF9">
        <w:rPr>
          <w:lang w:val="fr-FR"/>
        </w:rPr>
        <w:t xml:space="preserve">de transfert thermique </w:t>
      </w:r>
      <w:r w:rsidRPr="004B2AF9">
        <w:rPr>
          <w:lang w:val="fr-FR"/>
        </w:rPr>
        <w:br/>
        <w:t>des wagons ferroviaires</w:t>
      </w:r>
    </w:p>
    <w:p w:rsidR="00D651C4" w:rsidRPr="004B2AF9" w:rsidRDefault="00D651C4" w:rsidP="000E43E4">
      <w:pPr>
        <w:spacing w:after="120"/>
        <w:ind w:left="2268" w:right="1134" w:hanging="1134"/>
        <w:rPr>
          <w:lang w:val="fr-FR"/>
        </w:rPr>
      </w:pPr>
      <w:r w:rsidRPr="004B2AF9">
        <w:rPr>
          <w:i/>
          <w:lang w:val="fr-FR"/>
        </w:rPr>
        <w:t>Document</w:t>
      </w:r>
      <w:r w:rsidR="009B0529">
        <w:rPr>
          <w:i/>
          <w:lang w:val="fr-FR"/>
        </w:rPr>
        <w:t> </w:t>
      </w:r>
      <w:r w:rsidRPr="004B2AF9">
        <w:rPr>
          <w:lang w:val="fr-FR"/>
        </w:rPr>
        <w:t>:</w:t>
      </w:r>
      <w:r w:rsidRPr="004B2AF9">
        <w:rPr>
          <w:lang w:val="fr-FR"/>
        </w:rPr>
        <w:tab/>
      </w:r>
      <w:r w:rsidRPr="004B2AF9">
        <w:rPr>
          <w:lang w:val="fr-FR"/>
        </w:rPr>
        <w:tab/>
        <w:t>ECE/TRANS/WP.11/2015/19 (Fédération de Russie)</w:t>
      </w:r>
      <w:r w:rsidR="009B0529">
        <w:rPr>
          <w:lang w:val="fr-FR"/>
        </w:rPr>
        <w:t>.</w:t>
      </w:r>
    </w:p>
    <w:p w:rsidR="00D651C4" w:rsidRPr="004B2AF9" w:rsidRDefault="00D651C4" w:rsidP="00F855B4">
      <w:pPr>
        <w:pStyle w:val="SingleTxtG"/>
        <w:numPr>
          <w:ilvl w:val="0"/>
          <w:numId w:val="25"/>
        </w:numPr>
        <w:ind w:left="1134" w:firstLine="0"/>
        <w:rPr>
          <w:lang w:val="fr-FR"/>
        </w:rPr>
      </w:pPr>
      <w:r>
        <w:rPr>
          <w:lang w:val="fr-FR"/>
        </w:rPr>
        <w:t>Se fondant</w:t>
      </w:r>
      <w:r w:rsidRPr="003D5791">
        <w:rPr>
          <w:lang w:val="fr-FR"/>
        </w:rPr>
        <w:t xml:space="preserve"> sur les propositions du Royaume-Uni concernant la mesure de la surface extérieure des fourgons</w:t>
      </w:r>
      <w:r>
        <w:rPr>
          <w:lang w:val="fr-FR"/>
        </w:rPr>
        <w:t>, l</w:t>
      </w:r>
      <w:r w:rsidRPr="004B2AF9">
        <w:rPr>
          <w:lang w:val="fr-FR"/>
        </w:rPr>
        <w:t xml:space="preserve">a Fédération de Russie proposait des méthodes de calcul </w:t>
      </w:r>
      <w:r>
        <w:rPr>
          <w:lang w:val="fr-FR"/>
        </w:rPr>
        <w:t>des s</w:t>
      </w:r>
      <w:r w:rsidRPr="004A2A1E">
        <w:rPr>
          <w:lang w:val="fr-FR"/>
        </w:rPr>
        <w:t xml:space="preserve">urfaces intérieures et extérieures </w:t>
      </w:r>
      <w:r w:rsidRPr="004B2AF9">
        <w:rPr>
          <w:lang w:val="fr-FR"/>
        </w:rPr>
        <w:t>d</w:t>
      </w:r>
      <w:r>
        <w:rPr>
          <w:lang w:val="fr-FR"/>
        </w:rPr>
        <w:t>e</w:t>
      </w:r>
      <w:r w:rsidRPr="004B2AF9">
        <w:rPr>
          <w:lang w:val="fr-FR"/>
        </w:rPr>
        <w:t xml:space="preserve"> transfert thermique des wagons ferroviaires </w:t>
      </w:r>
      <w:r>
        <w:rPr>
          <w:lang w:val="fr-FR"/>
        </w:rPr>
        <w:t>autres que les wagons-citernes</w:t>
      </w:r>
      <w:r w:rsidRPr="004B2AF9">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La Fédération de Russie a déclaré qu</w:t>
      </w:r>
      <w:r w:rsidR="0006343E">
        <w:rPr>
          <w:lang w:val="fr-FR"/>
        </w:rPr>
        <w:t>’</w:t>
      </w:r>
      <w:r w:rsidRPr="004B2AF9">
        <w:rPr>
          <w:lang w:val="fr-FR"/>
        </w:rPr>
        <w:t>elle soumettrait une nouvelle proposition sous forme d</w:t>
      </w:r>
      <w:r w:rsidR="0006343E">
        <w:rPr>
          <w:lang w:val="fr-FR"/>
        </w:rPr>
        <w:t>’</w:t>
      </w:r>
      <w:r w:rsidRPr="004B2AF9">
        <w:rPr>
          <w:lang w:val="fr-FR"/>
        </w:rPr>
        <w:t>ajout au texte du Royaume-Uni relatif aux fourgons une fois que celui-ci aurait été officiellement approuvé et adopté.</w:t>
      </w:r>
    </w:p>
    <w:p w:rsidR="00D651C4" w:rsidRPr="004B2AF9" w:rsidRDefault="00D651C4" w:rsidP="00F855B4">
      <w:pPr>
        <w:pStyle w:val="SingleTxtG"/>
        <w:numPr>
          <w:ilvl w:val="0"/>
          <w:numId w:val="25"/>
        </w:numPr>
        <w:ind w:left="1134" w:firstLine="0"/>
        <w:rPr>
          <w:lang w:val="fr-FR"/>
        </w:rPr>
      </w:pPr>
      <w:r w:rsidRPr="004B2AF9">
        <w:rPr>
          <w:lang w:val="fr-FR"/>
        </w:rPr>
        <w:t>La Fédération de Russie a également déclaré qu</w:t>
      </w:r>
      <w:r w:rsidR="0006343E">
        <w:rPr>
          <w:lang w:val="fr-FR"/>
        </w:rPr>
        <w:t>’</w:t>
      </w:r>
      <w:r w:rsidRPr="004B2AF9">
        <w:rPr>
          <w:lang w:val="fr-FR"/>
        </w:rPr>
        <w:t>elle soumettrait, à la session suivante, un document portant sur la fiabilité des essais de mesure du coefficient K.</w:t>
      </w:r>
    </w:p>
    <w:p w:rsidR="00D651C4" w:rsidRPr="004B2AF9" w:rsidRDefault="00D651C4" w:rsidP="00D651C4">
      <w:pPr>
        <w:pStyle w:val="H1G"/>
        <w:rPr>
          <w:lang w:val="fr-FR"/>
        </w:rPr>
      </w:pPr>
      <w:r w:rsidRPr="004B2AF9">
        <w:rPr>
          <w:lang w:val="fr-FR"/>
        </w:rPr>
        <w:tab/>
      </w:r>
      <w:bookmarkStart w:id="94" w:name="_Toc432670198"/>
      <w:r w:rsidRPr="004B2AF9">
        <w:rPr>
          <w:lang w:val="fr-FR"/>
        </w:rPr>
        <w:t>D.</w:t>
      </w:r>
      <w:r w:rsidRPr="004B2AF9">
        <w:rPr>
          <w:lang w:val="fr-FR"/>
        </w:rPr>
        <w:tab/>
      </w:r>
      <w:bookmarkEnd w:id="92"/>
      <w:bookmarkEnd w:id="93"/>
      <w:bookmarkEnd w:id="94"/>
      <w:r w:rsidRPr="004B2AF9">
        <w:rPr>
          <w:lang w:val="fr-FR"/>
        </w:rPr>
        <w:t>Modifications mineures et limitées d</w:t>
      </w:r>
      <w:r w:rsidR="0006343E">
        <w:rPr>
          <w:lang w:val="fr-FR"/>
        </w:rPr>
        <w:t>’</w:t>
      </w:r>
      <w:r w:rsidRPr="004B2AF9">
        <w:rPr>
          <w:lang w:val="fr-FR"/>
        </w:rPr>
        <w:t>engins produits en série</w:t>
      </w:r>
    </w:p>
    <w:p w:rsidR="00D651C4" w:rsidRPr="004B2AF9" w:rsidRDefault="00D651C4" w:rsidP="000E43E4">
      <w:pPr>
        <w:spacing w:after="120"/>
        <w:ind w:left="2268" w:right="1134" w:hanging="1134"/>
        <w:rPr>
          <w:lang w:val="fr-FR"/>
        </w:rPr>
      </w:pPr>
      <w:r w:rsidRPr="004B2AF9">
        <w:rPr>
          <w:i/>
          <w:lang w:val="fr-FR"/>
        </w:rPr>
        <w:t>Document</w:t>
      </w:r>
      <w:r w:rsidR="000E43E4">
        <w:rPr>
          <w:i/>
          <w:lang w:val="fr-FR"/>
        </w:rPr>
        <w:t>s</w:t>
      </w:r>
      <w:r w:rsidR="009B0529">
        <w:rPr>
          <w:i/>
          <w:lang w:val="fr-FR"/>
        </w:rPr>
        <w:t> </w:t>
      </w:r>
      <w:r w:rsidRPr="004B2AF9">
        <w:rPr>
          <w:lang w:val="fr-FR"/>
        </w:rPr>
        <w:t>:</w:t>
      </w:r>
      <w:r w:rsidRPr="004B2AF9">
        <w:rPr>
          <w:lang w:val="fr-FR"/>
        </w:rPr>
        <w:tab/>
      </w:r>
      <w:r w:rsidRPr="004B2AF9">
        <w:rPr>
          <w:lang w:val="fr-FR"/>
        </w:rPr>
        <w:tab/>
        <w:t>ECE/TRANS/WP.11/2015/7 (Finlande)</w:t>
      </w:r>
      <w:r w:rsidR="000E43E4">
        <w:rPr>
          <w:lang w:val="fr-FR"/>
        </w:rPr>
        <w:t xml:space="preserve"> </w:t>
      </w:r>
      <w:r w:rsidR="000E43E4">
        <w:rPr>
          <w:lang w:val="fr-FR"/>
        </w:rPr>
        <w:br/>
      </w:r>
      <w:r w:rsidRPr="000E43E4">
        <w:rPr>
          <w:lang w:val="fr-FR"/>
        </w:rPr>
        <w:t>Document informel</w:t>
      </w:r>
      <w:r w:rsidR="000E43E4">
        <w:rPr>
          <w:lang w:val="fr-FR"/>
        </w:rPr>
        <w:t xml:space="preserve"> </w:t>
      </w:r>
      <w:r w:rsidRPr="004B2AF9">
        <w:rPr>
          <w:lang w:val="fr-FR"/>
        </w:rPr>
        <w:t>INF.14 (secrétariat)</w:t>
      </w:r>
      <w:r w:rsidR="009B0529">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 xml:space="preserve">Le Groupe de travail </w:t>
      </w:r>
      <w:r>
        <w:rPr>
          <w:lang w:val="fr-FR"/>
        </w:rPr>
        <w:t xml:space="preserve">a décidé </w:t>
      </w:r>
      <w:r w:rsidR="009B0529">
        <w:rPr>
          <w:lang w:val="fr-FR"/>
        </w:rPr>
        <w:t>d</w:t>
      </w:r>
      <w:r w:rsidR="0006343E">
        <w:rPr>
          <w:lang w:val="fr-FR"/>
        </w:rPr>
        <w:t>’</w:t>
      </w:r>
      <w:r w:rsidR="009B0529">
        <w:rPr>
          <w:lang w:val="fr-FR"/>
        </w:rPr>
        <w:t>ajouter les observations </w:t>
      </w:r>
      <w:r w:rsidRPr="004B2AF9">
        <w:rPr>
          <w:lang w:val="fr-FR"/>
        </w:rPr>
        <w:t>1 et 2 (option</w:t>
      </w:r>
      <w:r w:rsidR="009B0529">
        <w:rPr>
          <w:lang w:val="fr-FR"/>
        </w:rPr>
        <w:t> </w:t>
      </w:r>
      <w:r w:rsidRPr="004B2AF9">
        <w:rPr>
          <w:lang w:val="fr-FR"/>
        </w:rPr>
        <w:t>1) à l</w:t>
      </w:r>
      <w:r w:rsidR="0006343E">
        <w:rPr>
          <w:lang w:val="fr-FR"/>
        </w:rPr>
        <w:t>’</w:t>
      </w:r>
      <w:r w:rsidRPr="004B2AF9">
        <w:rPr>
          <w:lang w:val="fr-FR"/>
        </w:rPr>
        <w:t>appendice</w:t>
      </w:r>
      <w:r w:rsidR="009B0529">
        <w:rPr>
          <w:lang w:val="fr-FR"/>
        </w:rPr>
        <w:t> </w:t>
      </w:r>
      <w:r w:rsidRPr="004B2AF9">
        <w:rPr>
          <w:lang w:val="fr-FR"/>
        </w:rPr>
        <w:t>1 de l</w:t>
      </w:r>
      <w:r w:rsidR="0006343E">
        <w:rPr>
          <w:lang w:val="fr-FR"/>
        </w:rPr>
        <w:t>’</w:t>
      </w:r>
      <w:r w:rsidRPr="004B2AF9">
        <w:rPr>
          <w:lang w:val="fr-FR"/>
        </w:rPr>
        <w:t>annexe</w:t>
      </w:r>
      <w:r w:rsidR="009B0529">
        <w:rPr>
          <w:lang w:val="fr-FR"/>
        </w:rPr>
        <w:t> </w:t>
      </w:r>
      <w:r w:rsidRPr="004B2AF9">
        <w:rPr>
          <w:lang w:val="fr-FR"/>
        </w:rPr>
        <w:t xml:space="preserve">1 du Manuel ATP </w:t>
      </w:r>
      <w:r>
        <w:rPr>
          <w:lang w:val="fr-FR"/>
        </w:rPr>
        <w:t>visant à</w:t>
      </w:r>
      <w:r w:rsidRPr="004B2AF9">
        <w:rPr>
          <w:lang w:val="fr-FR"/>
        </w:rPr>
        <w:t xml:space="preserve"> mieux préciser le sens des expressions «</w:t>
      </w:r>
      <w:r w:rsidR="009B0529">
        <w:rPr>
          <w:lang w:val="fr-FR"/>
        </w:rPr>
        <w:t> </w:t>
      </w:r>
      <w:r w:rsidRPr="004B2AF9">
        <w:rPr>
          <w:lang w:val="fr-FR"/>
        </w:rPr>
        <w:t>modifications mineures et limitées</w:t>
      </w:r>
      <w:r w:rsidR="009B0529">
        <w:rPr>
          <w:lang w:val="fr-FR"/>
        </w:rPr>
        <w:t> </w:t>
      </w:r>
      <w:r w:rsidRPr="004B2AF9">
        <w:rPr>
          <w:lang w:val="fr-FR"/>
        </w:rPr>
        <w:t>» et «</w:t>
      </w:r>
      <w:r w:rsidR="009B0529">
        <w:rPr>
          <w:lang w:val="fr-FR"/>
        </w:rPr>
        <w:t> </w:t>
      </w:r>
      <w:r w:rsidRPr="004B2AF9">
        <w:rPr>
          <w:lang w:val="fr-FR"/>
        </w:rPr>
        <w:t>volume total d</w:t>
      </w:r>
      <w:r w:rsidR="0006343E">
        <w:rPr>
          <w:lang w:val="fr-FR"/>
        </w:rPr>
        <w:t>’</w:t>
      </w:r>
      <w:r w:rsidRPr="004B2AF9">
        <w:rPr>
          <w:lang w:val="fr-FR"/>
        </w:rPr>
        <w:t>isolant</w:t>
      </w:r>
      <w:r w:rsidR="009B0529">
        <w:rPr>
          <w:lang w:val="fr-FR"/>
        </w:rPr>
        <w:t> </w:t>
      </w:r>
      <w:r w:rsidRPr="004B2AF9">
        <w:rPr>
          <w:lang w:val="fr-FR"/>
        </w:rPr>
        <w:t>», estimant que cela pourrait aider à éviter les différences d</w:t>
      </w:r>
      <w:r w:rsidR="0006343E">
        <w:rPr>
          <w:lang w:val="fr-FR"/>
        </w:rPr>
        <w:t>’</w:t>
      </w:r>
      <w:r w:rsidRPr="004B2AF9">
        <w:rPr>
          <w:lang w:val="fr-FR"/>
        </w:rPr>
        <w:t>interprétation et à empêcher toute concurrence déloyale (voir annexe</w:t>
      </w:r>
      <w:r w:rsidR="009B0529">
        <w:rPr>
          <w:lang w:val="fr-FR"/>
        </w:rPr>
        <w:t> </w:t>
      </w:r>
      <w:r w:rsidRPr="004B2AF9">
        <w:rPr>
          <w:lang w:val="fr-FR"/>
        </w:rPr>
        <w:t>III). Le Danemark et le Portugal ont voté contre la proposition mais il a été rappelé que 3 voix contre étaient nécessaires pour rejeter une proposition concernant le Manuel ATP.</w:t>
      </w:r>
    </w:p>
    <w:p w:rsidR="00D651C4" w:rsidRPr="004B2AF9" w:rsidRDefault="00D651C4" w:rsidP="00F855B4">
      <w:pPr>
        <w:pStyle w:val="SingleTxtG"/>
        <w:numPr>
          <w:ilvl w:val="0"/>
          <w:numId w:val="25"/>
        </w:numPr>
        <w:ind w:left="1134" w:firstLine="0"/>
        <w:rPr>
          <w:lang w:val="fr-FR"/>
        </w:rPr>
      </w:pPr>
      <w:r w:rsidRPr="004B2AF9">
        <w:rPr>
          <w:lang w:val="fr-FR"/>
        </w:rPr>
        <w:t>L</w:t>
      </w:r>
      <w:r w:rsidR="0006343E">
        <w:rPr>
          <w:lang w:val="fr-FR"/>
        </w:rPr>
        <w:t>’</w:t>
      </w:r>
      <w:r w:rsidRPr="004B2AF9">
        <w:rPr>
          <w:lang w:val="fr-FR"/>
        </w:rPr>
        <w:t>observation</w:t>
      </w:r>
      <w:r w:rsidR="009B0529">
        <w:rPr>
          <w:lang w:val="fr-FR"/>
        </w:rPr>
        <w:t> </w:t>
      </w:r>
      <w:r w:rsidRPr="004B2AF9">
        <w:rPr>
          <w:lang w:val="fr-FR"/>
        </w:rPr>
        <w:t>3 concernant l</w:t>
      </w:r>
      <w:r w:rsidR="0006343E">
        <w:rPr>
          <w:lang w:val="fr-FR"/>
        </w:rPr>
        <w:t>’</w:t>
      </w:r>
      <w:r w:rsidRPr="004B2AF9">
        <w:rPr>
          <w:lang w:val="fr-FR"/>
        </w:rPr>
        <w:t>arrondi du coefficient K n</w:t>
      </w:r>
      <w:r w:rsidR="0006343E">
        <w:rPr>
          <w:lang w:val="fr-FR"/>
        </w:rPr>
        <w:t>’</w:t>
      </w:r>
      <w:r w:rsidRPr="004B2AF9">
        <w:rPr>
          <w:lang w:val="fr-FR"/>
        </w:rPr>
        <w:t>a pas été adoptée</w:t>
      </w:r>
      <w:r w:rsidR="009B0529">
        <w:rPr>
          <w:rFonts w:eastAsia="Calibri"/>
          <w:lang w:val="fr-FR"/>
        </w:rPr>
        <w:t>.</w:t>
      </w:r>
    </w:p>
    <w:p w:rsidR="00D651C4" w:rsidRPr="004B2AF9" w:rsidRDefault="00D651C4" w:rsidP="00D651C4">
      <w:pPr>
        <w:pStyle w:val="H1G"/>
        <w:rPr>
          <w:lang w:val="fr-FR"/>
        </w:rPr>
      </w:pPr>
      <w:r w:rsidRPr="004B2AF9">
        <w:rPr>
          <w:lang w:val="fr-FR"/>
        </w:rPr>
        <w:tab/>
      </w:r>
      <w:bookmarkStart w:id="95" w:name="_Toc401568267"/>
      <w:bookmarkStart w:id="96" w:name="_Toc401568672"/>
      <w:bookmarkStart w:id="97" w:name="_Toc432670199"/>
      <w:r w:rsidRPr="004B2AF9">
        <w:rPr>
          <w:lang w:val="fr-FR"/>
        </w:rPr>
        <w:t>E.</w:t>
      </w:r>
      <w:r w:rsidRPr="004B2AF9">
        <w:rPr>
          <w:lang w:val="fr-FR"/>
        </w:rPr>
        <w:tab/>
      </w:r>
      <w:bookmarkEnd w:id="95"/>
      <w:bookmarkEnd w:id="96"/>
      <w:bookmarkEnd w:id="97"/>
      <w:r w:rsidRPr="004B2AF9">
        <w:rPr>
          <w:lang w:val="fr-FR"/>
        </w:rPr>
        <w:t>Immatriculé ou enregistré</w:t>
      </w:r>
    </w:p>
    <w:p w:rsidR="00D651C4" w:rsidRPr="004B2AF9" w:rsidRDefault="00D651C4" w:rsidP="000E43E4">
      <w:pPr>
        <w:spacing w:after="120"/>
        <w:ind w:left="2268" w:right="1134" w:hanging="1134"/>
        <w:rPr>
          <w:lang w:val="fr-FR"/>
        </w:rPr>
      </w:pPr>
      <w:r w:rsidRPr="004B2AF9">
        <w:rPr>
          <w:i/>
          <w:lang w:val="fr-FR"/>
        </w:rPr>
        <w:t>Document</w:t>
      </w:r>
      <w:r w:rsidR="009B0529">
        <w:rPr>
          <w:i/>
          <w:lang w:val="fr-FR"/>
        </w:rPr>
        <w:t> </w:t>
      </w:r>
      <w:r w:rsidRPr="004B2AF9">
        <w:rPr>
          <w:lang w:val="fr-FR"/>
        </w:rPr>
        <w:t>:</w:t>
      </w:r>
      <w:r w:rsidRPr="004B2AF9">
        <w:rPr>
          <w:lang w:val="fr-FR"/>
        </w:rPr>
        <w:tab/>
      </w:r>
      <w:r w:rsidRPr="004B2AF9">
        <w:rPr>
          <w:lang w:val="fr-FR"/>
        </w:rPr>
        <w:tab/>
        <w:t>ECE/TRANS/WP.11/2015/14 (Belgique)</w:t>
      </w:r>
      <w:r w:rsidR="009B0529">
        <w:rPr>
          <w:lang w:val="fr-FR"/>
        </w:rPr>
        <w:t>.</w:t>
      </w:r>
    </w:p>
    <w:p w:rsidR="00D651C4" w:rsidRPr="004B2AF9" w:rsidRDefault="00D651C4" w:rsidP="00F855B4">
      <w:pPr>
        <w:pStyle w:val="SingleTxtG"/>
        <w:numPr>
          <w:ilvl w:val="0"/>
          <w:numId w:val="25"/>
        </w:numPr>
        <w:ind w:left="1134" w:firstLine="0"/>
        <w:rPr>
          <w:lang w:val="fr-FR"/>
        </w:rPr>
      </w:pPr>
      <w:bookmarkStart w:id="98" w:name="_Toc401568268"/>
      <w:bookmarkStart w:id="99" w:name="_Toc401568673"/>
      <w:r w:rsidRPr="004B2AF9">
        <w:rPr>
          <w:lang w:val="fr-FR"/>
        </w:rPr>
        <w:t>Le Groupe de travail a approuvé la proposition de la Belgique visant à ajouter après le paragraphe</w:t>
      </w:r>
      <w:r w:rsidR="009B0529">
        <w:rPr>
          <w:lang w:val="fr-FR"/>
        </w:rPr>
        <w:t> </w:t>
      </w:r>
      <w:r w:rsidRPr="004B2AF9">
        <w:rPr>
          <w:lang w:val="fr-FR"/>
        </w:rPr>
        <w:t>1 de l</w:t>
      </w:r>
      <w:r w:rsidR="0006343E">
        <w:rPr>
          <w:lang w:val="fr-FR"/>
        </w:rPr>
        <w:t>’</w:t>
      </w:r>
      <w:r w:rsidRPr="004B2AF9">
        <w:rPr>
          <w:lang w:val="fr-FR"/>
        </w:rPr>
        <w:t>appendice</w:t>
      </w:r>
      <w:r w:rsidR="009B0529">
        <w:rPr>
          <w:lang w:val="fr-FR"/>
        </w:rPr>
        <w:t> </w:t>
      </w:r>
      <w:r w:rsidRPr="004B2AF9">
        <w:rPr>
          <w:lang w:val="fr-FR"/>
        </w:rPr>
        <w:t>1 de l</w:t>
      </w:r>
      <w:r w:rsidR="0006343E">
        <w:rPr>
          <w:lang w:val="fr-FR"/>
        </w:rPr>
        <w:t>’</w:t>
      </w:r>
      <w:r w:rsidRPr="004B2AF9">
        <w:rPr>
          <w:lang w:val="fr-FR"/>
        </w:rPr>
        <w:t>annexe</w:t>
      </w:r>
      <w:r w:rsidR="009B0529">
        <w:rPr>
          <w:lang w:val="fr-FR"/>
        </w:rPr>
        <w:t> </w:t>
      </w:r>
      <w:r w:rsidRPr="004B2AF9">
        <w:rPr>
          <w:lang w:val="fr-FR"/>
        </w:rPr>
        <w:t>1 du Manuel ATP une observation précisant la signification du membre de phrase «</w:t>
      </w:r>
      <w:r w:rsidR="009B0529">
        <w:rPr>
          <w:lang w:val="fr-FR"/>
        </w:rPr>
        <w:t> </w:t>
      </w:r>
      <w:r w:rsidRPr="004B2AF9">
        <w:rPr>
          <w:lang w:val="fr-FR"/>
        </w:rPr>
        <w:t>du pays dans lequel l</w:t>
      </w:r>
      <w:r w:rsidR="0006343E">
        <w:rPr>
          <w:lang w:val="fr-FR"/>
        </w:rPr>
        <w:t>’</w:t>
      </w:r>
      <w:r w:rsidRPr="004B2AF9">
        <w:rPr>
          <w:lang w:val="fr-FR"/>
        </w:rPr>
        <w:t>engin est immatriculé ou enregistré</w:t>
      </w:r>
      <w:r w:rsidR="009B0529">
        <w:rPr>
          <w:lang w:val="fr-FR"/>
        </w:rPr>
        <w:t> </w:t>
      </w:r>
      <w:r w:rsidRPr="004B2AF9">
        <w:rPr>
          <w:lang w:val="fr-FR"/>
        </w:rPr>
        <w:t>» (voir annexe</w:t>
      </w:r>
      <w:r w:rsidR="009B0529">
        <w:rPr>
          <w:lang w:val="fr-FR"/>
        </w:rPr>
        <w:t> </w:t>
      </w:r>
      <w:r w:rsidRPr="004B2AF9">
        <w:rPr>
          <w:lang w:val="fr-FR"/>
        </w:rPr>
        <w:t>III</w:t>
      </w:r>
      <w:r w:rsidR="009B0529">
        <w:rPr>
          <w:lang w:val="fr-FR"/>
        </w:rPr>
        <w:t>).</w:t>
      </w:r>
    </w:p>
    <w:p w:rsidR="00D651C4" w:rsidRPr="004B2AF9" w:rsidRDefault="00D651C4" w:rsidP="00D651C4">
      <w:pPr>
        <w:pStyle w:val="HChG"/>
        <w:rPr>
          <w:sz w:val="24"/>
          <w:lang w:val="fr-FR"/>
        </w:rPr>
      </w:pPr>
      <w:r w:rsidRPr="004B2AF9">
        <w:rPr>
          <w:lang w:val="fr-FR"/>
        </w:rPr>
        <w:tab/>
      </w:r>
      <w:bookmarkStart w:id="100" w:name="_Toc432670200"/>
      <w:r w:rsidRPr="004B2AF9">
        <w:rPr>
          <w:lang w:val="fr-FR"/>
        </w:rPr>
        <w:t>VIII.</w:t>
      </w:r>
      <w:r w:rsidRPr="004B2AF9">
        <w:rPr>
          <w:lang w:val="fr-FR"/>
        </w:rPr>
        <w:tab/>
        <w:t>Portée de l</w:t>
      </w:r>
      <w:r w:rsidR="0006343E">
        <w:rPr>
          <w:lang w:val="fr-FR"/>
        </w:rPr>
        <w:t>’</w:t>
      </w:r>
      <w:r w:rsidRPr="004B2AF9">
        <w:rPr>
          <w:lang w:val="fr-FR"/>
        </w:rPr>
        <w:t>ATP (point 7 de l</w:t>
      </w:r>
      <w:r w:rsidR="0006343E">
        <w:rPr>
          <w:lang w:val="fr-FR"/>
        </w:rPr>
        <w:t>’</w:t>
      </w:r>
      <w:r w:rsidRPr="004B2AF9">
        <w:rPr>
          <w:lang w:val="fr-FR"/>
        </w:rPr>
        <w:t>ordre du jour)</w:t>
      </w:r>
      <w:bookmarkEnd w:id="98"/>
      <w:bookmarkEnd w:id="99"/>
      <w:bookmarkEnd w:id="100"/>
    </w:p>
    <w:p w:rsidR="00D651C4" w:rsidRPr="004B2AF9" w:rsidRDefault="00D651C4" w:rsidP="00D651C4">
      <w:pPr>
        <w:pStyle w:val="H1G"/>
        <w:rPr>
          <w:lang w:val="fr-FR"/>
        </w:rPr>
      </w:pPr>
      <w:r w:rsidRPr="004B2AF9">
        <w:rPr>
          <w:lang w:val="fr-FR"/>
        </w:rPr>
        <w:tab/>
      </w:r>
      <w:bookmarkStart w:id="101" w:name="_Toc401568269"/>
      <w:bookmarkStart w:id="102" w:name="_Toc401568674"/>
      <w:bookmarkStart w:id="103" w:name="_Toc432670201"/>
      <w:r w:rsidRPr="004B2AF9">
        <w:rPr>
          <w:lang w:val="fr-FR"/>
        </w:rPr>
        <w:t>A.</w:t>
      </w:r>
      <w:r w:rsidRPr="004B2AF9">
        <w:rPr>
          <w:lang w:val="fr-FR"/>
        </w:rPr>
        <w:tab/>
      </w:r>
      <w:bookmarkEnd w:id="101"/>
      <w:bookmarkEnd w:id="102"/>
      <w:bookmarkEnd w:id="103"/>
      <w:r w:rsidRPr="004B2AF9">
        <w:rPr>
          <w:lang w:val="fr-FR"/>
        </w:rPr>
        <w:t>Accords multilatéraux</w:t>
      </w:r>
    </w:p>
    <w:p w:rsidR="00D651C4" w:rsidRPr="004B2AF9" w:rsidRDefault="000E43E4" w:rsidP="000E43E4">
      <w:pPr>
        <w:spacing w:after="120"/>
        <w:ind w:left="2268" w:right="1134" w:hanging="1134"/>
        <w:rPr>
          <w:lang w:val="fr-FR"/>
        </w:rPr>
      </w:pPr>
      <w:r>
        <w:rPr>
          <w:i/>
          <w:lang w:val="fr-FR"/>
        </w:rPr>
        <w:t>Document </w:t>
      </w:r>
      <w:r w:rsidRPr="00436EC3">
        <w:rPr>
          <w:lang w:val="fr-FR"/>
        </w:rPr>
        <w:t>:</w:t>
      </w:r>
      <w:r>
        <w:rPr>
          <w:i/>
          <w:lang w:val="fr-FR"/>
        </w:rPr>
        <w:tab/>
      </w:r>
      <w:r w:rsidR="00D651C4" w:rsidRPr="000E43E4">
        <w:rPr>
          <w:lang w:val="fr-FR"/>
        </w:rPr>
        <w:t>Document informel</w:t>
      </w:r>
      <w:r>
        <w:rPr>
          <w:lang w:val="fr-FR"/>
        </w:rPr>
        <w:t xml:space="preserve"> </w:t>
      </w:r>
      <w:r w:rsidR="00D651C4" w:rsidRPr="004B2AF9">
        <w:rPr>
          <w:lang w:val="fr-FR"/>
        </w:rPr>
        <w:t>INF.7 (secrétariat)</w:t>
      </w:r>
      <w:r w:rsidR="0097219C">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 xml:space="preserve">À la demande du Groupe de travail, le secrétariat avait écrit en décembre 2014 aux </w:t>
      </w:r>
      <w:r w:rsidR="0006343E">
        <w:rPr>
          <w:lang w:val="fr-FR"/>
        </w:rPr>
        <w:t>M</w:t>
      </w:r>
      <w:r w:rsidRPr="004B2AF9">
        <w:rPr>
          <w:lang w:val="fr-FR"/>
        </w:rPr>
        <w:t>inistres des affaires étrangères des Parties contractantes à l</w:t>
      </w:r>
      <w:r w:rsidR="0006343E">
        <w:rPr>
          <w:lang w:val="fr-FR"/>
        </w:rPr>
        <w:t>’</w:t>
      </w:r>
      <w:r w:rsidRPr="004B2AF9">
        <w:rPr>
          <w:lang w:val="fr-FR"/>
        </w:rPr>
        <w:t>ATP pour leur demander les coordonnées de l</w:t>
      </w:r>
      <w:r w:rsidR="0006343E">
        <w:rPr>
          <w:lang w:val="fr-FR"/>
        </w:rPr>
        <w:t>’</w:t>
      </w:r>
      <w:r w:rsidRPr="004B2AF9">
        <w:rPr>
          <w:lang w:val="fr-FR"/>
        </w:rPr>
        <w:t>autorité nationale habilitée à signer d</w:t>
      </w:r>
      <w:r w:rsidR="0006343E">
        <w:rPr>
          <w:lang w:val="fr-FR"/>
        </w:rPr>
        <w:t>’</w:t>
      </w:r>
      <w:r w:rsidRPr="004B2AF9">
        <w:rPr>
          <w:lang w:val="fr-FR"/>
        </w:rPr>
        <w:t>éventuels futurs accords multilatéraux.</w:t>
      </w:r>
    </w:p>
    <w:p w:rsidR="00D651C4" w:rsidRPr="004B2AF9" w:rsidRDefault="00D651C4" w:rsidP="00F855B4">
      <w:pPr>
        <w:pStyle w:val="SingleTxtG"/>
        <w:numPr>
          <w:ilvl w:val="0"/>
          <w:numId w:val="25"/>
        </w:numPr>
        <w:ind w:left="1134" w:firstLine="0"/>
        <w:rPr>
          <w:lang w:val="fr-FR"/>
        </w:rPr>
      </w:pPr>
      <w:r w:rsidRPr="004B2AF9">
        <w:rPr>
          <w:lang w:val="fr-FR"/>
        </w:rPr>
        <w:t>Au moment de la session, des réponses avaient été reçues des pays suivants</w:t>
      </w:r>
      <w:r w:rsidR="0097219C">
        <w:rPr>
          <w:lang w:val="fr-FR"/>
        </w:rPr>
        <w:t> </w:t>
      </w:r>
      <w:r w:rsidRPr="004B2AF9">
        <w:rPr>
          <w:lang w:val="fr-FR"/>
        </w:rPr>
        <w:t>: Allemagne, Autriche, Belgique, Bulgarie, Danemark, États-Unis, France, Géorgie, Irlande, Italie, Luxembourg, Monaco, Ouzbékistan, République tchèque, Serbie et Ukraine.</w:t>
      </w:r>
    </w:p>
    <w:p w:rsidR="00D651C4" w:rsidRPr="004B2AF9" w:rsidRDefault="00D651C4" w:rsidP="00F855B4">
      <w:pPr>
        <w:pStyle w:val="SingleTxtG"/>
        <w:numPr>
          <w:ilvl w:val="0"/>
          <w:numId w:val="25"/>
        </w:numPr>
        <w:ind w:left="1134" w:firstLine="0"/>
        <w:rPr>
          <w:lang w:val="fr-FR"/>
        </w:rPr>
      </w:pPr>
      <w:r w:rsidRPr="004B2AF9">
        <w:rPr>
          <w:lang w:val="fr-FR"/>
        </w:rPr>
        <w:t>Les autres Parties contractantes à l</w:t>
      </w:r>
      <w:r w:rsidR="0006343E">
        <w:rPr>
          <w:lang w:val="fr-FR"/>
        </w:rPr>
        <w:t>’</w:t>
      </w:r>
      <w:r w:rsidRPr="004B2AF9">
        <w:rPr>
          <w:lang w:val="fr-FR"/>
        </w:rPr>
        <w:t>ATP ont été invitées à répondre au courrier du secrétariat si elles souhaitaient pouvoir bénéficier d</w:t>
      </w:r>
      <w:r w:rsidR="0006343E">
        <w:rPr>
          <w:lang w:val="fr-FR"/>
        </w:rPr>
        <w:t>’</w:t>
      </w:r>
      <w:r w:rsidRPr="004B2AF9">
        <w:rPr>
          <w:lang w:val="fr-FR"/>
        </w:rPr>
        <w:t>accords multilatéraux.</w:t>
      </w:r>
    </w:p>
    <w:p w:rsidR="00D651C4" w:rsidRPr="004B2AF9" w:rsidRDefault="00D651C4" w:rsidP="00D651C4">
      <w:pPr>
        <w:pStyle w:val="H1G"/>
        <w:rPr>
          <w:lang w:val="fr-FR"/>
        </w:rPr>
      </w:pPr>
      <w:r w:rsidRPr="004B2AF9">
        <w:rPr>
          <w:lang w:val="fr-FR"/>
        </w:rPr>
        <w:tab/>
      </w:r>
      <w:bookmarkStart w:id="104" w:name="_Toc401568271"/>
      <w:bookmarkStart w:id="105" w:name="_Toc401568676"/>
      <w:bookmarkStart w:id="106" w:name="_Toc432670202"/>
      <w:r w:rsidRPr="004B2AF9">
        <w:rPr>
          <w:lang w:val="fr-FR"/>
        </w:rPr>
        <w:t>B.</w:t>
      </w:r>
      <w:r w:rsidRPr="004B2AF9">
        <w:rPr>
          <w:lang w:val="fr-FR"/>
        </w:rPr>
        <w:tab/>
      </w:r>
      <w:bookmarkEnd w:id="104"/>
      <w:bookmarkEnd w:id="105"/>
      <w:bookmarkEnd w:id="106"/>
      <w:r w:rsidRPr="004B2AF9">
        <w:rPr>
          <w:lang w:val="fr-FR"/>
        </w:rPr>
        <w:t>Projet de feuille de route</w:t>
      </w:r>
    </w:p>
    <w:p w:rsidR="00D651C4" w:rsidRPr="004B2AF9" w:rsidRDefault="00D651C4" w:rsidP="000E43E4">
      <w:pPr>
        <w:spacing w:after="120"/>
        <w:ind w:left="2268" w:right="1134" w:hanging="1134"/>
        <w:rPr>
          <w:lang w:val="fr-FR"/>
        </w:rPr>
      </w:pPr>
      <w:r w:rsidRPr="004B2AF9">
        <w:rPr>
          <w:i/>
          <w:lang w:val="fr-FR"/>
        </w:rPr>
        <w:t>Document</w:t>
      </w:r>
      <w:r w:rsidR="000E43E4">
        <w:rPr>
          <w:i/>
          <w:lang w:val="fr-FR"/>
        </w:rPr>
        <w:t xml:space="preserve">s </w:t>
      </w:r>
      <w:r w:rsidRPr="004B2AF9">
        <w:rPr>
          <w:lang w:val="fr-FR"/>
        </w:rPr>
        <w:t>:</w:t>
      </w:r>
      <w:r w:rsidRPr="004B2AF9">
        <w:rPr>
          <w:lang w:val="fr-FR"/>
        </w:rPr>
        <w:tab/>
      </w:r>
      <w:r w:rsidRPr="004B2AF9">
        <w:rPr>
          <w:lang w:val="fr-FR"/>
        </w:rPr>
        <w:tab/>
        <w:t>ECE/TRANS/WP.11/2015/9 (EuroMed)</w:t>
      </w:r>
      <w:r w:rsidR="000E43E4">
        <w:rPr>
          <w:lang w:val="fr-FR"/>
        </w:rPr>
        <w:t xml:space="preserve"> </w:t>
      </w:r>
      <w:r w:rsidR="000E43E4">
        <w:rPr>
          <w:lang w:val="fr-FR"/>
        </w:rPr>
        <w:br/>
      </w:r>
      <w:r w:rsidRPr="000E43E4">
        <w:rPr>
          <w:lang w:val="fr-FR"/>
        </w:rPr>
        <w:t>Document informel</w:t>
      </w:r>
      <w:r w:rsidR="000E43E4">
        <w:rPr>
          <w:lang w:val="fr-FR"/>
        </w:rPr>
        <w:t xml:space="preserve"> </w:t>
      </w:r>
      <w:r w:rsidRPr="004B2AF9">
        <w:rPr>
          <w:lang w:val="fr-FR"/>
        </w:rPr>
        <w:t>INF.4 (EuroMed)</w:t>
      </w:r>
      <w:r w:rsidR="0097219C">
        <w:rPr>
          <w:lang w:val="fr-FR"/>
        </w:rPr>
        <w:t>.</w:t>
      </w:r>
    </w:p>
    <w:p w:rsidR="00D651C4" w:rsidRPr="004B2AF9" w:rsidRDefault="00D651C4" w:rsidP="00F855B4">
      <w:pPr>
        <w:pStyle w:val="SingleTxtG"/>
        <w:numPr>
          <w:ilvl w:val="0"/>
          <w:numId w:val="25"/>
        </w:numPr>
        <w:ind w:left="1134" w:firstLine="0"/>
        <w:rPr>
          <w:lang w:val="fr-FR"/>
        </w:rPr>
      </w:pPr>
      <w:r w:rsidRPr="004B2AF9">
        <w:rPr>
          <w:lang w:val="fr-FR"/>
        </w:rPr>
        <w:t>Le Groupe de travail a approuvé le projet de feuille de route établi, avec la contribution du secrétariat, par le Projet régional EuroMed «</w:t>
      </w:r>
      <w:r w:rsidR="00436EC3">
        <w:rPr>
          <w:lang w:val="fr-FR"/>
        </w:rPr>
        <w:t> </w:t>
      </w:r>
      <w:r w:rsidRPr="004B2AF9">
        <w:rPr>
          <w:lang w:val="fr-FR"/>
        </w:rPr>
        <w:t>Route, rail et transport urbain</w:t>
      </w:r>
      <w:r w:rsidR="00436EC3">
        <w:rPr>
          <w:lang w:val="fr-FR"/>
        </w:rPr>
        <w:t> </w:t>
      </w:r>
      <w:r w:rsidRPr="004B2AF9">
        <w:rPr>
          <w:lang w:val="fr-FR"/>
        </w:rPr>
        <w:t>»</w:t>
      </w:r>
      <w:r>
        <w:rPr>
          <w:lang w:val="fr-FR"/>
        </w:rPr>
        <w:t>, financé par l</w:t>
      </w:r>
      <w:r w:rsidR="0006343E">
        <w:rPr>
          <w:lang w:val="fr-FR"/>
        </w:rPr>
        <w:t>’</w:t>
      </w:r>
      <w:r>
        <w:rPr>
          <w:lang w:val="fr-FR"/>
        </w:rPr>
        <w:t>Union européenne</w:t>
      </w:r>
      <w:r w:rsidRPr="004B2AF9">
        <w:rPr>
          <w:lang w:val="fr-FR"/>
        </w:rPr>
        <w:t>, qui énonce les principales mesures que doivent prendre les pays souhaitant adhérer à l</w:t>
      </w:r>
      <w:r w:rsidR="0006343E">
        <w:rPr>
          <w:lang w:val="fr-FR"/>
        </w:rPr>
        <w:t>’</w:t>
      </w:r>
      <w:r w:rsidRPr="004B2AF9">
        <w:rPr>
          <w:lang w:val="fr-FR"/>
        </w:rPr>
        <w:t>ATP et en assurer la pleine mise en œuvre.</w:t>
      </w:r>
    </w:p>
    <w:p w:rsidR="00D651C4" w:rsidRPr="004B2AF9" w:rsidRDefault="00D651C4" w:rsidP="00F855B4">
      <w:pPr>
        <w:pStyle w:val="SingleTxtG"/>
        <w:numPr>
          <w:ilvl w:val="0"/>
          <w:numId w:val="25"/>
        </w:numPr>
        <w:ind w:left="1134" w:firstLine="0"/>
        <w:rPr>
          <w:rFonts w:eastAsia="Calibri"/>
          <w:lang w:val="fr-FR"/>
        </w:rPr>
      </w:pPr>
      <w:r w:rsidRPr="004B2AF9">
        <w:rPr>
          <w:lang w:val="fr-FR"/>
        </w:rPr>
        <w:t>Il a été mentionné qu</w:t>
      </w:r>
      <w:r w:rsidR="0006343E">
        <w:rPr>
          <w:lang w:val="fr-FR"/>
        </w:rPr>
        <w:t>’</w:t>
      </w:r>
      <w:r w:rsidRPr="004B2AF9">
        <w:rPr>
          <w:lang w:val="fr-FR"/>
        </w:rPr>
        <w:t>il était difficile pour certaines Parties contractantes à l</w:t>
      </w:r>
      <w:r w:rsidR="0006343E">
        <w:rPr>
          <w:lang w:val="fr-FR"/>
        </w:rPr>
        <w:t>’</w:t>
      </w:r>
      <w:r w:rsidRPr="004B2AF9">
        <w:rPr>
          <w:lang w:val="fr-FR"/>
        </w:rPr>
        <w:t>ATP de se doter d</w:t>
      </w:r>
      <w:r w:rsidR="0006343E">
        <w:rPr>
          <w:lang w:val="fr-FR"/>
        </w:rPr>
        <w:t>’</w:t>
      </w:r>
      <w:r w:rsidRPr="004B2AF9">
        <w:rPr>
          <w:lang w:val="fr-FR"/>
        </w:rPr>
        <w:t>une station d</w:t>
      </w:r>
      <w:r w:rsidR="0006343E">
        <w:rPr>
          <w:lang w:val="fr-FR"/>
        </w:rPr>
        <w:t>’</w:t>
      </w:r>
      <w:r w:rsidRPr="004B2AF9">
        <w:rPr>
          <w:lang w:val="fr-FR"/>
        </w:rPr>
        <w:t>essai et que ce</w:t>
      </w:r>
      <w:r w:rsidR="0006343E">
        <w:rPr>
          <w:lang w:val="fr-FR"/>
        </w:rPr>
        <w:t>s stations d’essai</w:t>
      </w:r>
      <w:r w:rsidRPr="004B2AF9">
        <w:rPr>
          <w:lang w:val="fr-FR"/>
        </w:rPr>
        <w:t xml:space="preserve"> n</w:t>
      </w:r>
      <w:r w:rsidR="0006343E">
        <w:rPr>
          <w:lang w:val="fr-FR"/>
        </w:rPr>
        <w:t>’</w:t>
      </w:r>
      <w:r w:rsidRPr="004B2AF9">
        <w:rPr>
          <w:lang w:val="fr-FR"/>
        </w:rPr>
        <w:t>étaient pas nécessairement rentables. Le représentant d</w:t>
      </w:r>
      <w:r w:rsidR="0006343E">
        <w:rPr>
          <w:lang w:val="fr-FR"/>
        </w:rPr>
        <w:t>’</w:t>
      </w:r>
      <w:r w:rsidRPr="004B2AF9">
        <w:rPr>
          <w:lang w:val="fr-FR"/>
        </w:rPr>
        <w:t>EuroMed a indiqué que l</w:t>
      </w:r>
      <w:r w:rsidR="0006343E">
        <w:rPr>
          <w:lang w:val="fr-FR"/>
        </w:rPr>
        <w:t>’</w:t>
      </w:r>
      <w:r w:rsidRPr="004B2AF9">
        <w:rPr>
          <w:lang w:val="fr-FR"/>
        </w:rPr>
        <w:t>étape 4 relative à la création d</w:t>
      </w:r>
      <w:r w:rsidR="0006343E">
        <w:rPr>
          <w:lang w:val="fr-FR"/>
        </w:rPr>
        <w:t>’</w:t>
      </w:r>
      <w:r w:rsidRPr="004B2AF9">
        <w:rPr>
          <w:lang w:val="fr-FR"/>
        </w:rPr>
        <w:t>une station d</w:t>
      </w:r>
      <w:r w:rsidR="0006343E">
        <w:rPr>
          <w:lang w:val="fr-FR"/>
        </w:rPr>
        <w:t>’</w:t>
      </w:r>
      <w:r w:rsidRPr="004B2AF9">
        <w:rPr>
          <w:lang w:val="fr-FR"/>
        </w:rPr>
        <w:t>essai avait été élaborée en partant du principe que les pays membres d</w:t>
      </w:r>
      <w:r w:rsidR="0006343E">
        <w:rPr>
          <w:lang w:val="fr-FR"/>
        </w:rPr>
        <w:t>’</w:t>
      </w:r>
      <w:r w:rsidRPr="004B2AF9">
        <w:rPr>
          <w:lang w:val="fr-FR"/>
        </w:rPr>
        <w:t>EuroMed appliqueraient aussi l</w:t>
      </w:r>
      <w:r w:rsidR="0006343E">
        <w:rPr>
          <w:lang w:val="fr-FR"/>
        </w:rPr>
        <w:t>’</w:t>
      </w:r>
      <w:r w:rsidRPr="004B2AF9">
        <w:rPr>
          <w:lang w:val="fr-FR"/>
        </w:rPr>
        <w:t>ATP au transport intérieur de denrées périssables</w:t>
      </w:r>
      <w:r w:rsidRPr="004B2AF9">
        <w:rPr>
          <w:rFonts w:eastAsia="Calibri"/>
          <w:lang w:val="fr-FR"/>
        </w:rPr>
        <w:t>.</w:t>
      </w:r>
    </w:p>
    <w:p w:rsidR="00D651C4" w:rsidRPr="004B2AF9" w:rsidRDefault="00D651C4" w:rsidP="00D651C4">
      <w:pPr>
        <w:pStyle w:val="HChG"/>
        <w:rPr>
          <w:lang w:val="fr-FR"/>
        </w:rPr>
      </w:pPr>
      <w:r w:rsidRPr="004B2AF9">
        <w:rPr>
          <w:lang w:val="fr-FR"/>
        </w:rPr>
        <w:tab/>
      </w:r>
      <w:bookmarkStart w:id="107" w:name="_Toc401568273"/>
      <w:bookmarkStart w:id="108" w:name="_Toc401568678"/>
      <w:bookmarkStart w:id="109" w:name="_Toc432670203"/>
      <w:r w:rsidRPr="004B2AF9">
        <w:rPr>
          <w:lang w:val="fr-FR"/>
        </w:rPr>
        <w:t>IX.</w:t>
      </w:r>
      <w:r w:rsidRPr="004B2AF9">
        <w:rPr>
          <w:lang w:val="fr-FR"/>
        </w:rPr>
        <w:tab/>
        <w:t>Étiquetage énergétique, fluides frigorigènes et agents d</w:t>
      </w:r>
      <w:r w:rsidR="0006343E">
        <w:rPr>
          <w:lang w:val="fr-FR"/>
        </w:rPr>
        <w:t>’</w:t>
      </w:r>
      <w:r w:rsidRPr="004B2AF9">
        <w:rPr>
          <w:lang w:val="fr-FR"/>
        </w:rPr>
        <w:t>expansion (point 8 de l</w:t>
      </w:r>
      <w:r w:rsidR="0006343E">
        <w:rPr>
          <w:lang w:val="fr-FR"/>
        </w:rPr>
        <w:t>’</w:t>
      </w:r>
      <w:r w:rsidRPr="004B2AF9">
        <w:rPr>
          <w:lang w:val="fr-FR"/>
        </w:rPr>
        <w:t>ordre du jour)</w:t>
      </w:r>
      <w:bookmarkEnd w:id="107"/>
      <w:bookmarkEnd w:id="108"/>
      <w:bookmarkEnd w:id="109"/>
    </w:p>
    <w:p w:rsidR="00D651C4" w:rsidRPr="004B2AF9" w:rsidRDefault="00D651C4" w:rsidP="00F855B4">
      <w:pPr>
        <w:pStyle w:val="SingleTxtG"/>
        <w:numPr>
          <w:ilvl w:val="0"/>
          <w:numId w:val="25"/>
        </w:numPr>
        <w:ind w:left="1134" w:firstLine="0"/>
        <w:rPr>
          <w:lang w:val="fr-FR"/>
        </w:rPr>
      </w:pPr>
      <w:r w:rsidRPr="004B2AF9">
        <w:rPr>
          <w:lang w:val="fr-FR"/>
        </w:rPr>
        <w:t>Le Groupe de travail a rappelé qu</w:t>
      </w:r>
      <w:r w:rsidR="0006343E">
        <w:rPr>
          <w:lang w:val="fr-FR"/>
        </w:rPr>
        <w:t>’</w:t>
      </w:r>
      <w:r w:rsidRPr="004B2AF9">
        <w:rPr>
          <w:lang w:val="fr-FR"/>
        </w:rPr>
        <w:t>il avait reçu de la part de Transfrigoroute International, dans le document informel INF.15, les renseignements suivants. Le Règlement (UE) n</w:t>
      </w:r>
      <w:r w:rsidRPr="0004713F">
        <w:rPr>
          <w:vertAlign w:val="superscript"/>
          <w:lang w:val="fr-FR"/>
        </w:rPr>
        <w:t>o</w:t>
      </w:r>
      <w:r>
        <w:rPr>
          <w:lang w:val="fr-FR"/>
        </w:rPr>
        <w:t> </w:t>
      </w:r>
      <w:r w:rsidRPr="004B2AF9">
        <w:rPr>
          <w:lang w:val="fr-FR"/>
        </w:rPr>
        <w:t xml:space="preserve">517/2014 relatif aux gaz à effet de serre fluorés était désormais </w:t>
      </w:r>
      <w:r>
        <w:rPr>
          <w:lang w:val="fr-FR"/>
        </w:rPr>
        <w:t xml:space="preserve">bien en place </w:t>
      </w:r>
      <w:r w:rsidRPr="004B2AF9">
        <w:rPr>
          <w:lang w:val="fr-FR"/>
        </w:rPr>
        <w:t xml:space="preserve">mais </w:t>
      </w:r>
      <w:r>
        <w:rPr>
          <w:lang w:val="fr-FR"/>
        </w:rPr>
        <w:t>de nombreuses</w:t>
      </w:r>
      <w:r w:rsidRPr="004B2AF9">
        <w:rPr>
          <w:lang w:val="fr-FR"/>
        </w:rPr>
        <w:t xml:space="preserve"> questions </w:t>
      </w:r>
      <w:r w:rsidRPr="00D303C3">
        <w:rPr>
          <w:lang w:val="fr-FR"/>
        </w:rPr>
        <w:t xml:space="preserve">restaient </w:t>
      </w:r>
      <w:r w:rsidRPr="004B2AF9">
        <w:rPr>
          <w:lang w:val="fr-FR"/>
        </w:rPr>
        <w:t>à régler. Les normes de formation des technicie</w:t>
      </w:r>
      <w:r>
        <w:rPr>
          <w:lang w:val="fr-FR"/>
        </w:rPr>
        <w:t>ns du secteur des transports av</w:t>
      </w:r>
      <w:r w:rsidRPr="004B2AF9">
        <w:rPr>
          <w:lang w:val="fr-FR"/>
        </w:rPr>
        <w:t xml:space="preserve">aient </w:t>
      </w:r>
      <w:r>
        <w:rPr>
          <w:lang w:val="fr-FR"/>
        </w:rPr>
        <w:t xml:space="preserve">été </w:t>
      </w:r>
      <w:r w:rsidRPr="004B2AF9">
        <w:rPr>
          <w:lang w:val="fr-FR"/>
        </w:rPr>
        <w:t xml:space="preserve">publiées </w:t>
      </w:r>
      <w:r>
        <w:rPr>
          <w:lang w:val="fr-FR"/>
        </w:rPr>
        <w:t xml:space="preserve">tout récemment </w:t>
      </w:r>
      <w:r w:rsidRPr="004B2AF9">
        <w:rPr>
          <w:lang w:val="fr-FR"/>
        </w:rPr>
        <w:t>et n</w:t>
      </w:r>
      <w:r w:rsidR="0006343E">
        <w:rPr>
          <w:lang w:val="fr-FR"/>
        </w:rPr>
        <w:t>’</w:t>
      </w:r>
      <w:r w:rsidRPr="004B2AF9">
        <w:rPr>
          <w:lang w:val="fr-FR"/>
        </w:rPr>
        <w:t xml:space="preserve">avaient pas encore été ratifiées. </w:t>
      </w:r>
      <w:r>
        <w:rPr>
          <w:lang w:val="fr-FR"/>
        </w:rPr>
        <w:t>Il pouvait être à craindre</w:t>
      </w:r>
      <w:r w:rsidRPr="004B2AF9">
        <w:rPr>
          <w:lang w:val="fr-FR"/>
        </w:rPr>
        <w:t xml:space="preserve"> </w:t>
      </w:r>
      <w:r>
        <w:rPr>
          <w:lang w:val="fr-FR"/>
        </w:rPr>
        <w:t>que ces normes ne so</w:t>
      </w:r>
      <w:r w:rsidRPr="004B2AF9">
        <w:rPr>
          <w:lang w:val="fr-FR"/>
        </w:rPr>
        <w:t>ient pas appliquées dans l</w:t>
      </w:r>
      <w:r w:rsidR="0006343E">
        <w:rPr>
          <w:lang w:val="fr-FR"/>
        </w:rPr>
        <w:t>’</w:t>
      </w:r>
      <w:r w:rsidRPr="004B2AF9">
        <w:rPr>
          <w:lang w:val="fr-FR"/>
        </w:rPr>
        <w:t>ensemble des États membres de l</w:t>
      </w:r>
      <w:r w:rsidR="0006343E">
        <w:rPr>
          <w:lang w:val="fr-FR"/>
        </w:rPr>
        <w:t>’</w:t>
      </w:r>
      <w:r w:rsidRPr="004B2AF9">
        <w:rPr>
          <w:lang w:val="fr-FR"/>
        </w:rPr>
        <w:t xml:space="preserve">UE, ce qui aurait pour effet de fausser la concurrence. De plus, </w:t>
      </w:r>
      <w:r w:rsidRPr="00D303C3">
        <w:rPr>
          <w:lang w:val="fr-FR"/>
        </w:rPr>
        <w:t>si l</w:t>
      </w:r>
      <w:r w:rsidR="0006343E">
        <w:rPr>
          <w:lang w:val="fr-FR"/>
        </w:rPr>
        <w:t>’</w:t>
      </w:r>
      <w:r w:rsidRPr="00D303C3">
        <w:rPr>
          <w:lang w:val="fr-FR"/>
        </w:rPr>
        <w:t>industrie continuait à utiliser des fluides frigorigènes à potentiel de réchauffement planétaire (PRP) élevé</w:t>
      </w:r>
      <w:r>
        <w:rPr>
          <w:lang w:val="fr-FR"/>
        </w:rPr>
        <w:t>,</w:t>
      </w:r>
      <w:r w:rsidRPr="00D303C3">
        <w:rPr>
          <w:lang w:val="fr-FR"/>
        </w:rPr>
        <w:t xml:space="preserve"> </w:t>
      </w:r>
      <w:r>
        <w:rPr>
          <w:lang w:val="fr-FR"/>
        </w:rPr>
        <w:t xml:space="preserve">il était également à craindre que </w:t>
      </w:r>
      <w:r w:rsidRPr="004B2AF9">
        <w:rPr>
          <w:lang w:val="fr-FR"/>
        </w:rPr>
        <w:t xml:space="preserve">les objectifs de réduction des émissions ne </w:t>
      </w:r>
      <w:r>
        <w:rPr>
          <w:lang w:val="fr-FR"/>
        </w:rPr>
        <w:t xml:space="preserve">puissent </w:t>
      </w:r>
      <w:r w:rsidRPr="004B2AF9">
        <w:rPr>
          <w:lang w:val="fr-FR"/>
        </w:rPr>
        <w:t>pas être atteints. Au cours de l</w:t>
      </w:r>
      <w:r w:rsidR="0006343E">
        <w:rPr>
          <w:lang w:val="fr-FR"/>
        </w:rPr>
        <w:t>’</w:t>
      </w:r>
      <w:r>
        <w:rPr>
          <w:lang w:val="fr-FR"/>
        </w:rPr>
        <w:t xml:space="preserve">année précédente, </w:t>
      </w:r>
      <w:r w:rsidRPr="004B2AF9">
        <w:rPr>
          <w:lang w:val="fr-FR"/>
        </w:rPr>
        <w:t>un des principaux constructeurs d</w:t>
      </w:r>
      <w:r w:rsidR="0006343E">
        <w:rPr>
          <w:lang w:val="fr-FR"/>
        </w:rPr>
        <w:t>’</w:t>
      </w:r>
      <w:r w:rsidRPr="004B2AF9">
        <w:rPr>
          <w:lang w:val="fr-FR"/>
        </w:rPr>
        <w:t>engins avait introduit le R452A, dont le PRP était inférieur de moitié à celui du R404A, un fluide frigorigène d</w:t>
      </w:r>
      <w:r w:rsidR="0006343E">
        <w:rPr>
          <w:lang w:val="fr-FR"/>
        </w:rPr>
        <w:t>’</w:t>
      </w:r>
      <w:r w:rsidRPr="004B2AF9">
        <w:rPr>
          <w:lang w:val="fr-FR"/>
        </w:rPr>
        <w:t>usage courant. Il semblait que d</w:t>
      </w:r>
      <w:r w:rsidR="0006343E">
        <w:rPr>
          <w:lang w:val="fr-FR"/>
        </w:rPr>
        <w:t>’</w:t>
      </w:r>
      <w:r w:rsidRPr="004B2AF9">
        <w:rPr>
          <w:lang w:val="fr-FR"/>
        </w:rPr>
        <w:t>autres constructeurs suivraient son exemple. I</w:t>
      </w:r>
      <w:r>
        <w:rPr>
          <w:lang w:val="fr-FR"/>
        </w:rPr>
        <w:t xml:space="preserve">l </w:t>
      </w:r>
      <w:r w:rsidRPr="004B2AF9">
        <w:rPr>
          <w:lang w:val="fr-FR"/>
        </w:rPr>
        <w:t xml:space="preserve">était </w:t>
      </w:r>
      <w:r>
        <w:rPr>
          <w:lang w:val="fr-FR"/>
        </w:rPr>
        <w:t>loin d</w:t>
      </w:r>
      <w:r w:rsidR="0006343E">
        <w:rPr>
          <w:lang w:val="fr-FR"/>
        </w:rPr>
        <w:t>’</w:t>
      </w:r>
      <w:r>
        <w:rPr>
          <w:lang w:val="fr-FR"/>
        </w:rPr>
        <w:t xml:space="preserve">être assuré </w:t>
      </w:r>
      <w:r w:rsidRPr="004B2AF9">
        <w:rPr>
          <w:lang w:val="fr-FR"/>
        </w:rPr>
        <w:t>que le secteur des transports choisirait de remplacer les fluides frigorigènes de la classe A1 par des fluides légèrement inflammables de la classe A2L.</w:t>
      </w:r>
    </w:p>
    <w:p w:rsidR="00D651C4" w:rsidRPr="004B2AF9" w:rsidRDefault="00D651C4" w:rsidP="0097219C">
      <w:pPr>
        <w:pStyle w:val="SingleTxtG"/>
        <w:numPr>
          <w:ilvl w:val="0"/>
          <w:numId w:val="25"/>
        </w:numPr>
        <w:ind w:left="1134" w:firstLine="0"/>
        <w:rPr>
          <w:lang w:val="fr-FR"/>
        </w:rPr>
      </w:pPr>
      <w:r w:rsidRPr="004B2AF9">
        <w:rPr>
          <w:lang w:val="fr-FR"/>
        </w:rPr>
        <w:t xml:space="preserve">Le représentant des États-Unis </w:t>
      </w:r>
      <w:r>
        <w:rPr>
          <w:lang w:val="fr-FR"/>
        </w:rPr>
        <w:t>a</w:t>
      </w:r>
      <w:r w:rsidRPr="004B2AF9">
        <w:rPr>
          <w:lang w:val="fr-FR"/>
        </w:rPr>
        <w:t xml:space="preserve"> proposé de communiquer aux membres du Groupe de travail des informations concernant les travaux menés sur la question par l</w:t>
      </w:r>
      <w:r w:rsidR="0006343E">
        <w:rPr>
          <w:lang w:val="fr-FR"/>
        </w:rPr>
        <w:t>’</w:t>
      </w:r>
      <w:r w:rsidRPr="004B2AF9">
        <w:rPr>
          <w:lang w:val="fr-FR"/>
        </w:rPr>
        <w:t>État de Californie et l</w:t>
      </w:r>
      <w:r w:rsidR="0006343E">
        <w:rPr>
          <w:lang w:val="fr-FR"/>
        </w:rPr>
        <w:t>’</w:t>
      </w:r>
      <w:r w:rsidRPr="004B2AF9">
        <w:rPr>
          <w:lang w:val="fr-FR"/>
        </w:rPr>
        <w:t>Agence fédérale de protection de l</w:t>
      </w:r>
      <w:r w:rsidR="0006343E">
        <w:rPr>
          <w:lang w:val="fr-FR"/>
        </w:rPr>
        <w:t>’</w:t>
      </w:r>
      <w:r w:rsidRPr="004B2AF9">
        <w:rPr>
          <w:lang w:val="fr-FR"/>
        </w:rPr>
        <w:t>environnement.</w:t>
      </w:r>
    </w:p>
    <w:p w:rsidR="00D651C4" w:rsidRPr="004B2AF9" w:rsidRDefault="00D651C4" w:rsidP="00D651C4">
      <w:pPr>
        <w:pStyle w:val="HChG"/>
        <w:rPr>
          <w:sz w:val="24"/>
          <w:lang w:val="fr-FR"/>
        </w:rPr>
      </w:pPr>
      <w:r w:rsidRPr="004B2AF9">
        <w:rPr>
          <w:lang w:val="fr-FR"/>
        </w:rPr>
        <w:tab/>
      </w:r>
      <w:bookmarkStart w:id="110" w:name="_Toc401568274"/>
      <w:bookmarkStart w:id="111" w:name="_Toc401568679"/>
      <w:bookmarkStart w:id="112" w:name="_Toc432670204"/>
      <w:r w:rsidRPr="004B2AF9">
        <w:rPr>
          <w:lang w:val="fr-FR"/>
        </w:rPr>
        <w:t>X.</w:t>
      </w:r>
      <w:r w:rsidRPr="004B2AF9">
        <w:rPr>
          <w:lang w:val="fr-FR"/>
        </w:rPr>
        <w:tab/>
        <w:t xml:space="preserve">Programme de travail et évaluation bisannuelle </w:t>
      </w:r>
      <w:r w:rsidRPr="004B2AF9">
        <w:rPr>
          <w:lang w:val="fr-FR"/>
        </w:rPr>
        <w:br/>
        <w:t>(point 9 de l</w:t>
      </w:r>
      <w:r w:rsidR="0006343E">
        <w:rPr>
          <w:lang w:val="fr-FR"/>
        </w:rPr>
        <w:t>’</w:t>
      </w:r>
      <w:r w:rsidRPr="004B2AF9">
        <w:rPr>
          <w:lang w:val="fr-FR"/>
        </w:rPr>
        <w:t>ordre du jour)</w:t>
      </w:r>
      <w:bookmarkEnd w:id="110"/>
      <w:bookmarkEnd w:id="111"/>
      <w:bookmarkEnd w:id="112"/>
    </w:p>
    <w:p w:rsidR="00D651C4" w:rsidRPr="004B2AF9" w:rsidRDefault="00D651C4" w:rsidP="000E43E4">
      <w:pPr>
        <w:spacing w:after="120"/>
        <w:ind w:left="2268" w:right="1134" w:hanging="1134"/>
        <w:rPr>
          <w:lang w:val="fr-FR"/>
        </w:rPr>
      </w:pPr>
      <w:r w:rsidRPr="004B2AF9">
        <w:rPr>
          <w:i/>
          <w:lang w:val="fr-FR"/>
        </w:rPr>
        <w:t>Document</w:t>
      </w:r>
      <w:r w:rsidR="0097219C">
        <w:rPr>
          <w:i/>
          <w:lang w:val="fr-FR"/>
        </w:rPr>
        <w:t> </w:t>
      </w:r>
      <w:r w:rsidRPr="004B2AF9">
        <w:rPr>
          <w:lang w:val="fr-FR"/>
        </w:rPr>
        <w:t>:</w:t>
      </w:r>
      <w:r w:rsidRPr="004B2AF9">
        <w:rPr>
          <w:lang w:val="fr-FR"/>
        </w:rPr>
        <w:tab/>
        <w:t>ECE/TRANS/WP.11/2015/3 (secrétariat)</w:t>
      </w:r>
      <w:r w:rsidR="0097219C">
        <w:rPr>
          <w:lang w:val="fr-FR"/>
        </w:rPr>
        <w:t>.</w:t>
      </w:r>
    </w:p>
    <w:p w:rsidR="00D651C4" w:rsidRPr="004B2AF9" w:rsidRDefault="00D651C4" w:rsidP="0097219C">
      <w:pPr>
        <w:pStyle w:val="SingleTxtG"/>
        <w:numPr>
          <w:ilvl w:val="0"/>
          <w:numId w:val="25"/>
        </w:numPr>
        <w:ind w:left="1134" w:firstLine="0"/>
        <w:rPr>
          <w:lang w:val="fr-FR"/>
        </w:rPr>
      </w:pPr>
      <w:r w:rsidRPr="004B2AF9">
        <w:rPr>
          <w:lang w:val="fr-FR"/>
        </w:rPr>
        <w:t>Le Groupe de travail a adopté son projet de programme de travail pour 2016-2017 (voir annexe</w:t>
      </w:r>
      <w:r w:rsidR="0097219C">
        <w:rPr>
          <w:lang w:val="fr-FR"/>
        </w:rPr>
        <w:t> </w:t>
      </w:r>
      <w:r w:rsidRPr="004B2AF9">
        <w:rPr>
          <w:lang w:val="fr-FR"/>
        </w:rPr>
        <w:t>IV), après avoir remplacé, au premier alinéa, «</w:t>
      </w:r>
      <w:r w:rsidR="0097219C">
        <w:rPr>
          <w:lang w:val="fr-FR"/>
        </w:rPr>
        <w:t> </w:t>
      </w:r>
      <w:r>
        <w:rPr>
          <w:lang w:val="fr-FR"/>
        </w:rPr>
        <w:t xml:space="preserve">préservation de la </w:t>
      </w:r>
      <w:r w:rsidRPr="004B2AF9">
        <w:rPr>
          <w:lang w:val="fr-FR"/>
        </w:rPr>
        <w:t>qualité des denrées périssables</w:t>
      </w:r>
      <w:r w:rsidR="0097219C">
        <w:rPr>
          <w:lang w:val="fr-FR"/>
        </w:rPr>
        <w:t> </w:t>
      </w:r>
      <w:r w:rsidRPr="004B2AF9">
        <w:rPr>
          <w:lang w:val="fr-FR"/>
        </w:rPr>
        <w:t>» par «</w:t>
      </w:r>
      <w:r w:rsidR="0097219C">
        <w:rPr>
          <w:lang w:val="fr-FR"/>
        </w:rPr>
        <w:t> </w:t>
      </w:r>
      <w:r w:rsidRPr="004B2AF9">
        <w:rPr>
          <w:lang w:val="fr-FR"/>
        </w:rPr>
        <w:t>conservation des denrées périssables</w:t>
      </w:r>
      <w:r w:rsidR="0097219C">
        <w:rPr>
          <w:lang w:val="fr-FR"/>
        </w:rPr>
        <w:t> </w:t>
      </w:r>
      <w:r w:rsidRPr="004B2AF9">
        <w:rPr>
          <w:lang w:val="fr-FR"/>
        </w:rPr>
        <w:t>».</w:t>
      </w:r>
    </w:p>
    <w:p w:rsidR="00D651C4" w:rsidRPr="004B2AF9" w:rsidRDefault="00D651C4" w:rsidP="0097219C">
      <w:pPr>
        <w:pStyle w:val="SingleTxtG"/>
        <w:numPr>
          <w:ilvl w:val="0"/>
          <w:numId w:val="25"/>
        </w:numPr>
        <w:ind w:left="1134" w:firstLine="0"/>
        <w:rPr>
          <w:lang w:val="fr-FR"/>
        </w:rPr>
      </w:pPr>
      <w:r w:rsidRPr="004B2AF9">
        <w:rPr>
          <w:lang w:val="fr-FR"/>
        </w:rPr>
        <w:t>Le Groupe de travail a adopté la proposition d</w:t>
      </w:r>
      <w:r w:rsidR="0006343E">
        <w:rPr>
          <w:lang w:val="fr-FR"/>
        </w:rPr>
        <w:t>’</w:t>
      </w:r>
      <w:r w:rsidRPr="004B2AF9">
        <w:rPr>
          <w:lang w:val="fr-FR"/>
        </w:rPr>
        <w:t>évaluation pour l</w:t>
      </w:r>
      <w:r w:rsidR="0006343E">
        <w:rPr>
          <w:lang w:val="fr-FR"/>
        </w:rPr>
        <w:t>’</w:t>
      </w:r>
      <w:r w:rsidRPr="004B2AF9">
        <w:rPr>
          <w:lang w:val="fr-FR"/>
        </w:rPr>
        <w:t>exercice biennal 2016-2017, sans supprimer les mots «</w:t>
      </w:r>
      <w:r w:rsidR="0097219C">
        <w:rPr>
          <w:lang w:val="fr-FR"/>
        </w:rPr>
        <w:t> </w:t>
      </w:r>
      <w:r w:rsidRPr="004B2AF9">
        <w:rPr>
          <w:lang w:val="fr-FR"/>
        </w:rPr>
        <w:t>autres que rédactionnelles</w:t>
      </w:r>
      <w:r w:rsidR="0097219C">
        <w:rPr>
          <w:lang w:val="fr-FR"/>
        </w:rPr>
        <w:t> </w:t>
      </w:r>
      <w:r w:rsidRPr="004B2AF9">
        <w:rPr>
          <w:lang w:val="fr-FR"/>
        </w:rPr>
        <w:t>» dans l</w:t>
      </w:r>
      <w:r w:rsidR="0006343E">
        <w:rPr>
          <w:lang w:val="fr-FR"/>
        </w:rPr>
        <w:t>’</w:t>
      </w:r>
      <w:r w:rsidRPr="004B2AF9">
        <w:rPr>
          <w:lang w:val="fr-FR"/>
        </w:rPr>
        <w:t>intitulé du premier indicateur de succès ainsi que l</w:t>
      </w:r>
      <w:r w:rsidR="0006343E">
        <w:rPr>
          <w:lang w:val="fr-FR"/>
        </w:rPr>
        <w:t>’</w:t>
      </w:r>
      <w:r w:rsidRPr="004B2AF9">
        <w:rPr>
          <w:lang w:val="fr-FR"/>
        </w:rPr>
        <w:t>avait proposé le secrétariat, et en portant l</w:t>
      </w:r>
      <w:r w:rsidR="0006343E">
        <w:rPr>
          <w:lang w:val="fr-FR"/>
        </w:rPr>
        <w:t>’</w:t>
      </w:r>
      <w:r w:rsidRPr="004B2AF9">
        <w:rPr>
          <w:lang w:val="fr-FR"/>
        </w:rPr>
        <w:t>estimation à 21 (pour tenir compte de la réponse du Maroc au questionnaire) et l</w:t>
      </w:r>
      <w:r w:rsidR="0006343E">
        <w:rPr>
          <w:lang w:val="fr-FR"/>
        </w:rPr>
        <w:t>’</w:t>
      </w:r>
      <w:r w:rsidRPr="004B2AF9">
        <w:rPr>
          <w:lang w:val="fr-FR"/>
        </w:rPr>
        <w:t>objectif à 24 pour le troisième indicateur de succès (voir annexe</w:t>
      </w:r>
      <w:r w:rsidR="0097219C">
        <w:rPr>
          <w:lang w:val="fr-FR"/>
        </w:rPr>
        <w:t> </w:t>
      </w:r>
      <w:r w:rsidRPr="004B2AF9">
        <w:rPr>
          <w:lang w:val="fr-FR"/>
        </w:rPr>
        <w:t>V).</w:t>
      </w:r>
    </w:p>
    <w:p w:rsidR="00D651C4" w:rsidRPr="004B2AF9" w:rsidRDefault="00D651C4" w:rsidP="0097219C">
      <w:pPr>
        <w:pStyle w:val="SingleTxtG"/>
        <w:numPr>
          <w:ilvl w:val="0"/>
          <w:numId w:val="25"/>
        </w:numPr>
        <w:ind w:left="1134" w:firstLine="0"/>
        <w:rPr>
          <w:lang w:val="fr-FR"/>
        </w:rPr>
      </w:pPr>
      <w:r w:rsidRPr="004B2AF9">
        <w:rPr>
          <w:lang w:val="fr-FR"/>
        </w:rPr>
        <w:t>Le Groupe de travail a adopté son projet de plan de travail pour 2016-2020 (</w:t>
      </w:r>
      <w:r>
        <w:rPr>
          <w:lang w:val="fr-FR"/>
        </w:rPr>
        <w:t>voir annexe</w:t>
      </w:r>
      <w:r w:rsidRPr="004B2AF9">
        <w:rPr>
          <w:lang w:val="fr-FR"/>
        </w:rPr>
        <w:t xml:space="preserve"> VI) moyennant les modifications suivantes</w:t>
      </w:r>
      <w:r w:rsidR="0097219C">
        <w:rPr>
          <w:lang w:val="fr-FR"/>
        </w:rPr>
        <w:t> </w:t>
      </w:r>
      <w:r w:rsidRPr="004B2AF9">
        <w:rPr>
          <w:lang w:val="fr-FR"/>
        </w:rPr>
        <w:t>:</w:t>
      </w:r>
    </w:p>
    <w:p w:rsidR="00D651C4" w:rsidRPr="004B2AF9" w:rsidRDefault="00D651C4" w:rsidP="00297993">
      <w:pPr>
        <w:pStyle w:val="SingleTxtG"/>
        <w:ind w:firstLine="567"/>
        <w:rPr>
          <w:lang w:val="fr-FR"/>
        </w:rPr>
      </w:pPr>
      <w:r w:rsidRPr="004B2AF9">
        <w:rPr>
          <w:lang w:val="fr-FR"/>
        </w:rPr>
        <w:t>c)</w:t>
      </w:r>
      <w:r w:rsidRPr="004B2AF9">
        <w:rPr>
          <w:lang w:val="fr-FR"/>
        </w:rPr>
        <w:tab/>
        <w:t>Supprimer «</w:t>
      </w:r>
      <w:r w:rsidR="0097219C">
        <w:rPr>
          <w:lang w:val="fr-FR"/>
        </w:rPr>
        <w:t> </w:t>
      </w:r>
      <w:r w:rsidRPr="004B2AF9">
        <w:rPr>
          <w:lang w:val="fr-FR"/>
        </w:rPr>
        <w:t>par le Comité européen de normalisation (CEN)</w:t>
      </w:r>
      <w:r w:rsidR="0097219C">
        <w:rPr>
          <w:lang w:val="fr-FR"/>
        </w:rPr>
        <w:t> </w:t>
      </w:r>
      <w:r w:rsidRPr="004B2AF9">
        <w:rPr>
          <w:lang w:val="fr-FR"/>
        </w:rPr>
        <w:t>» et, dans les résultats escomptés, supprimer «</w:t>
      </w:r>
      <w:r w:rsidR="0097219C">
        <w:rPr>
          <w:lang w:val="fr-FR"/>
        </w:rPr>
        <w:t> </w:t>
      </w:r>
      <w:r w:rsidRPr="004B2AF9">
        <w:rPr>
          <w:lang w:val="fr-FR"/>
        </w:rPr>
        <w:t>CEN</w:t>
      </w:r>
      <w:r w:rsidR="0097219C">
        <w:rPr>
          <w:lang w:val="fr-FR"/>
        </w:rPr>
        <w:t> </w:t>
      </w:r>
      <w:r w:rsidRPr="004B2AF9">
        <w:rPr>
          <w:lang w:val="fr-FR"/>
        </w:rPr>
        <w:t>»</w:t>
      </w:r>
      <w:r w:rsidR="0097219C">
        <w:rPr>
          <w:lang w:val="fr-FR"/>
        </w:rPr>
        <w:t> </w:t>
      </w:r>
      <w:r w:rsidRPr="004B2AF9">
        <w:rPr>
          <w:lang w:val="fr-FR"/>
        </w:rPr>
        <w:t>;</w:t>
      </w:r>
    </w:p>
    <w:p w:rsidR="00D651C4" w:rsidRPr="004B2AF9" w:rsidRDefault="00D651C4" w:rsidP="00297993">
      <w:pPr>
        <w:pStyle w:val="SingleTxtG"/>
        <w:ind w:firstLine="567"/>
        <w:rPr>
          <w:lang w:val="fr-FR"/>
        </w:rPr>
      </w:pPr>
      <w:r w:rsidRPr="004B2AF9">
        <w:rPr>
          <w:lang w:val="fr-FR"/>
        </w:rPr>
        <w:t>g)</w:t>
      </w:r>
      <w:r w:rsidRPr="004B2AF9">
        <w:rPr>
          <w:lang w:val="fr-FR"/>
        </w:rPr>
        <w:tab/>
        <w:t xml:space="preserve">Remplacer deux fois </w:t>
      </w:r>
      <w:r>
        <w:rPr>
          <w:lang w:val="fr-FR"/>
        </w:rPr>
        <w:t>«</w:t>
      </w:r>
      <w:r w:rsidR="0097219C">
        <w:rPr>
          <w:lang w:val="fr-FR"/>
        </w:rPr>
        <w:t> </w:t>
      </w:r>
      <w:r w:rsidRPr="004B2AF9">
        <w:rPr>
          <w:lang w:val="fr-FR"/>
        </w:rPr>
        <w:t>l</w:t>
      </w:r>
      <w:r w:rsidR="0006343E">
        <w:rPr>
          <w:lang w:val="fr-FR"/>
        </w:rPr>
        <w:t>’</w:t>
      </w:r>
      <w:r w:rsidRPr="004B2AF9">
        <w:rPr>
          <w:lang w:val="fr-FR"/>
        </w:rPr>
        <w:t>Union européenne</w:t>
      </w:r>
      <w:r w:rsidR="0097219C">
        <w:rPr>
          <w:lang w:val="fr-FR"/>
        </w:rPr>
        <w:t> </w:t>
      </w:r>
      <w:r>
        <w:rPr>
          <w:lang w:val="fr-FR"/>
        </w:rPr>
        <w:t>»</w:t>
      </w:r>
      <w:r w:rsidRPr="004B2AF9">
        <w:rPr>
          <w:lang w:val="fr-FR"/>
        </w:rPr>
        <w:t xml:space="preserve"> par </w:t>
      </w:r>
      <w:r>
        <w:rPr>
          <w:lang w:val="fr-FR"/>
        </w:rPr>
        <w:t>«</w:t>
      </w:r>
      <w:r w:rsidR="0097219C">
        <w:rPr>
          <w:lang w:val="fr-FR"/>
        </w:rPr>
        <w:t> </w:t>
      </w:r>
      <w:r w:rsidRPr="004B2AF9">
        <w:rPr>
          <w:lang w:val="fr-FR"/>
        </w:rPr>
        <w:t>les organisations régionales d</w:t>
      </w:r>
      <w:r w:rsidR="0006343E">
        <w:rPr>
          <w:lang w:val="fr-FR"/>
        </w:rPr>
        <w:t>’</w:t>
      </w:r>
      <w:r w:rsidRPr="004B2AF9">
        <w:rPr>
          <w:lang w:val="fr-FR"/>
        </w:rPr>
        <w:t>intégration économique</w:t>
      </w:r>
      <w:r w:rsidR="0097219C">
        <w:rPr>
          <w:lang w:val="fr-FR"/>
        </w:rPr>
        <w:t> </w:t>
      </w:r>
      <w:r>
        <w:rPr>
          <w:lang w:val="fr-FR"/>
        </w:rPr>
        <w:t>»</w:t>
      </w:r>
      <w:r w:rsidR="0097219C">
        <w:rPr>
          <w:lang w:val="fr-FR"/>
        </w:rPr>
        <w:t> </w:t>
      </w:r>
      <w:r w:rsidRPr="004B2AF9">
        <w:rPr>
          <w:lang w:val="fr-FR"/>
        </w:rPr>
        <w:t>;</w:t>
      </w:r>
    </w:p>
    <w:p w:rsidR="00D651C4" w:rsidRPr="004B2AF9" w:rsidRDefault="00D651C4" w:rsidP="00297993">
      <w:pPr>
        <w:pStyle w:val="SingleTxtG"/>
        <w:ind w:firstLine="567"/>
        <w:rPr>
          <w:lang w:val="fr-FR"/>
        </w:rPr>
      </w:pPr>
      <w:r w:rsidRPr="004B2AF9">
        <w:rPr>
          <w:lang w:val="fr-FR"/>
        </w:rPr>
        <w:t>i)</w:t>
      </w:r>
      <w:r w:rsidRPr="004B2AF9">
        <w:rPr>
          <w:lang w:val="fr-FR"/>
        </w:rPr>
        <w:tab/>
        <w:t xml:space="preserve">Supprimer </w:t>
      </w:r>
      <w:r>
        <w:rPr>
          <w:lang w:val="fr-FR"/>
        </w:rPr>
        <w:t>«</w:t>
      </w:r>
      <w:r w:rsidR="00253995">
        <w:rPr>
          <w:lang w:val="fr-FR"/>
        </w:rPr>
        <w:t> </w:t>
      </w:r>
      <w:r w:rsidRPr="004B2AF9">
        <w:rPr>
          <w:lang w:val="fr-FR"/>
        </w:rPr>
        <w:t>et de réduire les pertes de produits alimentaires dans les pays en développement dues à des conditions de transport inappropriées</w:t>
      </w:r>
      <w:r w:rsidR="0097219C">
        <w:rPr>
          <w:lang w:val="fr-FR"/>
        </w:rPr>
        <w:t> </w:t>
      </w:r>
      <w:r>
        <w:rPr>
          <w:lang w:val="fr-FR"/>
        </w:rPr>
        <w:t>»</w:t>
      </w:r>
      <w:r w:rsidR="0097219C">
        <w:rPr>
          <w:lang w:val="fr-FR"/>
        </w:rPr>
        <w:t> </w:t>
      </w:r>
      <w:r w:rsidRPr="004B2AF9">
        <w:rPr>
          <w:lang w:val="fr-FR"/>
        </w:rPr>
        <w:t>;</w:t>
      </w:r>
    </w:p>
    <w:p w:rsidR="00D651C4" w:rsidRPr="004B2AF9" w:rsidRDefault="00D651C4" w:rsidP="00297993">
      <w:pPr>
        <w:pStyle w:val="SingleTxtG"/>
        <w:ind w:firstLine="567"/>
        <w:rPr>
          <w:lang w:val="fr-FR"/>
        </w:rPr>
      </w:pPr>
      <w:r w:rsidRPr="004B2AF9">
        <w:rPr>
          <w:lang w:val="fr-FR"/>
        </w:rPr>
        <w:t>j)</w:t>
      </w:r>
      <w:r w:rsidRPr="004B2AF9">
        <w:rPr>
          <w:lang w:val="fr-FR"/>
        </w:rPr>
        <w:tab/>
        <w:t xml:space="preserve">Remplacer par </w:t>
      </w:r>
      <w:r>
        <w:rPr>
          <w:lang w:val="fr-FR"/>
        </w:rPr>
        <w:t>«</w:t>
      </w:r>
      <w:r w:rsidR="00253995">
        <w:rPr>
          <w:lang w:val="fr-FR"/>
        </w:rPr>
        <w:t> </w:t>
      </w:r>
      <w:r w:rsidRPr="004B2AF9">
        <w:rPr>
          <w:lang w:val="fr-FR"/>
        </w:rPr>
        <w:t>Examen de l</w:t>
      </w:r>
      <w:r w:rsidR="0006343E">
        <w:rPr>
          <w:lang w:val="fr-FR"/>
        </w:rPr>
        <w:t>’</w:t>
      </w:r>
      <w:r w:rsidRPr="004B2AF9">
        <w:rPr>
          <w:lang w:val="fr-FR"/>
        </w:rPr>
        <w:t>introduction d</w:t>
      </w:r>
      <w:r w:rsidR="0006343E">
        <w:rPr>
          <w:lang w:val="fr-FR"/>
        </w:rPr>
        <w:t>’</w:t>
      </w:r>
      <w:r w:rsidRPr="004B2AF9">
        <w:rPr>
          <w:lang w:val="fr-FR"/>
        </w:rPr>
        <w:t>une définition des denrées périssables dans le Manuel ATP</w:t>
      </w:r>
      <w:r w:rsidR="00253995">
        <w:rPr>
          <w:lang w:val="fr-FR"/>
        </w:rPr>
        <w:t> </w:t>
      </w:r>
      <w:r>
        <w:rPr>
          <w:lang w:val="fr-FR"/>
        </w:rPr>
        <w:t>»</w:t>
      </w:r>
      <w:r w:rsidRPr="004B2AF9">
        <w:rPr>
          <w:lang w:val="fr-FR"/>
        </w:rPr>
        <w:t xml:space="preserve"> et, dans les résultats escomptés, remplacer par </w:t>
      </w:r>
      <w:r>
        <w:rPr>
          <w:lang w:val="fr-FR"/>
        </w:rPr>
        <w:t>«</w:t>
      </w:r>
      <w:r w:rsidR="00253995">
        <w:rPr>
          <w:lang w:val="fr-FR"/>
        </w:rPr>
        <w:t> </w:t>
      </w:r>
      <w:r w:rsidRPr="004B2AF9">
        <w:rPr>
          <w:lang w:val="fr-FR"/>
        </w:rPr>
        <w:t>Consensus sur une définition</w:t>
      </w:r>
      <w:r w:rsidR="00253995">
        <w:rPr>
          <w:lang w:val="fr-FR"/>
        </w:rPr>
        <w:t> </w:t>
      </w:r>
      <w:r>
        <w:rPr>
          <w:lang w:val="fr-FR"/>
        </w:rPr>
        <w:t>»</w:t>
      </w:r>
      <w:r w:rsidR="0097219C">
        <w:rPr>
          <w:lang w:val="fr-FR"/>
        </w:rPr>
        <w:t> </w:t>
      </w:r>
      <w:r w:rsidRPr="004B2AF9">
        <w:rPr>
          <w:lang w:val="fr-FR"/>
        </w:rPr>
        <w:t>;</w:t>
      </w:r>
    </w:p>
    <w:p w:rsidR="00D651C4" w:rsidRPr="004B2AF9" w:rsidRDefault="00D651C4" w:rsidP="00297993">
      <w:pPr>
        <w:pStyle w:val="SingleTxtG"/>
        <w:ind w:firstLine="567"/>
        <w:rPr>
          <w:lang w:val="fr-FR"/>
        </w:rPr>
      </w:pPr>
      <w:r w:rsidRPr="004B2AF9">
        <w:rPr>
          <w:lang w:val="fr-FR"/>
        </w:rPr>
        <w:t>o)</w:t>
      </w:r>
      <w:r w:rsidRPr="004B2AF9">
        <w:rPr>
          <w:lang w:val="fr-FR"/>
        </w:rPr>
        <w:tab/>
        <w:t xml:space="preserve">Remplacer par </w:t>
      </w:r>
      <w:r>
        <w:rPr>
          <w:lang w:val="fr-FR"/>
        </w:rPr>
        <w:t>«</w:t>
      </w:r>
      <w:r w:rsidR="00253995">
        <w:rPr>
          <w:lang w:val="fr-FR"/>
        </w:rPr>
        <w:t> </w:t>
      </w:r>
      <w:r w:rsidRPr="004B2AF9">
        <w:rPr>
          <w:lang w:val="fr-FR"/>
        </w:rPr>
        <w:t>Examen de la possibilité d</w:t>
      </w:r>
      <w:r w:rsidR="0006343E">
        <w:rPr>
          <w:lang w:val="fr-FR"/>
        </w:rPr>
        <w:t>’</w:t>
      </w:r>
      <w:r w:rsidRPr="004B2AF9">
        <w:rPr>
          <w:lang w:val="fr-FR"/>
        </w:rPr>
        <w:t>étendre la surveillance de la température de l</w:t>
      </w:r>
      <w:r w:rsidR="0006343E">
        <w:rPr>
          <w:lang w:val="fr-FR"/>
        </w:rPr>
        <w:t>’</w:t>
      </w:r>
      <w:r w:rsidRPr="004B2AF9">
        <w:rPr>
          <w:lang w:val="fr-FR"/>
        </w:rPr>
        <w:t>air au transport des denrées réfrigérées</w:t>
      </w:r>
      <w:r w:rsidR="00253995">
        <w:rPr>
          <w:lang w:val="fr-FR"/>
        </w:rPr>
        <w:t> </w:t>
      </w:r>
      <w:r>
        <w:rPr>
          <w:lang w:val="fr-FR"/>
        </w:rPr>
        <w:t>»</w:t>
      </w:r>
      <w:r w:rsidR="00253995">
        <w:rPr>
          <w:lang w:val="fr-FR"/>
        </w:rPr>
        <w:t> </w:t>
      </w:r>
      <w:r w:rsidRPr="004B2AF9">
        <w:rPr>
          <w:lang w:val="fr-FR"/>
        </w:rPr>
        <w:t>;</w:t>
      </w:r>
    </w:p>
    <w:p w:rsidR="00D651C4" w:rsidRPr="004B2AF9" w:rsidRDefault="00D651C4" w:rsidP="00297993">
      <w:pPr>
        <w:pStyle w:val="SingleTxtG"/>
        <w:ind w:firstLine="567"/>
        <w:rPr>
          <w:rFonts w:eastAsia="Calibri"/>
          <w:lang w:val="fr-FR"/>
        </w:rPr>
      </w:pPr>
      <w:r w:rsidRPr="004B2AF9">
        <w:rPr>
          <w:lang w:val="fr-FR"/>
        </w:rPr>
        <w:t>s)</w:t>
      </w:r>
      <w:r w:rsidRPr="004B2AF9">
        <w:rPr>
          <w:lang w:val="fr-FR"/>
        </w:rPr>
        <w:tab/>
        <w:t xml:space="preserve">Remplacer par </w:t>
      </w:r>
      <w:r>
        <w:rPr>
          <w:lang w:val="fr-FR"/>
        </w:rPr>
        <w:t>«</w:t>
      </w:r>
      <w:r w:rsidR="00253995">
        <w:rPr>
          <w:lang w:val="fr-FR"/>
        </w:rPr>
        <w:t> </w:t>
      </w:r>
      <w:r w:rsidRPr="004B2AF9">
        <w:rPr>
          <w:lang w:val="fr-FR"/>
        </w:rPr>
        <w:t>Examen de la possibilité de réviser les proce</w:t>
      </w:r>
      <w:r>
        <w:rPr>
          <w:lang w:val="fr-FR"/>
        </w:rPr>
        <w:t>ssus de prise de décision</w:t>
      </w:r>
      <w:r w:rsidR="00B92668">
        <w:rPr>
          <w:lang w:val="fr-FR"/>
        </w:rPr>
        <w:t>s</w:t>
      </w:r>
      <w:r w:rsidRPr="004B2AF9">
        <w:rPr>
          <w:lang w:val="fr-FR"/>
        </w:rPr>
        <w:t>. Priorité</w:t>
      </w:r>
      <w:r w:rsidR="00253995">
        <w:rPr>
          <w:lang w:val="fr-FR"/>
        </w:rPr>
        <w:t> </w:t>
      </w:r>
      <w:r w:rsidRPr="004B2AF9">
        <w:rPr>
          <w:lang w:val="fr-FR"/>
        </w:rPr>
        <w:t xml:space="preserve">: 1. Résultats escomptés </w:t>
      </w:r>
      <w:r>
        <w:rPr>
          <w:lang w:val="fr-FR"/>
        </w:rPr>
        <w:t xml:space="preserve">avant </w:t>
      </w:r>
      <w:r w:rsidRPr="004B2AF9">
        <w:rPr>
          <w:lang w:val="fr-FR"/>
        </w:rPr>
        <w:t>la fin de 2016</w:t>
      </w:r>
      <w:r w:rsidR="00253995">
        <w:rPr>
          <w:lang w:val="fr-FR"/>
        </w:rPr>
        <w:t> </w:t>
      </w:r>
      <w:r w:rsidRPr="004B2AF9">
        <w:rPr>
          <w:lang w:val="fr-FR"/>
        </w:rPr>
        <w:t xml:space="preserve">: Consensus sur la nécessité de réviser les </w:t>
      </w:r>
      <w:r>
        <w:rPr>
          <w:lang w:val="fr-FR"/>
        </w:rPr>
        <w:t>procédures de prise de décision</w:t>
      </w:r>
      <w:r w:rsidR="00B92668">
        <w:rPr>
          <w:lang w:val="fr-FR"/>
        </w:rPr>
        <w:t>s</w:t>
      </w:r>
      <w:r w:rsidRPr="004B2AF9">
        <w:rPr>
          <w:lang w:val="fr-FR"/>
        </w:rPr>
        <w:t>.</w:t>
      </w:r>
      <w:r w:rsidR="00253995">
        <w:rPr>
          <w:lang w:val="fr-FR"/>
        </w:rPr>
        <w:t> </w:t>
      </w:r>
      <w:r>
        <w:rPr>
          <w:lang w:val="fr-FR"/>
        </w:rPr>
        <w:t>»</w:t>
      </w:r>
      <w:r w:rsidRPr="004B2AF9">
        <w:rPr>
          <w:lang w:val="fr-FR"/>
        </w:rPr>
        <w:t>.</w:t>
      </w:r>
    </w:p>
    <w:p w:rsidR="00D651C4" w:rsidRPr="004B2AF9" w:rsidRDefault="00D651C4" w:rsidP="00D651C4">
      <w:pPr>
        <w:pStyle w:val="HChG"/>
        <w:rPr>
          <w:lang w:val="fr-FR"/>
        </w:rPr>
      </w:pPr>
      <w:r w:rsidRPr="004B2AF9">
        <w:rPr>
          <w:lang w:val="fr-FR"/>
        </w:rPr>
        <w:tab/>
      </w:r>
      <w:bookmarkStart w:id="113" w:name="_Toc401568275"/>
      <w:bookmarkStart w:id="114" w:name="_Toc401568680"/>
      <w:bookmarkStart w:id="115" w:name="_Toc432670205"/>
      <w:r w:rsidRPr="004B2AF9">
        <w:rPr>
          <w:lang w:val="fr-FR"/>
        </w:rPr>
        <w:t>XI.</w:t>
      </w:r>
      <w:r w:rsidRPr="004B2AF9">
        <w:rPr>
          <w:lang w:val="fr-FR"/>
        </w:rPr>
        <w:tab/>
        <w:t>Élection du Bureau (point 10 de l</w:t>
      </w:r>
      <w:r w:rsidR="0006343E">
        <w:rPr>
          <w:lang w:val="fr-FR"/>
        </w:rPr>
        <w:t>’</w:t>
      </w:r>
      <w:r w:rsidRPr="004B2AF9">
        <w:rPr>
          <w:lang w:val="fr-FR"/>
        </w:rPr>
        <w:t>ordre du jour)</w:t>
      </w:r>
      <w:bookmarkEnd w:id="113"/>
      <w:bookmarkEnd w:id="114"/>
      <w:bookmarkEnd w:id="115"/>
    </w:p>
    <w:p w:rsidR="00D651C4" w:rsidRPr="004B2AF9" w:rsidRDefault="00D651C4" w:rsidP="0097219C">
      <w:pPr>
        <w:pStyle w:val="SingleTxtG"/>
        <w:numPr>
          <w:ilvl w:val="0"/>
          <w:numId w:val="25"/>
        </w:numPr>
        <w:ind w:left="1134" w:firstLine="0"/>
        <w:rPr>
          <w:lang w:val="fr-FR"/>
        </w:rPr>
      </w:pPr>
      <w:r w:rsidRPr="004B2AF9">
        <w:rPr>
          <w:lang w:val="fr-FR"/>
        </w:rPr>
        <w:t>Le Groupe de travail a élu M.</w:t>
      </w:r>
      <w:r w:rsidR="0097219C">
        <w:rPr>
          <w:lang w:val="fr-FR"/>
        </w:rPr>
        <w:t> </w:t>
      </w:r>
      <w:r w:rsidRPr="004B2AF9">
        <w:rPr>
          <w:lang w:val="fr-FR"/>
        </w:rPr>
        <w:t>Telmo Nobre (Portugal) Président et MM.</w:t>
      </w:r>
      <w:r w:rsidR="0097219C">
        <w:rPr>
          <w:lang w:val="fr-FR"/>
        </w:rPr>
        <w:t> </w:t>
      </w:r>
      <w:r w:rsidRPr="004B2AF9">
        <w:rPr>
          <w:lang w:val="fr-FR"/>
        </w:rPr>
        <w:t>Eric Devin (France) et Kees de Putter (Pays-Bas) Vice-Présidents pour sa soixante-douzième session, prévue en 2016. Il a remercié le Bureau et le secrétariat pour le travail qu</w:t>
      </w:r>
      <w:r w:rsidR="0006343E">
        <w:rPr>
          <w:lang w:val="fr-FR"/>
        </w:rPr>
        <w:t>’</w:t>
      </w:r>
      <w:r w:rsidRPr="004B2AF9">
        <w:rPr>
          <w:lang w:val="fr-FR"/>
        </w:rPr>
        <w:t>ils avaient accompli et M. de Putter pour avoir assumé la présidence les 8 et 9</w:t>
      </w:r>
      <w:r w:rsidR="0097219C">
        <w:rPr>
          <w:lang w:val="fr-FR"/>
        </w:rPr>
        <w:t> </w:t>
      </w:r>
      <w:r w:rsidRPr="004B2AF9">
        <w:rPr>
          <w:lang w:val="fr-FR"/>
        </w:rPr>
        <w:t>octobre.</w:t>
      </w:r>
    </w:p>
    <w:p w:rsidR="00D651C4" w:rsidRPr="004B2AF9" w:rsidRDefault="00D651C4" w:rsidP="00297993">
      <w:pPr>
        <w:pStyle w:val="HChG"/>
        <w:rPr>
          <w:lang w:val="fr-FR"/>
        </w:rPr>
      </w:pPr>
      <w:r w:rsidRPr="004B2AF9">
        <w:rPr>
          <w:lang w:val="fr-FR"/>
        </w:rPr>
        <w:tab/>
      </w:r>
      <w:bookmarkStart w:id="116" w:name="_Toc401568276"/>
      <w:bookmarkStart w:id="117" w:name="_Toc401568681"/>
      <w:bookmarkStart w:id="118" w:name="_Toc432670206"/>
      <w:r w:rsidRPr="004B2AF9">
        <w:rPr>
          <w:lang w:val="fr-FR"/>
        </w:rPr>
        <w:t>XII.</w:t>
      </w:r>
      <w:r w:rsidRPr="004B2AF9">
        <w:rPr>
          <w:lang w:val="fr-FR"/>
        </w:rPr>
        <w:tab/>
        <w:t xml:space="preserve">Questions </w:t>
      </w:r>
      <w:r w:rsidRPr="00297993">
        <w:t>diverses</w:t>
      </w:r>
      <w:r w:rsidRPr="004B2AF9">
        <w:rPr>
          <w:lang w:val="fr-FR"/>
        </w:rPr>
        <w:t xml:space="preserve"> (point 11 de l</w:t>
      </w:r>
      <w:r w:rsidR="0006343E">
        <w:rPr>
          <w:lang w:val="fr-FR"/>
        </w:rPr>
        <w:t>’</w:t>
      </w:r>
      <w:r w:rsidRPr="004B2AF9">
        <w:rPr>
          <w:lang w:val="fr-FR"/>
        </w:rPr>
        <w:t>ordre du jour)</w:t>
      </w:r>
      <w:bookmarkEnd w:id="116"/>
      <w:bookmarkEnd w:id="117"/>
      <w:bookmarkEnd w:id="118"/>
    </w:p>
    <w:p w:rsidR="00D651C4" w:rsidRPr="004B2AF9" w:rsidRDefault="00D651C4" w:rsidP="00297993">
      <w:pPr>
        <w:pStyle w:val="H1G"/>
        <w:rPr>
          <w:lang w:val="fr-FR"/>
        </w:rPr>
      </w:pPr>
      <w:r w:rsidRPr="004B2AF9">
        <w:rPr>
          <w:lang w:val="fr-FR"/>
        </w:rPr>
        <w:tab/>
      </w:r>
      <w:bookmarkStart w:id="119" w:name="_Toc401568277"/>
      <w:bookmarkStart w:id="120" w:name="_Toc401568682"/>
      <w:bookmarkStart w:id="121" w:name="_Toc432670207"/>
      <w:r w:rsidRPr="004B2AF9">
        <w:rPr>
          <w:lang w:val="fr-FR"/>
        </w:rPr>
        <w:t>A.</w:t>
      </w:r>
      <w:r w:rsidRPr="004B2AF9">
        <w:rPr>
          <w:lang w:val="fr-FR"/>
        </w:rPr>
        <w:tab/>
      </w:r>
      <w:bookmarkEnd w:id="119"/>
      <w:bookmarkEnd w:id="120"/>
      <w:bookmarkEnd w:id="121"/>
      <w:r w:rsidRPr="004B2AF9">
        <w:rPr>
          <w:lang w:val="fr-FR"/>
        </w:rPr>
        <w:t>Dates de la soixante</w:t>
      </w:r>
      <w:r w:rsidR="00C67C30">
        <w:rPr>
          <w:lang w:val="fr-FR"/>
        </w:rPr>
        <w:t>-</w:t>
      </w:r>
      <w:r w:rsidRPr="00297993">
        <w:t>douzième</w:t>
      </w:r>
      <w:r w:rsidRPr="004B2AF9">
        <w:rPr>
          <w:lang w:val="fr-FR"/>
        </w:rPr>
        <w:t xml:space="preserve"> session</w:t>
      </w:r>
    </w:p>
    <w:p w:rsidR="00D651C4" w:rsidRPr="004B2AF9" w:rsidRDefault="00D651C4" w:rsidP="0097219C">
      <w:pPr>
        <w:pStyle w:val="SingleTxtG"/>
        <w:numPr>
          <w:ilvl w:val="0"/>
          <w:numId w:val="25"/>
        </w:numPr>
        <w:ind w:left="1134" w:firstLine="0"/>
        <w:rPr>
          <w:lang w:val="fr-FR"/>
        </w:rPr>
      </w:pPr>
      <w:r w:rsidRPr="004B2AF9">
        <w:rPr>
          <w:lang w:val="fr-FR"/>
        </w:rPr>
        <w:t>Le Groupe de travail a été informé que la soixante-douzième session se tiendrait du 4 au 7</w:t>
      </w:r>
      <w:r w:rsidR="0097219C">
        <w:rPr>
          <w:lang w:val="fr-FR"/>
        </w:rPr>
        <w:t> </w:t>
      </w:r>
      <w:r w:rsidRPr="004B2AF9">
        <w:rPr>
          <w:lang w:val="fr-FR"/>
        </w:rPr>
        <w:t>octobre 2016 et que la date limite pour la soumission des documents avait été fixée au 1</w:t>
      </w:r>
      <w:r w:rsidRPr="00E8478C">
        <w:rPr>
          <w:vertAlign w:val="superscript"/>
          <w:lang w:val="fr-FR"/>
        </w:rPr>
        <w:t>er</w:t>
      </w:r>
      <w:r>
        <w:rPr>
          <w:lang w:val="fr-FR"/>
        </w:rPr>
        <w:t> </w:t>
      </w:r>
      <w:r w:rsidRPr="004B2AF9">
        <w:rPr>
          <w:lang w:val="fr-FR"/>
        </w:rPr>
        <w:t>juillet 2016.</w:t>
      </w:r>
    </w:p>
    <w:p w:rsidR="00D651C4" w:rsidRPr="004B2AF9" w:rsidRDefault="00D651C4" w:rsidP="00D651C4">
      <w:pPr>
        <w:pStyle w:val="H1G"/>
        <w:rPr>
          <w:lang w:val="fr-FR"/>
        </w:rPr>
      </w:pPr>
      <w:r w:rsidRPr="004B2AF9">
        <w:rPr>
          <w:lang w:val="fr-FR"/>
        </w:rPr>
        <w:tab/>
      </w:r>
      <w:bookmarkStart w:id="122" w:name="_Toc432670208"/>
      <w:bookmarkStart w:id="123" w:name="_Toc401568278"/>
      <w:bookmarkStart w:id="124" w:name="_Toc401568683"/>
      <w:r w:rsidRPr="004B2AF9">
        <w:rPr>
          <w:lang w:val="fr-FR"/>
        </w:rPr>
        <w:t>B.</w:t>
      </w:r>
      <w:r w:rsidRPr="004B2AF9">
        <w:rPr>
          <w:lang w:val="fr-FR"/>
        </w:rPr>
        <w:tab/>
      </w:r>
      <w:bookmarkEnd w:id="122"/>
      <w:r w:rsidRPr="004B2AF9">
        <w:rPr>
          <w:lang w:val="fr-FR"/>
        </w:rPr>
        <w:t>Secrétaire</w:t>
      </w:r>
    </w:p>
    <w:p w:rsidR="00D651C4" w:rsidRPr="004B2AF9" w:rsidRDefault="00D651C4" w:rsidP="0097219C">
      <w:pPr>
        <w:pStyle w:val="SingleTxtG"/>
        <w:numPr>
          <w:ilvl w:val="0"/>
          <w:numId w:val="25"/>
        </w:numPr>
        <w:ind w:left="1134" w:firstLine="0"/>
        <w:rPr>
          <w:rFonts w:eastAsia="SimSun"/>
          <w:lang w:val="fr-FR" w:eastAsia="zh-CN"/>
        </w:rPr>
      </w:pPr>
      <w:r w:rsidRPr="004B2AF9">
        <w:rPr>
          <w:lang w:val="fr-FR"/>
        </w:rPr>
        <w:t>Le Groupe de travail a été informé que M.</w:t>
      </w:r>
      <w:r w:rsidR="0097219C">
        <w:rPr>
          <w:lang w:val="fr-FR"/>
        </w:rPr>
        <w:t> </w:t>
      </w:r>
      <w:r w:rsidRPr="004B2AF9">
        <w:rPr>
          <w:lang w:val="fr-FR"/>
        </w:rPr>
        <w:t>Smith avait atteint l</w:t>
      </w:r>
      <w:r w:rsidR="0006343E">
        <w:rPr>
          <w:lang w:val="fr-FR"/>
        </w:rPr>
        <w:t>’</w:t>
      </w:r>
      <w:r w:rsidRPr="004B2AF9">
        <w:rPr>
          <w:lang w:val="fr-FR"/>
        </w:rPr>
        <w:t>âge de départ obligatoire à la retraite à l</w:t>
      </w:r>
      <w:r w:rsidR="0006343E">
        <w:rPr>
          <w:lang w:val="fr-FR"/>
        </w:rPr>
        <w:t>’</w:t>
      </w:r>
      <w:r w:rsidRPr="004B2AF9">
        <w:rPr>
          <w:lang w:val="fr-FR"/>
        </w:rPr>
        <w:t>ONU et prendrait sa retraite en novembre 2015 après sa d</w:t>
      </w:r>
      <w:r>
        <w:rPr>
          <w:lang w:val="fr-FR"/>
        </w:rPr>
        <w:t>ernière session comme s</w:t>
      </w:r>
      <w:r w:rsidRPr="004B2AF9">
        <w:rPr>
          <w:lang w:val="fr-FR"/>
        </w:rPr>
        <w:t>ecrétaire du Groupe</w:t>
      </w:r>
      <w:r w:rsidRPr="004B2AF9">
        <w:rPr>
          <w:rFonts w:eastAsia="SimSun"/>
          <w:lang w:val="fr-FR" w:eastAsia="zh-CN"/>
        </w:rPr>
        <w:t xml:space="preserve">. </w:t>
      </w:r>
      <w:r w:rsidRPr="004B2AF9">
        <w:rPr>
          <w:lang w:val="fr-FR"/>
        </w:rPr>
        <w:t>M.</w:t>
      </w:r>
      <w:r w:rsidR="0097219C">
        <w:rPr>
          <w:lang w:val="fr-FR"/>
        </w:rPr>
        <w:t> </w:t>
      </w:r>
      <w:r w:rsidRPr="004B2AF9">
        <w:rPr>
          <w:lang w:val="fr-FR"/>
        </w:rPr>
        <w:t>Smith était entré en fonction</w:t>
      </w:r>
      <w:r w:rsidR="0006343E">
        <w:rPr>
          <w:lang w:val="fr-FR"/>
        </w:rPr>
        <w:t>s</w:t>
      </w:r>
      <w:r w:rsidRPr="004B2AF9">
        <w:rPr>
          <w:lang w:val="fr-FR"/>
        </w:rPr>
        <w:t xml:space="preserve"> à la Division des transports de la CEE en 1997</w:t>
      </w:r>
      <w:r w:rsidRPr="004B2AF9">
        <w:rPr>
          <w:rFonts w:eastAsia="SimSun"/>
          <w:lang w:val="fr-FR" w:eastAsia="zh-CN"/>
        </w:rPr>
        <w:t xml:space="preserve">. </w:t>
      </w:r>
      <w:r w:rsidRPr="004B2AF9">
        <w:rPr>
          <w:lang w:val="fr-FR"/>
        </w:rPr>
        <w:t>Il avait d</w:t>
      </w:r>
      <w:r w:rsidR="0006343E">
        <w:rPr>
          <w:lang w:val="fr-FR"/>
        </w:rPr>
        <w:t>’</w:t>
      </w:r>
      <w:r w:rsidRPr="004B2AF9">
        <w:rPr>
          <w:lang w:val="fr-FR"/>
        </w:rPr>
        <w:t>abord travaillé sur les questions de sécurité routière avant de rejoindre la Section des marchandises dangereuses et cargaisons spéciales en 2007</w:t>
      </w:r>
      <w:r w:rsidRPr="004B2AF9">
        <w:rPr>
          <w:rFonts w:eastAsia="SimSun"/>
          <w:lang w:val="fr-FR" w:eastAsia="zh-CN"/>
        </w:rPr>
        <w:t xml:space="preserve">. </w:t>
      </w:r>
      <w:r w:rsidRPr="004B2AF9">
        <w:rPr>
          <w:lang w:val="fr-FR"/>
        </w:rPr>
        <w:t>Le Group</w:t>
      </w:r>
      <w:r>
        <w:rPr>
          <w:lang w:val="fr-FR"/>
        </w:rPr>
        <w:t>e de travail l</w:t>
      </w:r>
      <w:r w:rsidR="0006343E">
        <w:rPr>
          <w:lang w:val="fr-FR"/>
        </w:rPr>
        <w:t>’</w:t>
      </w:r>
      <w:r>
        <w:rPr>
          <w:lang w:val="fr-FR"/>
        </w:rPr>
        <w:t>a remercié pour l</w:t>
      </w:r>
      <w:r w:rsidRPr="004B2AF9">
        <w:rPr>
          <w:lang w:val="fr-FR"/>
        </w:rPr>
        <w:t>a contribution</w:t>
      </w:r>
      <w:r>
        <w:rPr>
          <w:lang w:val="fr-FR"/>
        </w:rPr>
        <w:t xml:space="preserve"> qu</w:t>
      </w:r>
      <w:r w:rsidR="0006343E">
        <w:rPr>
          <w:lang w:val="fr-FR"/>
        </w:rPr>
        <w:t>’</w:t>
      </w:r>
      <w:r>
        <w:rPr>
          <w:lang w:val="fr-FR"/>
        </w:rPr>
        <w:t>il avait apportée</w:t>
      </w:r>
      <w:r w:rsidRPr="004B2AF9">
        <w:rPr>
          <w:lang w:val="fr-FR"/>
        </w:rPr>
        <w:t xml:space="preserve"> </w:t>
      </w:r>
      <w:r>
        <w:rPr>
          <w:lang w:val="fr-FR"/>
        </w:rPr>
        <w:t>à ses</w:t>
      </w:r>
      <w:r w:rsidRPr="004B2AF9">
        <w:rPr>
          <w:lang w:val="fr-FR"/>
        </w:rPr>
        <w:t xml:space="preserve"> travaux et lui a souhaité une longue et heureuse retraite</w:t>
      </w:r>
      <w:r w:rsidRPr="004B2AF9">
        <w:rPr>
          <w:rFonts w:eastAsia="SimSun"/>
          <w:lang w:val="fr-FR" w:eastAsia="zh-CN"/>
        </w:rPr>
        <w:t>.</w:t>
      </w:r>
    </w:p>
    <w:p w:rsidR="00D651C4" w:rsidRPr="004B2AF9" w:rsidRDefault="00D651C4" w:rsidP="00D651C4">
      <w:pPr>
        <w:pStyle w:val="H1G"/>
        <w:rPr>
          <w:lang w:val="fr-FR"/>
        </w:rPr>
      </w:pPr>
      <w:r w:rsidRPr="004B2AF9">
        <w:rPr>
          <w:lang w:val="fr-FR"/>
        </w:rPr>
        <w:tab/>
      </w:r>
      <w:bookmarkStart w:id="125" w:name="_Toc432670209"/>
      <w:r w:rsidRPr="004B2AF9">
        <w:rPr>
          <w:lang w:val="fr-FR"/>
        </w:rPr>
        <w:t>C.</w:t>
      </w:r>
      <w:r w:rsidRPr="004B2AF9">
        <w:rPr>
          <w:lang w:val="fr-FR"/>
        </w:rPr>
        <w:tab/>
      </w:r>
      <w:bookmarkEnd w:id="123"/>
      <w:bookmarkEnd w:id="124"/>
      <w:bookmarkEnd w:id="125"/>
      <w:r w:rsidRPr="004B2AF9">
        <w:rPr>
          <w:lang w:val="fr-FR"/>
        </w:rPr>
        <w:t>Autres questions</w:t>
      </w:r>
    </w:p>
    <w:p w:rsidR="00D651C4" w:rsidRPr="004B2AF9" w:rsidRDefault="00D651C4" w:rsidP="0097219C">
      <w:pPr>
        <w:pStyle w:val="SingleTxtG"/>
        <w:numPr>
          <w:ilvl w:val="0"/>
          <w:numId w:val="25"/>
        </w:numPr>
        <w:ind w:left="1134" w:firstLine="0"/>
        <w:rPr>
          <w:rFonts w:eastAsia="Arial Unicode MS"/>
          <w:lang w:val="fr-FR"/>
        </w:rPr>
      </w:pPr>
      <w:r w:rsidRPr="004B2AF9">
        <w:rPr>
          <w:lang w:val="fr-FR"/>
        </w:rPr>
        <w:t>Le représentant des États-Unis a indiqué au Groupe de travail qu</w:t>
      </w:r>
      <w:r w:rsidR="0006343E">
        <w:rPr>
          <w:lang w:val="fr-FR"/>
        </w:rPr>
        <w:t>’</w:t>
      </w:r>
      <w:r w:rsidRPr="004B2AF9">
        <w:rPr>
          <w:lang w:val="fr-FR"/>
        </w:rPr>
        <w:t>il le tiendrait informé sur l</w:t>
      </w:r>
      <w:r w:rsidR="0006343E">
        <w:rPr>
          <w:lang w:val="fr-FR"/>
        </w:rPr>
        <w:t>’</w:t>
      </w:r>
      <w:r w:rsidRPr="004B2AF9">
        <w:rPr>
          <w:lang w:val="fr-FR"/>
        </w:rPr>
        <w:t>adoption par son pays de la loi intitulée «</w:t>
      </w:r>
      <w:r w:rsidR="0097219C">
        <w:rPr>
          <w:lang w:val="fr-FR"/>
        </w:rPr>
        <w:t> </w:t>
      </w:r>
      <w:r w:rsidRPr="004B2AF9">
        <w:rPr>
          <w:lang w:val="fr-FR"/>
        </w:rPr>
        <w:t>Sanitary Food Transportation Act</w:t>
      </w:r>
      <w:r w:rsidR="0097219C">
        <w:rPr>
          <w:lang w:val="fr-FR"/>
        </w:rPr>
        <w:t> </w:t>
      </w:r>
      <w:r w:rsidRPr="004B2AF9">
        <w:rPr>
          <w:lang w:val="fr-FR"/>
        </w:rPr>
        <w:t>»</w:t>
      </w:r>
      <w:r>
        <w:rPr>
          <w:lang w:val="fr-FR"/>
        </w:rPr>
        <w:t xml:space="preserve"> (</w:t>
      </w:r>
      <w:r w:rsidR="0076778D">
        <w:rPr>
          <w:lang w:val="fr-FR"/>
        </w:rPr>
        <w:t>l</w:t>
      </w:r>
      <w:r>
        <w:rPr>
          <w:lang w:val="fr-FR"/>
        </w:rPr>
        <w:t>oi sur l</w:t>
      </w:r>
      <w:r w:rsidR="0006343E">
        <w:rPr>
          <w:lang w:val="fr-FR"/>
        </w:rPr>
        <w:t>’</w:t>
      </w:r>
      <w:r>
        <w:rPr>
          <w:lang w:val="fr-FR"/>
        </w:rPr>
        <w:t>hygiène du transport de denrées alimentaires)</w:t>
      </w:r>
      <w:r w:rsidRPr="004B2AF9">
        <w:rPr>
          <w:rFonts w:eastAsia="Arial Unicode MS"/>
          <w:lang w:val="fr-FR"/>
        </w:rPr>
        <w:t>.</w:t>
      </w:r>
    </w:p>
    <w:p w:rsidR="00D651C4" w:rsidRPr="004B2AF9" w:rsidRDefault="00D651C4" w:rsidP="00D651C4">
      <w:pPr>
        <w:pStyle w:val="HChG"/>
        <w:rPr>
          <w:lang w:val="fr-FR"/>
        </w:rPr>
      </w:pPr>
      <w:r w:rsidRPr="004B2AF9">
        <w:rPr>
          <w:lang w:val="fr-FR"/>
        </w:rPr>
        <w:tab/>
      </w:r>
      <w:bookmarkStart w:id="126" w:name="_Toc401568279"/>
      <w:bookmarkStart w:id="127" w:name="_Toc401568684"/>
      <w:bookmarkStart w:id="128" w:name="_Toc432670210"/>
      <w:r w:rsidRPr="004B2AF9">
        <w:rPr>
          <w:lang w:val="fr-FR"/>
        </w:rPr>
        <w:t>XIII.</w:t>
      </w:r>
      <w:r w:rsidRPr="004B2AF9">
        <w:rPr>
          <w:lang w:val="fr-FR"/>
        </w:rPr>
        <w:tab/>
        <w:t>Adoption du rapport (point 12 de l</w:t>
      </w:r>
      <w:r w:rsidR="0006343E">
        <w:rPr>
          <w:lang w:val="fr-FR"/>
        </w:rPr>
        <w:t>’</w:t>
      </w:r>
      <w:r w:rsidRPr="004B2AF9">
        <w:rPr>
          <w:lang w:val="fr-FR"/>
        </w:rPr>
        <w:t>ordre du jour)</w:t>
      </w:r>
      <w:bookmarkEnd w:id="126"/>
      <w:bookmarkEnd w:id="127"/>
      <w:bookmarkEnd w:id="128"/>
    </w:p>
    <w:p w:rsidR="00D651C4" w:rsidRPr="004B2AF9" w:rsidRDefault="00D651C4" w:rsidP="0097219C">
      <w:pPr>
        <w:pStyle w:val="SingleTxtG"/>
        <w:numPr>
          <w:ilvl w:val="0"/>
          <w:numId w:val="25"/>
        </w:numPr>
        <w:ind w:left="1134" w:firstLine="0"/>
        <w:rPr>
          <w:bCs/>
          <w:lang w:val="fr-FR"/>
        </w:rPr>
      </w:pPr>
      <w:r w:rsidRPr="004B2AF9">
        <w:rPr>
          <w:lang w:val="fr-FR"/>
        </w:rPr>
        <w:t>Le Groupe de travail a adopté le rapport sur sa soixante et onzième session sur la base d</w:t>
      </w:r>
      <w:r w:rsidR="0006343E">
        <w:rPr>
          <w:lang w:val="fr-FR"/>
        </w:rPr>
        <w:t>’</w:t>
      </w:r>
      <w:r w:rsidRPr="004B2AF9">
        <w:rPr>
          <w:lang w:val="fr-FR"/>
        </w:rPr>
        <w:t>un projet établi par le secrétariat.</w:t>
      </w:r>
    </w:p>
    <w:p w:rsidR="00D651C4" w:rsidRPr="004B2AF9" w:rsidRDefault="00D651C4" w:rsidP="0076778D">
      <w:pPr>
        <w:pStyle w:val="HChG"/>
        <w:rPr>
          <w:lang w:val="fr-FR"/>
        </w:rPr>
      </w:pPr>
      <w:r w:rsidRPr="004B2AF9">
        <w:rPr>
          <w:lang w:val="fr-FR"/>
        </w:rPr>
        <w:br w:type="page"/>
      </w:r>
      <w:r w:rsidRPr="004B2AF9">
        <w:rPr>
          <w:lang w:val="fr-FR"/>
        </w:rPr>
        <w:tab/>
      </w:r>
      <w:bookmarkStart w:id="129" w:name="_Toc432670211"/>
      <w:r w:rsidRPr="004B2AF9">
        <w:rPr>
          <w:lang w:val="fr-FR"/>
        </w:rPr>
        <w:t>Annexe I</w:t>
      </w:r>
      <w:bookmarkEnd w:id="129"/>
    </w:p>
    <w:p w:rsidR="00D651C4" w:rsidRPr="0076778D" w:rsidRDefault="00D651C4" w:rsidP="0076778D">
      <w:pPr>
        <w:pStyle w:val="HChG"/>
      </w:pPr>
      <w:r w:rsidRPr="004B2AF9">
        <w:rPr>
          <w:lang w:val="fr-FR"/>
        </w:rPr>
        <w:tab/>
      </w:r>
      <w:r w:rsidRPr="004B2AF9">
        <w:rPr>
          <w:lang w:val="fr-FR"/>
        </w:rPr>
        <w:tab/>
        <w:t>Propositions d</w:t>
      </w:r>
      <w:r w:rsidR="0006343E">
        <w:rPr>
          <w:lang w:val="fr-FR"/>
        </w:rPr>
        <w:t>’</w:t>
      </w:r>
      <w:r w:rsidRPr="004B2AF9">
        <w:rPr>
          <w:lang w:val="fr-FR"/>
        </w:rPr>
        <w:t>amendement à l</w:t>
      </w:r>
      <w:r w:rsidR="0006343E">
        <w:rPr>
          <w:lang w:val="fr-FR"/>
        </w:rPr>
        <w:t>’</w:t>
      </w:r>
      <w:r w:rsidRPr="004B2AF9">
        <w:rPr>
          <w:lang w:val="fr-FR"/>
        </w:rPr>
        <w:t>ATP</w:t>
      </w:r>
    </w:p>
    <w:p w:rsidR="00D651C4" w:rsidRPr="004B2AF9" w:rsidRDefault="00D651C4" w:rsidP="00D651C4">
      <w:pPr>
        <w:pStyle w:val="SingleTxtG"/>
        <w:rPr>
          <w:lang w:val="fr-FR"/>
        </w:rPr>
      </w:pPr>
      <w:r w:rsidRPr="004B2AF9">
        <w:rPr>
          <w:spacing w:val="4"/>
          <w:w w:val="103"/>
          <w:kern w:val="14"/>
          <w:lang w:val="fr-FR" w:eastAsia="zh-CN"/>
        </w:rPr>
        <w:t>1.</w:t>
      </w:r>
      <w:r w:rsidRPr="004B2AF9">
        <w:rPr>
          <w:spacing w:val="4"/>
          <w:w w:val="103"/>
          <w:kern w:val="14"/>
          <w:lang w:val="fr-FR" w:eastAsia="zh-CN"/>
        </w:rPr>
        <w:tab/>
      </w:r>
      <w:r w:rsidRPr="004B2AF9">
        <w:rPr>
          <w:i/>
          <w:lang w:val="fr-FR"/>
        </w:rPr>
        <w:t>Annexe 1, appendice 2, paragraphe 1.2</w:t>
      </w:r>
    </w:p>
    <w:p w:rsidR="00D651C4" w:rsidRPr="004B2AF9" w:rsidRDefault="00D651C4" w:rsidP="000C5CF2">
      <w:pPr>
        <w:spacing w:after="120"/>
        <w:ind w:left="1134" w:right="1134" w:firstLine="567"/>
        <w:jc w:val="both"/>
        <w:rPr>
          <w:lang w:val="fr-FR"/>
        </w:rPr>
      </w:pPr>
      <w:r w:rsidRPr="004B2AF9">
        <w:rPr>
          <w:lang w:val="fr-FR"/>
        </w:rPr>
        <w:t>Ajouter le texte suivant à la fin</w:t>
      </w:r>
      <w:r w:rsidR="006D05C6">
        <w:rPr>
          <w:lang w:val="fr-FR"/>
        </w:rPr>
        <w:t> </w:t>
      </w:r>
      <w:r w:rsidRPr="004B2AF9">
        <w:rPr>
          <w:lang w:val="fr-FR"/>
        </w:rPr>
        <w:t>:</w:t>
      </w:r>
    </w:p>
    <w:p w:rsidR="00D651C4" w:rsidRPr="004B2AF9" w:rsidRDefault="00D651C4" w:rsidP="00D651C4">
      <w:pPr>
        <w:spacing w:after="120"/>
        <w:ind w:left="1134" w:right="1134"/>
        <w:jc w:val="both"/>
        <w:rPr>
          <w:lang w:val="fr-FR"/>
        </w:rPr>
      </w:pPr>
      <w:r w:rsidRPr="004B2AF9">
        <w:rPr>
          <w:lang w:val="fr-FR"/>
        </w:rPr>
        <w:t>«</w:t>
      </w:r>
      <w:r w:rsidR="006D05C6">
        <w:rPr>
          <w:lang w:val="fr-FR"/>
        </w:rPr>
        <w:t> </w:t>
      </w:r>
      <w:r w:rsidRPr="004B2AF9">
        <w:rPr>
          <w:lang w:val="fr-FR"/>
        </w:rPr>
        <w:t>Pour calculer la surface moyenne de la caisse d</w:t>
      </w:r>
      <w:r w:rsidR="0006343E">
        <w:rPr>
          <w:lang w:val="fr-FR"/>
        </w:rPr>
        <w:t>’</w:t>
      </w:r>
      <w:r w:rsidRPr="004B2AF9">
        <w:rPr>
          <w:lang w:val="fr-FR"/>
        </w:rPr>
        <w:t>un fourgon, les stations d</w:t>
      </w:r>
      <w:r w:rsidR="0006343E">
        <w:rPr>
          <w:lang w:val="fr-FR"/>
        </w:rPr>
        <w:t>’</w:t>
      </w:r>
      <w:r w:rsidRPr="004B2AF9">
        <w:rPr>
          <w:lang w:val="fr-FR"/>
        </w:rPr>
        <w:t>essai désigné</w:t>
      </w:r>
      <w:r>
        <w:rPr>
          <w:lang w:val="fr-FR"/>
        </w:rPr>
        <w:t>e</w:t>
      </w:r>
      <w:r w:rsidRPr="004B2AF9">
        <w:rPr>
          <w:lang w:val="fr-FR"/>
        </w:rPr>
        <w:t>s par les autorités compétentes doivent choisir une des trois méthodes suivantes.</w:t>
      </w:r>
    </w:p>
    <w:p w:rsidR="00D651C4" w:rsidRPr="004B2AF9" w:rsidRDefault="00D651C4" w:rsidP="00D651C4">
      <w:pPr>
        <w:spacing w:after="120"/>
        <w:ind w:left="1134" w:right="1134"/>
        <w:jc w:val="both"/>
        <w:rPr>
          <w:lang w:val="fr-FR"/>
        </w:rPr>
      </w:pPr>
      <w:r w:rsidRPr="004B2AF9">
        <w:rPr>
          <w:lang w:val="fr-FR"/>
        </w:rPr>
        <w:t>Méthode A.</w:t>
      </w:r>
      <w:r w:rsidRPr="004B2AF9">
        <w:rPr>
          <w:lang w:val="fr-FR"/>
        </w:rPr>
        <w:tab/>
        <w:t>Le fabricant doit fournir les croquis et calculer les surfaces intérieures et extérieures.</w:t>
      </w:r>
    </w:p>
    <w:p w:rsidR="00D651C4" w:rsidRPr="004B2AF9" w:rsidRDefault="00D651C4" w:rsidP="00D651C4">
      <w:pPr>
        <w:spacing w:after="120"/>
        <w:ind w:left="1134" w:right="1134"/>
        <w:jc w:val="both"/>
        <w:rPr>
          <w:lang w:val="fr-FR"/>
        </w:rPr>
      </w:pPr>
      <w:r w:rsidRPr="004B2AF9">
        <w:rPr>
          <w:lang w:val="fr-FR"/>
        </w:rPr>
        <w:t>On détermine les surfaces S</w:t>
      </w:r>
      <w:r w:rsidRPr="004B2AF9">
        <w:rPr>
          <w:vertAlign w:val="subscript"/>
          <w:lang w:val="fr-FR"/>
        </w:rPr>
        <w:t>e</w:t>
      </w:r>
      <w:r w:rsidRPr="004B2AF9">
        <w:rPr>
          <w:lang w:val="fr-FR"/>
        </w:rPr>
        <w:t xml:space="preserve"> et S</w:t>
      </w:r>
      <w:r w:rsidRPr="004B2AF9">
        <w:rPr>
          <w:vertAlign w:val="subscript"/>
          <w:lang w:val="fr-FR"/>
        </w:rPr>
        <w:t>i</w:t>
      </w:r>
      <w:r w:rsidRPr="004B2AF9">
        <w:rPr>
          <w:lang w:val="fr-FR"/>
        </w:rPr>
        <w:t xml:space="preserve"> en tenant compte des surfaces projetées des caractéristiques de conception spécifiques telles que courbes, ondulations, décrochements </w:t>
      </w:r>
      <w:r w:rsidR="00C40BAC">
        <w:rPr>
          <w:lang w:val="fr-FR"/>
        </w:rPr>
        <w:t>pour le passage des roues, etc.</w:t>
      </w:r>
    </w:p>
    <w:p w:rsidR="00D651C4" w:rsidRPr="004B2AF9" w:rsidRDefault="00D651C4" w:rsidP="00D651C4">
      <w:pPr>
        <w:spacing w:after="120"/>
        <w:ind w:left="1134" w:right="1134"/>
        <w:jc w:val="both"/>
        <w:rPr>
          <w:lang w:val="fr-FR"/>
        </w:rPr>
      </w:pPr>
      <w:r w:rsidRPr="004B2AF9">
        <w:rPr>
          <w:lang w:val="fr-FR"/>
        </w:rPr>
        <w:t>Méthode B.</w:t>
      </w:r>
      <w:r w:rsidRPr="004B2AF9">
        <w:rPr>
          <w:lang w:val="fr-FR"/>
        </w:rPr>
        <w:tab/>
        <w:t>Le fabricant doit fournir les croquis et la station d</w:t>
      </w:r>
      <w:r w:rsidR="0006343E">
        <w:rPr>
          <w:lang w:val="fr-FR"/>
        </w:rPr>
        <w:t>’</w:t>
      </w:r>
      <w:r w:rsidRPr="004B2AF9">
        <w:rPr>
          <w:lang w:val="fr-FR"/>
        </w:rPr>
        <w:t>essai désignée par l</w:t>
      </w:r>
      <w:r w:rsidR="0006343E">
        <w:rPr>
          <w:lang w:val="fr-FR"/>
        </w:rPr>
        <w:t>’</w:t>
      </w:r>
      <w:r w:rsidRPr="004B2AF9">
        <w:rPr>
          <w:lang w:val="fr-FR"/>
        </w:rPr>
        <w:t xml:space="preserve">autorité compétente doit effectuer les calculs en se conformant aux </w:t>
      </w:r>
      <w:r>
        <w:rPr>
          <w:lang w:val="fr-FR"/>
        </w:rPr>
        <w:t>figures</w:t>
      </w:r>
      <w:r w:rsidR="006D05C6">
        <w:rPr>
          <w:rStyle w:val="FootnoteReference"/>
        </w:rPr>
        <w:footnoteReference w:id="2"/>
      </w:r>
      <w:r w:rsidRPr="004B2AF9">
        <w:rPr>
          <w:lang w:val="fr-FR"/>
        </w:rPr>
        <w:t xml:space="preserve"> et formules suivant</w:t>
      </w:r>
      <w:r>
        <w:rPr>
          <w:lang w:val="fr-FR"/>
        </w:rPr>
        <w:t>e</w:t>
      </w:r>
      <w:r w:rsidRPr="004B2AF9">
        <w:rPr>
          <w:lang w:val="fr-FR"/>
        </w:rPr>
        <w:t>s.</w:t>
      </w:r>
    </w:p>
    <w:p w:rsidR="00D651C4" w:rsidRPr="004B2AF9" w:rsidRDefault="00D651C4" w:rsidP="00D651C4">
      <w:pPr>
        <w:spacing w:after="120"/>
        <w:ind w:left="1134" w:right="1134"/>
        <w:jc w:val="center"/>
        <w:rPr>
          <w:bCs/>
          <w:lang w:val="fr-FR"/>
        </w:rPr>
      </w:pPr>
      <w:r w:rsidRPr="004B2AF9">
        <w:rPr>
          <w:bCs/>
          <w:lang w:val="fr-FR"/>
        </w:rPr>
        <w:t>S</w:t>
      </w:r>
      <w:r w:rsidRPr="004B2AF9">
        <w:rPr>
          <w:bCs/>
          <w:vertAlign w:val="subscript"/>
          <w:lang w:val="fr-FR"/>
        </w:rPr>
        <w:t>i</w:t>
      </w:r>
      <w:r w:rsidRPr="004B2AF9">
        <w:rPr>
          <w:bCs/>
          <w:lang w:val="fr-FR"/>
        </w:rPr>
        <w:t xml:space="preserve"> = (((WI × LI) + (WI × LI) + (W</w:t>
      </w:r>
      <w:r w:rsidRPr="004B2AF9">
        <w:rPr>
          <w:bCs/>
          <w:vertAlign w:val="subscript"/>
          <w:lang w:val="fr-FR"/>
        </w:rPr>
        <w:t>i</w:t>
      </w:r>
      <w:r w:rsidRPr="004B2AF9">
        <w:rPr>
          <w:bCs/>
          <w:lang w:val="fr-FR"/>
        </w:rPr>
        <w:t xml:space="preserve"> × W</w:t>
      </w:r>
      <w:r w:rsidRPr="004B2AF9">
        <w:rPr>
          <w:bCs/>
          <w:vertAlign w:val="subscript"/>
          <w:lang w:val="fr-FR"/>
        </w:rPr>
        <w:t>i</w:t>
      </w:r>
      <w:r w:rsidRPr="004B2AF9">
        <w:rPr>
          <w:bCs/>
          <w:lang w:val="fr-FR"/>
        </w:rPr>
        <w:t>)) × 2)</w:t>
      </w:r>
    </w:p>
    <w:p w:rsidR="00D651C4" w:rsidRPr="004B2AF9" w:rsidRDefault="00D651C4" w:rsidP="00D651C4">
      <w:pPr>
        <w:spacing w:after="120"/>
        <w:ind w:left="1134" w:right="1134"/>
        <w:jc w:val="center"/>
        <w:rPr>
          <w:bCs/>
          <w:lang w:val="fr-FR"/>
        </w:rPr>
      </w:pPr>
      <w:r w:rsidRPr="004B2AF9">
        <w:rPr>
          <w:bCs/>
          <w:lang w:val="fr-FR"/>
        </w:rPr>
        <w:t>S</w:t>
      </w:r>
      <w:r w:rsidRPr="004B2AF9">
        <w:rPr>
          <w:bCs/>
          <w:vertAlign w:val="subscript"/>
          <w:lang w:val="fr-FR"/>
        </w:rPr>
        <w:t>e</w:t>
      </w:r>
      <w:r w:rsidRPr="004B2AF9">
        <w:rPr>
          <w:bCs/>
          <w:lang w:val="fr-FR"/>
        </w:rPr>
        <w:t xml:space="preserve"> = (((WE × LE) + (WE × LE) + (W</w:t>
      </w:r>
      <w:r w:rsidRPr="004B2AF9">
        <w:rPr>
          <w:bCs/>
          <w:vertAlign w:val="subscript"/>
          <w:lang w:val="fr-FR"/>
        </w:rPr>
        <w:t>e</w:t>
      </w:r>
      <w:r w:rsidRPr="004B2AF9">
        <w:rPr>
          <w:bCs/>
          <w:lang w:val="fr-FR"/>
        </w:rPr>
        <w:t xml:space="preserve"> × W</w:t>
      </w:r>
      <w:r w:rsidRPr="004B2AF9">
        <w:rPr>
          <w:bCs/>
          <w:vertAlign w:val="subscript"/>
          <w:lang w:val="fr-FR"/>
        </w:rPr>
        <w:t>e</w:t>
      </w:r>
      <w:r w:rsidRPr="004B2AF9">
        <w:rPr>
          <w:bCs/>
          <w:lang w:val="fr-FR"/>
        </w:rPr>
        <w:t>)) × 2)</w:t>
      </w:r>
    </w:p>
    <w:p w:rsidR="00D651C4" w:rsidRPr="004B2AF9" w:rsidRDefault="00D651C4" w:rsidP="00D651C4">
      <w:pPr>
        <w:spacing w:after="120"/>
        <w:ind w:left="1134" w:right="1134"/>
        <w:jc w:val="both"/>
        <w:rPr>
          <w:lang w:val="fr-FR"/>
        </w:rPr>
      </w:pPr>
      <w:r w:rsidRPr="004B2AF9">
        <w:rPr>
          <w:lang w:val="fr-FR"/>
        </w:rPr>
        <w:t>Où</w:t>
      </w:r>
      <w:r w:rsidR="00364EE5">
        <w:rPr>
          <w:lang w:val="fr-FR"/>
        </w:rPr>
        <w:t> </w:t>
      </w:r>
      <w:r w:rsidRPr="004B2AF9">
        <w:rPr>
          <w:lang w:val="fr-FR"/>
        </w:rPr>
        <w:t>:</w:t>
      </w:r>
    </w:p>
    <w:p w:rsidR="00D651C4" w:rsidRPr="004B2AF9" w:rsidRDefault="00D651C4" w:rsidP="00D651C4">
      <w:pPr>
        <w:spacing w:after="120"/>
        <w:ind w:left="1134" w:right="1134"/>
        <w:jc w:val="both"/>
        <w:rPr>
          <w:lang w:val="fr-FR"/>
        </w:rPr>
      </w:pPr>
      <w:r w:rsidRPr="004B2AF9">
        <w:rPr>
          <w:lang w:val="fr-FR"/>
        </w:rPr>
        <w:t>WI est l</w:t>
      </w:r>
      <w:r w:rsidR="0006343E">
        <w:rPr>
          <w:lang w:val="fr-FR"/>
        </w:rPr>
        <w:t>’</w:t>
      </w:r>
      <w:r w:rsidRPr="004B2AF9">
        <w:rPr>
          <w:lang w:val="fr-FR"/>
        </w:rPr>
        <w:t>axe des Y de la surface intérieure</w:t>
      </w:r>
    </w:p>
    <w:p w:rsidR="00D651C4" w:rsidRPr="004B2AF9" w:rsidRDefault="00D651C4" w:rsidP="00D651C4">
      <w:pPr>
        <w:spacing w:after="120"/>
        <w:ind w:left="1134" w:right="1134"/>
        <w:jc w:val="both"/>
        <w:rPr>
          <w:lang w:val="fr-FR"/>
        </w:rPr>
      </w:pPr>
      <w:r w:rsidRPr="004B2AF9">
        <w:rPr>
          <w:lang w:val="fr-FR"/>
        </w:rPr>
        <w:t>LI est l</w:t>
      </w:r>
      <w:r w:rsidR="0006343E">
        <w:rPr>
          <w:lang w:val="fr-FR"/>
        </w:rPr>
        <w:t>’</w:t>
      </w:r>
      <w:r w:rsidRPr="004B2AF9">
        <w:rPr>
          <w:lang w:val="fr-FR"/>
        </w:rPr>
        <w:t>axe des X de la surface intérieure</w:t>
      </w:r>
    </w:p>
    <w:p w:rsidR="00D651C4" w:rsidRPr="004B2AF9" w:rsidRDefault="00D651C4" w:rsidP="00D651C4">
      <w:pPr>
        <w:spacing w:after="120"/>
        <w:ind w:left="1134" w:right="1134"/>
        <w:jc w:val="both"/>
        <w:rPr>
          <w:lang w:val="fr-FR"/>
        </w:rPr>
      </w:pPr>
      <w:r w:rsidRPr="004B2AF9">
        <w:rPr>
          <w:lang w:val="fr-FR"/>
        </w:rPr>
        <w:t>W</w:t>
      </w:r>
      <w:r w:rsidRPr="004B2AF9">
        <w:rPr>
          <w:vertAlign w:val="subscript"/>
          <w:lang w:val="fr-FR"/>
        </w:rPr>
        <w:t>i</w:t>
      </w:r>
      <w:r w:rsidRPr="004B2AF9">
        <w:rPr>
          <w:lang w:val="fr-FR"/>
        </w:rPr>
        <w:t xml:space="preserve"> est l</w:t>
      </w:r>
      <w:r w:rsidR="0006343E">
        <w:rPr>
          <w:lang w:val="fr-FR"/>
        </w:rPr>
        <w:t>’</w:t>
      </w:r>
      <w:r w:rsidRPr="004B2AF9">
        <w:rPr>
          <w:lang w:val="fr-FR"/>
        </w:rPr>
        <w:t>axe des Z de la surface intérieure</w:t>
      </w:r>
    </w:p>
    <w:p w:rsidR="00D651C4" w:rsidRPr="004B2AF9" w:rsidRDefault="00D651C4" w:rsidP="00D651C4">
      <w:pPr>
        <w:spacing w:after="120"/>
        <w:ind w:left="1134" w:right="1134"/>
        <w:jc w:val="both"/>
        <w:rPr>
          <w:lang w:val="fr-FR"/>
        </w:rPr>
      </w:pPr>
      <w:r w:rsidRPr="004B2AF9">
        <w:rPr>
          <w:lang w:val="fr-FR"/>
        </w:rPr>
        <w:t>WE est l</w:t>
      </w:r>
      <w:r w:rsidR="0006343E">
        <w:rPr>
          <w:lang w:val="fr-FR"/>
        </w:rPr>
        <w:t>’</w:t>
      </w:r>
      <w:r w:rsidRPr="004B2AF9">
        <w:rPr>
          <w:lang w:val="fr-FR"/>
        </w:rPr>
        <w:t>axe des Y de la surface extérieure</w:t>
      </w:r>
    </w:p>
    <w:p w:rsidR="00D651C4" w:rsidRPr="004B2AF9" w:rsidRDefault="00D651C4" w:rsidP="00D651C4">
      <w:pPr>
        <w:spacing w:after="120"/>
        <w:ind w:left="1134" w:right="1134"/>
        <w:jc w:val="both"/>
        <w:rPr>
          <w:lang w:val="fr-FR"/>
        </w:rPr>
      </w:pPr>
      <w:r w:rsidRPr="004B2AF9">
        <w:rPr>
          <w:lang w:val="fr-FR"/>
        </w:rPr>
        <w:t>LE est l</w:t>
      </w:r>
      <w:r w:rsidR="0006343E">
        <w:rPr>
          <w:lang w:val="fr-FR"/>
        </w:rPr>
        <w:t>’</w:t>
      </w:r>
      <w:r w:rsidRPr="004B2AF9">
        <w:rPr>
          <w:lang w:val="fr-FR"/>
        </w:rPr>
        <w:t>axe des X de la surface extérieure</w:t>
      </w:r>
    </w:p>
    <w:p w:rsidR="00D651C4" w:rsidRPr="004B2AF9" w:rsidRDefault="00D651C4" w:rsidP="00D651C4">
      <w:pPr>
        <w:spacing w:after="120"/>
        <w:ind w:left="1134" w:right="1134"/>
        <w:jc w:val="both"/>
        <w:rPr>
          <w:lang w:val="fr-FR"/>
        </w:rPr>
      </w:pPr>
      <w:r w:rsidRPr="004B2AF9">
        <w:rPr>
          <w:lang w:val="fr-FR"/>
        </w:rPr>
        <w:t>W</w:t>
      </w:r>
      <w:r w:rsidRPr="004B2AF9">
        <w:rPr>
          <w:vertAlign w:val="subscript"/>
          <w:lang w:val="fr-FR"/>
        </w:rPr>
        <w:t>e</w:t>
      </w:r>
      <w:r w:rsidRPr="004B2AF9">
        <w:rPr>
          <w:lang w:val="fr-FR"/>
        </w:rPr>
        <w:t xml:space="preserve"> est l</w:t>
      </w:r>
      <w:r w:rsidR="0006343E">
        <w:rPr>
          <w:lang w:val="fr-FR"/>
        </w:rPr>
        <w:t>’</w:t>
      </w:r>
      <w:r w:rsidRPr="004B2AF9">
        <w:rPr>
          <w:lang w:val="fr-FR"/>
        </w:rPr>
        <w:t>axe des Z de la surface extérieure</w:t>
      </w:r>
    </w:p>
    <w:p w:rsidR="00D651C4" w:rsidRPr="004B2AF9" w:rsidRDefault="00D651C4" w:rsidP="00D651C4">
      <w:pPr>
        <w:spacing w:after="120"/>
        <w:ind w:left="1134" w:right="1134"/>
        <w:jc w:val="both"/>
        <w:rPr>
          <w:lang w:val="fr-FR"/>
        </w:rPr>
      </w:pPr>
      <w:r w:rsidRPr="004B2AF9">
        <w:rPr>
          <w:lang w:val="fr-FR"/>
        </w:rPr>
        <w:t>En utilisant la formule la plus appropriée pour calculer l</w:t>
      </w:r>
      <w:r w:rsidR="0006343E">
        <w:rPr>
          <w:lang w:val="fr-FR"/>
        </w:rPr>
        <w:t>’</w:t>
      </w:r>
      <w:r w:rsidRPr="004B2AF9">
        <w:rPr>
          <w:lang w:val="fr-FR"/>
        </w:rPr>
        <w:t>axe des Y de la surface intérieure</w:t>
      </w:r>
    </w:p>
    <w:p w:rsidR="00D651C4" w:rsidRPr="004B2AF9" w:rsidRDefault="00D651C4" w:rsidP="00D651C4">
      <w:pPr>
        <w:spacing w:after="120"/>
        <w:ind w:left="1134" w:right="1134"/>
        <w:jc w:val="center"/>
        <w:rPr>
          <w:lang w:val="fr-FR"/>
        </w:rPr>
      </w:pPr>
      <w:r w:rsidRPr="004B2AF9">
        <w:rPr>
          <w:lang w:val="fr-FR"/>
        </w:rPr>
        <w:t>WI = (WIa × a + WIb × (b + c/2) + WIc × c/2) / (a + b + c)</w:t>
      </w:r>
    </w:p>
    <w:p w:rsidR="00D651C4" w:rsidRPr="004B2AF9" w:rsidRDefault="00D651C4" w:rsidP="00D651C4">
      <w:pPr>
        <w:spacing w:after="120"/>
        <w:ind w:left="1134" w:right="1134"/>
        <w:jc w:val="center"/>
        <w:rPr>
          <w:lang w:val="fr-FR"/>
        </w:rPr>
      </w:pPr>
      <w:r w:rsidRPr="004B2AF9">
        <w:rPr>
          <w:lang w:val="fr-FR"/>
        </w:rPr>
        <w:t>WI = (WIa × a/2 + WIb (a/2 + b/2) + WIc (b/2) / (a + b)</w:t>
      </w:r>
    </w:p>
    <w:p w:rsidR="00D651C4" w:rsidRPr="004B2AF9" w:rsidRDefault="00D651C4" w:rsidP="00D651C4">
      <w:pPr>
        <w:spacing w:after="120"/>
        <w:ind w:left="1134" w:right="1134"/>
        <w:jc w:val="center"/>
        <w:rPr>
          <w:lang w:val="fr-FR"/>
        </w:rPr>
      </w:pPr>
      <w:r w:rsidRPr="004B2AF9">
        <w:rPr>
          <w:lang w:val="fr-FR"/>
        </w:rPr>
        <w:t>WI = ((WIb × b)</w:t>
      </w:r>
      <w:r w:rsidR="002A28D1">
        <w:rPr>
          <w:lang w:val="fr-FR"/>
        </w:rPr>
        <w:t xml:space="preserve"> </w:t>
      </w:r>
      <w:r w:rsidRPr="004B2AF9">
        <w:rPr>
          <w:lang w:val="fr-FR"/>
        </w:rPr>
        <w:t>+</w:t>
      </w:r>
      <w:r w:rsidR="002A28D1">
        <w:rPr>
          <w:lang w:val="fr-FR"/>
        </w:rPr>
        <w:t xml:space="preserve"> </w:t>
      </w:r>
      <w:r w:rsidRPr="004B2AF9">
        <w:rPr>
          <w:lang w:val="fr-FR"/>
        </w:rPr>
        <w:t xml:space="preserve">(WIb × c) – ((WIb – WIc) × c) + </w:t>
      </w:r>
      <w:r w:rsidRPr="004B2AF9">
        <w:rPr>
          <w:lang w:val="fr-FR"/>
        </w:rPr>
        <w:br/>
        <w:t>(2 × ((WIb – WIa) × a ))) / (a + b + c)</w:t>
      </w:r>
    </w:p>
    <w:p w:rsidR="00D651C4" w:rsidRPr="004B2AF9" w:rsidRDefault="00D651C4" w:rsidP="00D651C4">
      <w:pPr>
        <w:spacing w:after="120"/>
        <w:ind w:left="1134" w:right="1134"/>
        <w:jc w:val="both"/>
        <w:rPr>
          <w:lang w:val="fr-FR"/>
        </w:rPr>
      </w:pPr>
      <w:r w:rsidRPr="004B2AF9">
        <w:rPr>
          <w:lang w:val="fr-FR"/>
        </w:rPr>
        <w:t>Où</w:t>
      </w:r>
      <w:r w:rsidR="006D05C6">
        <w:rPr>
          <w:lang w:val="fr-FR"/>
        </w:rPr>
        <w:t> </w:t>
      </w:r>
      <w:r w:rsidRPr="004B2AF9">
        <w:rPr>
          <w:lang w:val="fr-FR"/>
        </w:rPr>
        <w:t>:</w:t>
      </w:r>
    </w:p>
    <w:p w:rsidR="00D651C4" w:rsidRPr="004B2AF9" w:rsidRDefault="00D651C4" w:rsidP="00D651C4">
      <w:pPr>
        <w:spacing w:after="120"/>
        <w:ind w:left="1134" w:right="1134"/>
        <w:jc w:val="both"/>
        <w:rPr>
          <w:lang w:val="fr-FR"/>
        </w:rPr>
      </w:pPr>
      <w:r w:rsidRPr="004B2AF9">
        <w:rPr>
          <w:lang w:val="fr-FR"/>
        </w:rPr>
        <w:t>WIa est la largeur intérieure telle que mesurée au plancher ou entre les décrochements pour le passage des roues</w:t>
      </w:r>
    </w:p>
    <w:p w:rsidR="00D651C4" w:rsidRPr="004B2AF9" w:rsidRDefault="00D651C4" w:rsidP="00D651C4">
      <w:pPr>
        <w:spacing w:after="120"/>
        <w:ind w:left="1134" w:right="1134"/>
        <w:jc w:val="both"/>
        <w:rPr>
          <w:lang w:val="fr-FR"/>
        </w:rPr>
      </w:pPr>
      <w:r w:rsidRPr="004B2AF9">
        <w:rPr>
          <w:lang w:val="fr-FR"/>
        </w:rPr>
        <w:t xml:space="preserve">WIb est la largeur intérieure telle que mesurée à la hauteur de </w:t>
      </w:r>
      <w:r>
        <w:rPr>
          <w:lang w:val="fr-FR"/>
        </w:rPr>
        <w:t>l</w:t>
      </w:r>
      <w:r w:rsidR="0006343E">
        <w:rPr>
          <w:lang w:val="fr-FR"/>
        </w:rPr>
        <w:t>’</w:t>
      </w:r>
      <w:r>
        <w:rPr>
          <w:lang w:val="fr-FR"/>
        </w:rPr>
        <w:t xml:space="preserve">arête </w:t>
      </w:r>
      <w:r w:rsidRPr="004B2AF9">
        <w:rPr>
          <w:lang w:val="fr-FR"/>
        </w:rPr>
        <w:t xml:space="preserve">verticale </w:t>
      </w:r>
      <w:r>
        <w:rPr>
          <w:lang w:val="fr-FR"/>
        </w:rPr>
        <w:t xml:space="preserve">depuis le </w:t>
      </w:r>
      <w:r w:rsidRPr="004B2AF9">
        <w:rPr>
          <w:lang w:val="fr-FR"/>
        </w:rPr>
        <w:t>plancher ou au-dessus des décrochements pour le passage des roues</w:t>
      </w:r>
    </w:p>
    <w:p w:rsidR="00D651C4" w:rsidRPr="004B2AF9" w:rsidRDefault="00D651C4" w:rsidP="00D651C4">
      <w:pPr>
        <w:spacing w:after="120"/>
        <w:ind w:left="1134" w:right="1134"/>
        <w:jc w:val="both"/>
        <w:rPr>
          <w:lang w:val="fr-FR"/>
        </w:rPr>
      </w:pPr>
      <w:r w:rsidRPr="004B2AF9">
        <w:rPr>
          <w:lang w:val="fr-FR"/>
        </w:rPr>
        <w:t>WIc est la largeur intérieure telle que mesurée au toit</w:t>
      </w:r>
    </w:p>
    <w:p w:rsidR="00D651C4" w:rsidRPr="004B2AF9" w:rsidRDefault="00D651C4" w:rsidP="00D651C4">
      <w:pPr>
        <w:spacing w:after="120"/>
        <w:ind w:left="1134" w:right="1134"/>
        <w:jc w:val="both"/>
        <w:rPr>
          <w:lang w:val="fr-FR"/>
        </w:rPr>
      </w:pPr>
      <w:r w:rsidRPr="004B2AF9">
        <w:rPr>
          <w:lang w:val="fr-FR"/>
        </w:rPr>
        <w:t>a est la hauteur de l</w:t>
      </w:r>
      <w:r w:rsidR="0006343E">
        <w:rPr>
          <w:lang w:val="fr-FR"/>
        </w:rPr>
        <w:t>’</w:t>
      </w:r>
      <w:r w:rsidRPr="004B2AF9">
        <w:rPr>
          <w:lang w:val="fr-FR"/>
        </w:rPr>
        <w:t>arête verticale telle que mesurée à partir du plancher</w:t>
      </w:r>
    </w:p>
    <w:p w:rsidR="00D651C4" w:rsidRPr="004B2AF9" w:rsidRDefault="00D651C4" w:rsidP="00D651C4">
      <w:pPr>
        <w:spacing w:after="120"/>
        <w:ind w:left="1134" w:right="1134"/>
        <w:jc w:val="both"/>
        <w:rPr>
          <w:lang w:val="fr-FR"/>
        </w:rPr>
      </w:pPr>
      <w:r w:rsidRPr="004B2AF9">
        <w:rPr>
          <w:lang w:val="fr-FR"/>
        </w:rPr>
        <w:t>b est la hauteur telle que mesurée soit entre le point le plus bas de l</w:t>
      </w:r>
      <w:r w:rsidR="0006343E">
        <w:rPr>
          <w:lang w:val="fr-FR"/>
        </w:rPr>
        <w:t>’</w:t>
      </w:r>
      <w:r w:rsidRPr="004B2AF9">
        <w:rPr>
          <w:lang w:val="fr-FR"/>
        </w:rPr>
        <w:t>arête verticale et le toit ou entre le sommet du décrochement pour le passage des roues et le point le plus haut de l</w:t>
      </w:r>
      <w:r w:rsidR="0006343E">
        <w:rPr>
          <w:lang w:val="fr-FR"/>
        </w:rPr>
        <w:t>’</w:t>
      </w:r>
      <w:r w:rsidRPr="004B2AF9">
        <w:rPr>
          <w:lang w:val="fr-FR"/>
        </w:rPr>
        <w:t>arête verticale à partir du plancher</w:t>
      </w:r>
    </w:p>
    <w:p w:rsidR="00D651C4" w:rsidRPr="004B2AF9" w:rsidRDefault="00D651C4" w:rsidP="00D651C4">
      <w:pPr>
        <w:spacing w:after="120"/>
        <w:ind w:left="1134" w:right="1134"/>
        <w:jc w:val="both"/>
        <w:rPr>
          <w:lang w:val="fr-FR"/>
        </w:rPr>
      </w:pPr>
      <w:r w:rsidRPr="004B2AF9">
        <w:rPr>
          <w:lang w:val="fr-FR"/>
        </w:rPr>
        <w:t>c</w:t>
      </w:r>
      <w:r w:rsidR="006D05C6">
        <w:rPr>
          <w:lang w:val="fr-FR"/>
        </w:rPr>
        <w:t xml:space="preserve"> </w:t>
      </w:r>
      <w:r w:rsidRPr="004B2AF9">
        <w:rPr>
          <w:lang w:val="fr-FR"/>
        </w:rPr>
        <w:t>est la hauteur entre le toit et le point b</w:t>
      </w:r>
    </w:p>
    <w:p w:rsidR="00D651C4" w:rsidRPr="004B2AF9" w:rsidRDefault="00D651C4" w:rsidP="00D651C4">
      <w:pPr>
        <w:spacing w:after="120"/>
        <w:ind w:left="1134" w:right="1134"/>
        <w:jc w:val="both"/>
        <w:rPr>
          <w:lang w:val="fr-FR"/>
        </w:rPr>
      </w:pPr>
      <w:bookmarkStart w:id="130" w:name="OLE_LINK1"/>
      <w:r w:rsidRPr="004B2AF9">
        <w:rPr>
          <w:lang w:val="fr-FR"/>
        </w:rPr>
        <w:t>Ainsi que les deux formules suivantes pour le calcul des axes</w:t>
      </w:r>
      <w:r w:rsidR="000C566D">
        <w:rPr>
          <w:lang w:val="fr-FR"/>
        </w:rPr>
        <w:t xml:space="preserve"> </w:t>
      </w:r>
      <w:r w:rsidRPr="004B2AF9">
        <w:rPr>
          <w:lang w:val="fr-FR"/>
        </w:rPr>
        <w:t>X et Z de la surface intérieure</w:t>
      </w:r>
      <w:r w:rsidR="000C566D">
        <w:rPr>
          <w:lang w:val="fr-FR"/>
        </w:rPr>
        <w:t> </w:t>
      </w:r>
      <w:r w:rsidRPr="004B2AF9">
        <w:rPr>
          <w:lang w:val="fr-FR"/>
        </w:rPr>
        <w:t>:</w:t>
      </w:r>
    </w:p>
    <w:p w:rsidR="00D651C4" w:rsidRPr="004B2AF9" w:rsidRDefault="00D651C4" w:rsidP="00D651C4">
      <w:pPr>
        <w:spacing w:after="120"/>
        <w:ind w:left="1134" w:right="1134"/>
        <w:jc w:val="center"/>
        <w:rPr>
          <w:lang w:val="fr-FR"/>
        </w:rPr>
      </w:pPr>
      <w:r w:rsidRPr="004B2AF9">
        <w:rPr>
          <w:lang w:val="fr-FR"/>
        </w:rPr>
        <w:t>LI = ((LIa × a) + (LIb + LIc) / 2 × b + (LIc × c)) / (a + b + c)</w:t>
      </w:r>
    </w:p>
    <w:p w:rsidR="00D651C4" w:rsidRPr="004B2AF9" w:rsidRDefault="00D651C4" w:rsidP="00D651C4">
      <w:pPr>
        <w:spacing w:after="120"/>
        <w:ind w:left="1134" w:right="1134"/>
        <w:jc w:val="both"/>
        <w:rPr>
          <w:lang w:val="fr-FR"/>
        </w:rPr>
      </w:pPr>
      <w:r w:rsidRPr="004B2AF9">
        <w:rPr>
          <w:lang w:val="fr-FR"/>
        </w:rPr>
        <w:t>Où</w:t>
      </w:r>
      <w:r w:rsidR="006D05C6">
        <w:rPr>
          <w:lang w:val="fr-FR"/>
        </w:rPr>
        <w:t> </w:t>
      </w:r>
      <w:r w:rsidRPr="004B2AF9">
        <w:rPr>
          <w:lang w:val="fr-FR"/>
        </w:rPr>
        <w:t>:</w:t>
      </w:r>
    </w:p>
    <w:p w:rsidR="00D651C4" w:rsidRPr="004B2AF9" w:rsidRDefault="00D651C4" w:rsidP="00D651C4">
      <w:pPr>
        <w:spacing w:after="120"/>
        <w:ind w:left="1134" w:right="1134"/>
        <w:jc w:val="both"/>
        <w:rPr>
          <w:lang w:val="fr-FR"/>
        </w:rPr>
      </w:pPr>
      <w:r w:rsidRPr="004B2AF9">
        <w:rPr>
          <w:lang w:val="fr-FR"/>
        </w:rPr>
        <w:t>LIa est la longueur intérieur</w:t>
      </w:r>
      <w:r w:rsidR="006D05C6">
        <w:rPr>
          <w:lang w:val="fr-FR"/>
        </w:rPr>
        <w:t>e telle que mesurée au plancher</w:t>
      </w:r>
    </w:p>
    <w:p w:rsidR="00D651C4" w:rsidRPr="004B2AF9" w:rsidRDefault="00D651C4" w:rsidP="00D651C4">
      <w:pPr>
        <w:spacing w:after="120"/>
        <w:ind w:left="1134" w:right="1134"/>
        <w:jc w:val="both"/>
        <w:rPr>
          <w:lang w:val="fr-FR"/>
        </w:rPr>
      </w:pPr>
      <w:r w:rsidRPr="004B2AF9">
        <w:rPr>
          <w:lang w:val="fr-FR"/>
        </w:rPr>
        <w:t>LIb est la longueur intérieure telle que mesurée au-dessus des décrochements pour le passage des roues</w:t>
      </w:r>
    </w:p>
    <w:p w:rsidR="00D651C4" w:rsidRPr="004B2AF9" w:rsidRDefault="00D651C4" w:rsidP="00D651C4">
      <w:pPr>
        <w:spacing w:after="120"/>
        <w:ind w:left="1134" w:right="1134"/>
        <w:jc w:val="both"/>
        <w:rPr>
          <w:lang w:val="fr-FR"/>
        </w:rPr>
      </w:pPr>
      <w:r w:rsidRPr="004B2AF9">
        <w:rPr>
          <w:lang w:val="fr-FR"/>
        </w:rPr>
        <w:t>LIc est la longueur intérieure telle que mesurée au toit</w:t>
      </w:r>
    </w:p>
    <w:p w:rsidR="00D651C4" w:rsidRPr="004B2AF9" w:rsidRDefault="00D651C4" w:rsidP="00D651C4">
      <w:pPr>
        <w:spacing w:after="120"/>
        <w:ind w:left="1134" w:right="1134"/>
        <w:jc w:val="both"/>
        <w:rPr>
          <w:lang w:val="fr-FR"/>
        </w:rPr>
      </w:pPr>
      <w:r w:rsidRPr="004B2AF9">
        <w:rPr>
          <w:lang w:val="fr-FR"/>
        </w:rPr>
        <w:t>a est la hauteur entre LIa et LIb</w:t>
      </w:r>
    </w:p>
    <w:p w:rsidR="00D651C4" w:rsidRPr="004B2AF9" w:rsidRDefault="00D651C4" w:rsidP="00D651C4">
      <w:pPr>
        <w:spacing w:after="120"/>
        <w:ind w:left="1134" w:right="1134"/>
        <w:jc w:val="both"/>
        <w:rPr>
          <w:lang w:val="fr-FR"/>
        </w:rPr>
      </w:pPr>
      <w:r w:rsidRPr="004B2AF9">
        <w:rPr>
          <w:lang w:val="fr-FR"/>
        </w:rPr>
        <w:t>b est la hauteur entre LIb et LIc</w:t>
      </w:r>
    </w:p>
    <w:p w:rsidR="00D651C4" w:rsidRPr="004B2AF9" w:rsidRDefault="00D651C4" w:rsidP="00D651C4">
      <w:pPr>
        <w:spacing w:after="120"/>
        <w:ind w:left="1134" w:right="1134"/>
        <w:jc w:val="both"/>
        <w:rPr>
          <w:lang w:val="fr-FR"/>
        </w:rPr>
      </w:pPr>
      <w:r w:rsidRPr="004B2AF9">
        <w:rPr>
          <w:lang w:val="fr-FR"/>
        </w:rPr>
        <w:t>c est la hauteur entre LIc et le toit</w:t>
      </w:r>
    </w:p>
    <w:p w:rsidR="00D651C4" w:rsidRPr="004B2AF9" w:rsidRDefault="00D651C4" w:rsidP="00D651C4">
      <w:pPr>
        <w:spacing w:after="120"/>
        <w:ind w:left="1134" w:right="1134"/>
        <w:jc w:val="center"/>
        <w:rPr>
          <w:lang w:val="fr-FR"/>
        </w:rPr>
      </w:pPr>
      <w:r w:rsidRPr="004B2AF9">
        <w:rPr>
          <w:lang w:val="fr-FR"/>
        </w:rPr>
        <w:t>Wi = (Wi arrière + Wi avant) / 2</w:t>
      </w:r>
    </w:p>
    <w:p w:rsidR="00D651C4" w:rsidRPr="004B2AF9" w:rsidRDefault="00D651C4" w:rsidP="00D651C4">
      <w:pPr>
        <w:spacing w:after="120"/>
        <w:ind w:left="1134" w:right="1134"/>
        <w:jc w:val="both"/>
        <w:rPr>
          <w:lang w:val="fr-FR"/>
        </w:rPr>
      </w:pPr>
      <w:r w:rsidRPr="004B2AF9">
        <w:rPr>
          <w:lang w:val="fr-FR"/>
        </w:rPr>
        <w:t>Où</w:t>
      </w:r>
      <w:r w:rsidR="006D05C6">
        <w:rPr>
          <w:lang w:val="fr-FR"/>
        </w:rPr>
        <w:t> </w:t>
      </w:r>
      <w:r w:rsidRPr="004B2AF9">
        <w:rPr>
          <w:lang w:val="fr-FR"/>
        </w:rPr>
        <w:t>:</w:t>
      </w:r>
    </w:p>
    <w:p w:rsidR="00D651C4" w:rsidRPr="004B2AF9" w:rsidRDefault="00D651C4" w:rsidP="00D651C4">
      <w:pPr>
        <w:spacing w:after="120"/>
        <w:ind w:left="1134" w:right="1134"/>
        <w:jc w:val="both"/>
        <w:rPr>
          <w:lang w:val="fr-FR"/>
        </w:rPr>
      </w:pPr>
      <w:r w:rsidRPr="004B2AF9">
        <w:rPr>
          <w:lang w:val="fr-FR"/>
        </w:rPr>
        <w:t>Wi arrière est la largeur telle que mesurée à la cloison</w:t>
      </w:r>
    </w:p>
    <w:p w:rsidR="00D651C4" w:rsidRPr="004B2AF9" w:rsidRDefault="00D651C4" w:rsidP="00D651C4">
      <w:pPr>
        <w:spacing w:after="120"/>
        <w:ind w:left="1134" w:right="1134"/>
        <w:jc w:val="both"/>
        <w:rPr>
          <w:lang w:val="fr-FR"/>
        </w:rPr>
      </w:pPr>
      <w:r w:rsidRPr="004B2AF9">
        <w:rPr>
          <w:lang w:val="fr-FR"/>
        </w:rPr>
        <w:t>Wi avant est la largeur telle que mesurée du côté de la ou des porte(s)</w:t>
      </w:r>
    </w:p>
    <w:p w:rsidR="00D651C4" w:rsidRPr="004B2AF9" w:rsidRDefault="00D651C4" w:rsidP="00D651C4">
      <w:pPr>
        <w:spacing w:after="120"/>
        <w:ind w:left="1134" w:right="1134"/>
        <w:jc w:val="both"/>
        <w:rPr>
          <w:lang w:val="fr-FR"/>
        </w:rPr>
      </w:pPr>
      <w:r w:rsidRPr="004B2AF9">
        <w:rPr>
          <w:lang w:val="fr-FR"/>
        </w:rPr>
        <w:t>On calcule la surface extérieure selon les formules ci-après</w:t>
      </w:r>
    </w:p>
    <w:p w:rsidR="00D651C4" w:rsidRPr="004B2AF9" w:rsidRDefault="00D651C4" w:rsidP="00D651C4">
      <w:pPr>
        <w:spacing w:after="120"/>
        <w:ind w:left="1134" w:right="1134"/>
        <w:jc w:val="center"/>
        <w:rPr>
          <w:lang w:val="fr-FR"/>
        </w:rPr>
      </w:pPr>
      <w:r w:rsidRPr="004B2AF9">
        <w:rPr>
          <w:lang w:val="fr-FR"/>
        </w:rPr>
        <w:t>WE = WI + épaisseur moyenne déclarée</w:t>
      </w:r>
    </w:p>
    <w:p w:rsidR="00D651C4" w:rsidRPr="004B2AF9" w:rsidRDefault="00D651C4" w:rsidP="00D651C4">
      <w:pPr>
        <w:spacing w:after="120"/>
        <w:ind w:left="1134" w:right="1134"/>
        <w:jc w:val="center"/>
        <w:rPr>
          <w:lang w:val="fr-FR"/>
        </w:rPr>
      </w:pPr>
      <w:r w:rsidRPr="004B2AF9">
        <w:rPr>
          <w:lang w:val="fr-FR"/>
        </w:rPr>
        <w:t>LE = LI + épaisseur moyenne déclarée</w:t>
      </w:r>
    </w:p>
    <w:p w:rsidR="00D651C4" w:rsidRPr="004B2AF9" w:rsidRDefault="00D651C4" w:rsidP="00D651C4">
      <w:pPr>
        <w:spacing w:after="120"/>
        <w:ind w:left="1134" w:right="1134"/>
        <w:jc w:val="center"/>
        <w:rPr>
          <w:lang w:val="fr-FR"/>
        </w:rPr>
      </w:pPr>
      <w:r w:rsidRPr="004B2AF9">
        <w:rPr>
          <w:lang w:val="fr-FR"/>
        </w:rPr>
        <w:t>We</w:t>
      </w:r>
      <w:r w:rsidR="000C566D">
        <w:rPr>
          <w:lang w:val="fr-FR"/>
        </w:rPr>
        <w:t xml:space="preserve"> </w:t>
      </w:r>
      <w:r w:rsidRPr="004B2AF9">
        <w:rPr>
          <w:lang w:val="fr-FR"/>
        </w:rPr>
        <w:t>= Wi + épaisseur moyenne déclarée</w:t>
      </w:r>
    </w:p>
    <w:p w:rsidR="00D651C4" w:rsidRPr="004B2AF9" w:rsidRDefault="00D651C4" w:rsidP="00D651C4">
      <w:pPr>
        <w:spacing w:after="120"/>
        <w:ind w:left="1134" w:right="1134"/>
        <w:jc w:val="both"/>
        <w:rPr>
          <w:lang w:val="fr-FR"/>
        </w:rPr>
      </w:pPr>
      <w:r w:rsidRPr="004B2AF9">
        <w:rPr>
          <w:lang w:val="fr-FR"/>
        </w:rPr>
        <w:t>Méthode C.</w:t>
      </w:r>
      <w:r w:rsidRPr="004B2AF9">
        <w:rPr>
          <w:lang w:val="fr-FR"/>
        </w:rPr>
        <w:tab/>
        <w:t>Si aucune des solutions ci-dessus n</w:t>
      </w:r>
      <w:r w:rsidR="0006343E">
        <w:rPr>
          <w:lang w:val="fr-FR"/>
        </w:rPr>
        <w:t>’</w:t>
      </w:r>
      <w:r w:rsidRPr="004B2AF9">
        <w:rPr>
          <w:lang w:val="fr-FR"/>
        </w:rPr>
        <w:t>est jugée acceptable par les experts, la surface intérieure doit être mesurée au moyen des figur</w:t>
      </w:r>
      <w:r w:rsidR="000C566D">
        <w:rPr>
          <w:lang w:val="fr-FR"/>
        </w:rPr>
        <w:t>es et formules de la méthode B.</w:t>
      </w:r>
    </w:p>
    <w:bookmarkEnd w:id="130"/>
    <w:p w:rsidR="00D651C4" w:rsidRPr="004B2AF9" w:rsidRDefault="00D651C4" w:rsidP="00D651C4">
      <w:pPr>
        <w:spacing w:after="120"/>
        <w:ind w:left="1134" w:right="1134"/>
        <w:jc w:val="both"/>
        <w:rPr>
          <w:lang w:val="fr-FR"/>
        </w:rPr>
      </w:pPr>
      <w:r w:rsidRPr="004B2AF9">
        <w:rPr>
          <w:lang w:val="fr-FR"/>
        </w:rPr>
        <w:t>Le coefficient K doit ensuite être calculé sur la base de la surface intérieure, en prenant l</w:t>
      </w:r>
      <w:r w:rsidR="0006343E">
        <w:rPr>
          <w:lang w:val="fr-FR"/>
        </w:rPr>
        <w:t>’</w:t>
      </w:r>
      <w:r w:rsidRPr="004B2AF9">
        <w:rPr>
          <w:lang w:val="fr-FR"/>
        </w:rPr>
        <w:t>épaisse</w:t>
      </w:r>
      <w:r>
        <w:rPr>
          <w:lang w:val="fr-FR"/>
        </w:rPr>
        <w:t>ur de l</w:t>
      </w:r>
      <w:r w:rsidR="0006343E">
        <w:rPr>
          <w:lang w:val="fr-FR"/>
        </w:rPr>
        <w:t>’</w:t>
      </w:r>
      <w:r>
        <w:rPr>
          <w:lang w:val="fr-FR"/>
        </w:rPr>
        <w:t>isolant comme égale à zé</w:t>
      </w:r>
      <w:r w:rsidRPr="004B2AF9">
        <w:rPr>
          <w:lang w:val="fr-FR"/>
        </w:rPr>
        <w:t>ro. À partir de ce coefficient</w:t>
      </w:r>
      <w:r w:rsidR="000C566D">
        <w:rPr>
          <w:lang w:val="fr-FR"/>
        </w:rPr>
        <w:t> </w:t>
      </w:r>
      <w:r w:rsidRPr="004B2AF9">
        <w:rPr>
          <w:lang w:val="fr-FR"/>
        </w:rPr>
        <w:t>K, l</w:t>
      </w:r>
      <w:r w:rsidR="0006343E">
        <w:rPr>
          <w:lang w:val="fr-FR"/>
        </w:rPr>
        <w:t>’</w:t>
      </w:r>
      <w:r w:rsidRPr="004B2AF9">
        <w:rPr>
          <w:lang w:val="fr-FR"/>
        </w:rPr>
        <w:t>épaisseur moyenne de l</w:t>
      </w:r>
      <w:r w:rsidR="0006343E">
        <w:rPr>
          <w:lang w:val="fr-FR"/>
        </w:rPr>
        <w:t>’</w:t>
      </w:r>
      <w:r w:rsidRPr="004B2AF9">
        <w:rPr>
          <w:lang w:val="fr-FR"/>
        </w:rPr>
        <w:t>isolant est calculée en partant de l</w:t>
      </w:r>
      <w:r w:rsidR="0006343E">
        <w:rPr>
          <w:lang w:val="fr-FR"/>
        </w:rPr>
        <w:t>’</w:t>
      </w:r>
      <w:r w:rsidRPr="004B2AF9">
        <w:rPr>
          <w:lang w:val="fr-FR"/>
        </w:rPr>
        <w:t>hypothèse que λ pour l</w:t>
      </w:r>
      <w:r w:rsidR="0006343E">
        <w:rPr>
          <w:lang w:val="fr-FR"/>
        </w:rPr>
        <w:t>’</w:t>
      </w:r>
      <w:r w:rsidRPr="004B2AF9">
        <w:rPr>
          <w:lang w:val="fr-FR"/>
        </w:rPr>
        <w:t>isolant a une valeur égale à 0,025 W/m K.</w:t>
      </w:r>
    </w:p>
    <w:p w:rsidR="00D651C4" w:rsidRPr="004B2AF9" w:rsidRDefault="00D651C4" w:rsidP="00D651C4">
      <w:pPr>
        <w:spacing w:after="120"/>
        <w:ind w:left="1134" w:right="1134"/>
        <w:jc w:val="center"/>
        <w:rPr>
          <w:lang w:val="fr-FR"/>
        </w:rPr>
      </w:pPr>
      <w:r w:rsidRPr="004B2AF9">
        <w:rPr>
          <w:lang w:val="fr-FR"/>
        </w:rPr>
        <w:t>d = S</w:t>
      </w:r>
      <w:r w:rsidRPr="004B2AF9">
        <w:rPr>
          <w:vertAlign w:val="subscript"/>
          <w:lang w:val="fr-FR"/>
        </w:rPr>
        <w:t>i</w:t>
      </w:r>
      <w:r w:rsidRPr="004B2AF9">
        <w:rPr>
          <w:lang w:val="fr-FR"/>
        </w:rPr>
        <w:t xml:space="preserve"> × ΔT × λ / W</w:t>
      </w:r>
    </w:p>
    <w:p w:rsidR="00D651C4" w:rsidRPr="004B2AF9" w:rsidRDefault="00D651C4" w:rsidP="00D651C4">
      <w:pPr>
        <w:spacing w:after="120"/>
        <w:ind w:left="1134" w:right="1134"/>
        <w:jc w:val="both"/>
        <w:rPr>
          <w:lang w:val="fr-FR"/>
        </w:rPr>
      </w:pPr>
      <w:r w:rsidRPr="004B2AF9">
        <w:rPr>
          <w:lang w:val="fr-FR"/>
        </w:rPr>
        <w:t>Une fois</w:t>
      </w:r>
      <w:r w:rsidRPr="00A8578B">
        <w:t xml:space="preserve"> </w:t>
      </w:r>
      <w:r w:rsidRPr="00A8578B">
        <w:rPr>
          <w:lang w:val="fr-FR"/>
        </w:rPr>
        <w:t>déterminée</w:t>
      </w:r>
      <w:r w:rsidRPr="004B2AF9">
        <w:rPr>
          <w:lang w:val="fr-FR"/>
        </w:rPr>
        <w:t xml:space="preserve"> l</w:t>
      </w:r>
      <w:r w:rsidR="0006343E">
        <w:rPr>
          <w:lang w:val="fr-FR"/>
        </w:rPr>
        <w:t>’</w:t>
      </w:r>
      <w:r w:rsidRPr="004B2AF9">
        <w:rPr>
          <w:lang w:val="fr-FR"/>
        </w:rPr>
        <w:t>épaisseur de l</w:t>
      </w:r>
      <w:r w:rsidR="0006343E">
        <w:rPr>
          <w:lang w:val="fr-FR"/>
        </w:rPr>
        <w:t>’</w:t>
      </w:r>
      <w:r w:rsidRPr="004B2AF9">
        <w:rPr>
          <w:lang w:val="fr-FR"/>
        </w:rPr>
        <w:t>isolant, on calcule la surface extérieure et on détermine la surface moyenne. Le coefficient K final est déduit par itération.</w:t>
      </w:r>
      <w:r w:rsidR="001764EA">
        <w:rPr>
          <w:lang w:val="fr-FR"/>
        </w:rPr>
        <w:t> </w:t>
      </w:r>
      <w:r w:rsidR="00364EE5">
        <w:rPr>
          <w:lang w:val="fr-FR"/>
        </w:rPr>
        <w:t>».</w:t>
      </w:r>
    </w:p>
    <w:p w:rsidR="00D651C4" w:rsidRPr="004B2AF9" w:rsidRDefault="00D651C4" w:rsidP="00D651C4">
      <w:pPr>
        <w:pStyle w:val="SingleTxtG"/>
        <w:rPr>
          <w:lang w:val="fr-FR"/>
        </w:rPr>
      </w:pPr>
      <w:r w:rsidRPr="004B2AF9">
        <w:rPr>
          <w:spacing w:val="4"/>
          <w:w w:val="103"/>
          <w:kern w:val="14"/>
          <w:lang w:val="fr-FR" w:eastAsia="zh-CN"/>
        </w:rPr>
        <w:t>2.</w:t>
      </w:r>
      <w:r w:rsidRPr="004B2AF9">
        <w:rPr>
          <w:spacing w:val="4"/>
          <w:w w:val="103"/>
          <w:kern w:val="14"/>
          <w:lang w:val="fr-FR" w:eastAsia="zh-CN"/>
        </w:rPr>
        <w:tab/>
      </w:r>
      <w:r w:rsidRPr="004B2AF9">
        <w:rPr>
          <w:i/>
          <w:lang w:val="fr-FR"/>
        </w:rPr>
        <w:t>Appe</w:t>
      </w:r>
      <w:r>
        <w:rPr>
          <w:i/>
          <w:lang w:val="fr-FR"/>
        </w:rPr>
        <w:t>ndice 2 de l</w:t>
      </w:r>
      <w:r w:rsidR="0006343E">
        <w:rPr>
          <w:i/>
          <w:lang w:val="fr-FR"/>
        </w:rPr>
        <w:t>’</w:t>
      </w:r>
      <w:r>
        <w:rPr>
          <w:i/>
          <w:lang w:val="fr-FR"/>
        </w:rPr>
        <w:t>annexe 1, modèle du</w:t>
      </w:r>
      <w:r w:rsidRPr="004B2AF9">
        <w:rPr>
          <w:i/>
          <w:lang w:val="fr-FR"/>
        </w:rPr>
        <w:t xml:space="preserve"> procès-verbal d</w:t>
      </w:r>
      <w:r w:rsidR="0006343E">
        <w:rPr>
          <w:i/>
          <w:lang w:val="fr-FR"/>
        </w:rPr>
        <w:t>’</w:t>
      </w:r>
      <w:r w:rsidRPr="004B2AF9">
        <w:rPr>
          <w:i/>
          <w:lang w:val="fr-FR"/>
        </w:rPr>
        <w:t>essai n</w:t>
      </w:r>
      <w:r w:rsidRPr="004B2AF9">
        <w:rPr>
          <w:i/>
          <w:vertAlign w:val="superscript"/>
          <w:lang w:val="fr-FR"/>
        </w:rPr>
        <w:t>o</w:t>
      </w:r>
      <w:r w:rsidRPr="004B2AF9">
        <w:rPr>
          <w:i/>
          <w:lang w:val="fr-FR"/>
        </w:rPr>
        <w:t> 1A</w:t>
      </w:r>
    </w:p>
    <w:p w:rsidR="00D651C4" w:rsidRPr="004B2AF9" w:rsidRDefault="00D651C4" w:rsidP="00B326EA">
      <w:pPr>
        <w:pStyle w:val="SingleTxtG"/>
        <w:ind w:firstLine="567"/>
        <w:rPr>
          <w:lang w:val="fr-FR"/>
        </w:rPr>
      </w:pPr>
      <w:r w:rsidRPr="004B2AF9">
        <w:rPr>
          <w:i/>
          <w:lang w:val="fr-FR"/>
        </w:rPr>
        <w:t>Après</w:t>
      </w:r>
      <w:r w:rsidRPr="004B2AF9">
        <w:rPr>
          <w:lang w:val="fr-FR"/>
        </w:rPr>
        <w:t xml:space="preserve"> «</w:t>
      </w:r>
      <w:r w:rsidR="006D05C6">
        <w:rPr>
          <w:lang w:val="fr-FR"/>
        </w:rPr>
        <w:t> </w:t>
      </w:r>
      <w:r w:rsidRPr="004B2AF9">
        <w:rPr>
          <w:lang w:val="fr-FR"/>
        </w:rPr>
        <w:t>Volume intérieur total utilisable de la caisse</w:t>
      </w:r>
      <w:r w:rsidR="00055DDA">
        <w:rPr>
          <w:lang w:val="fr-FR"/>
        </w:rPr>
        <w:t>……</w:t>
      </w:r>
      <w:r w:rsidRPr="004B2AF9">
        <w:rPr>
          <w:lang w:val="fr-FR"/>
        </w:rPr>
        <w:t>…</w:t>
      </w:r>
      <w:r w:rsidR="00055DDA">
        <w:rPr>
          <w:lang w:val="fr-FR"/>
        </w:rPr>
        <w:t>.</w:t>
      </w:r>
      <w:r w:rsidRPr="004B2AF9">
        <w:rPr>
          <w:lang w:val="fr-FR"/>
        </w:rPr>
        <w:t>m</w:t>
      </w:r>
      <w:r w:rsidRPr="004B2AF9">
        <w:rPr>
          <w:vertAlign w:val="superscript"/>
          <w:lang w:val="fr-FR"/>
        </w:rPr>
        <w:t>3</w:t>
      </w:r>
      <w:r w:rsidR="006D05C6" w:rsidRPr="006D05C6">
        <w:rPr>
          <w:lang w:val="fr-FR"/>
        </w:rPr>
        <w:t> </w:t>
      </w:r>
      <w:r w:rsidRPr="004B2AF9">
        <w:rPr>
          <w:lang w:val="fr-FR"/>
        </w:rPr>
        <w:t xml:space="preserve">», </w:t>
      </w:r>
      <w:r w:rsidRPr="00B326EA">
        <w:rPr>
          <w:lang w:val="ru-RU"/>
        </w:rPr>
        <w:t>insérer</w:t>
      </w:r>
      <w:r w:rsidRPr="004B2AF9">
        <w:rPr>
          <w:lang w:val="fr-FR"/>
        </w:rPr>
        <w:t xml:space="preserve"> le texte suivant</w:t>
      </w:r>
      <w:r w:rsidR="006D05C6">
        <w:rPr>
          <w:lang w:val="fr-FR"/>
        </w:rPr>
        <w:t> </w:t>
      </w:r>
      <w:r w:rsidRPr="004B2AF9">
        <w:rPr>
          <w:lang w:val="fr-FR"/>
        </w:rPr>
        <w:t>:</w:t>
      </w:r>
    </w:p>
    <w:p w:rsidR="00D651C4" w:rsidRPr="004B2AF9" w:rsidRDefault="00D651C4" w:rsidP="001764EA">
      <w:pPr>
        <w:pStyle w:val="SingleTxtG"/>
        <w:tabs>
          <w:tab w:val="left" w:pos="4820"/>
          <w:tab w:val="left" w:leader="dot" w:pos="7371"/>
          <w:tab w:val="left" w:leader="dot" w:pos="7938"/>
        </w:tabs>
        <w:rPr>
          <w:lang w:val="fr-FR"/>
        </w:rPr>
      </w:pPr>
      <w:r w:rsidRPr="004B2AF9">
        <w:rPr>
          <w:lang w:val="fr-FR"/>
        </w:rPr>
        <w:t>«</w:t>
      </w:r>
      <w:r w:rsidR="006D05C6">
        <w:rPr>
          <w:lang w:val="fr-FR"/>
        </w:rPr>
        <w:t> </w:t>
      </w:r>
      <w:r w:rsidRPr="004B2AF9">
        <w:rPr>
          <w:lang w:val="fr-FR"/>
        </w:rPr>
        <w:t>Méthode employée</w:t>
      </w:r>
      <w:r w:rsidRPr="006D05C6">
        <w:rPr>
          <w:sz w:val="18"/>
          <w:szCs w:val="18"/>
          <w:vertAlign w:val="superscript"/>
          <w:lang w:val="fr-FR"/>
        </w:rPr>
        <w:t>1, 3</w:t>
      </w:r>
      <w:r w:rsidR="0006343E">
        <w:rPr>
          <w:lang w:val="fr-FR"/>
        </w:rPr>
        <w:t>…………………..</w:t>
      </w:r>
      <w:r w:rsidR="00E5526E">
        <w:rPr>
          <w:lang w:val="fr-FR"/>
        </w:rPr>
        <w:tab/>
      </w:r>
      <w:r w:rsidRPr="004B2AF9">
        <w:rPr>
          <w:lang w:val="fr-FR"/>
        </w:rPr>
        <w:t>Figures utilisées</w:t>
      </w:r>
      <w:r w:rsidRPr="006D05C6">
        <w:rPr>
          <w:sz w:val="18"/>
          <w:szCs w:val="18"/>
          <w:vertAlign w:val="superscript"/>
          <w:lang w:val="fr-FR"/>
        </w:rPr>
        <w:t>1, 3</w:t>
      </w:r>
      <w:r w:rsidRPr="004B2AF9">
        <w:rPr>
          <w:lang w:val="fr-FR"/>
        </w:rPr>
        <w:t>……….</w:t>
      </w:r>
      <w:r w:rsidR="0006343E">
        <w:rPr>
          <w:lang w:val="fr-FR"/>
        </w:rPr>
        <w:t>.</w:t>
      </w:r>
      <w:r w:rsidRPr="004B2AF9">
        <w:rPr>
          <w:lang w:val="fr-FR"/>
        </w:rPr>
        <w:t>.……………</w:t>
      </w:r>
      <w:r w:rsidR="00E5526E">
        <w:rPr>
          <w:lang w:val="fr-FR"/>
        </w:rPr>
        <w:t>….</w:t>
      </w:r>
      <w:r w:rsidRPr="004B2AF9">
        <w:rPr>
          <w:lang w:val="fr-FR"/>
        </w:rPr>
        <w:t>».</w:t>
      </w:r>
    </w:p>
    <w:p w:rsidR="00D651C4" w:rsidRPr="004B2AF9" w:rsidRDefault="00D651C4" w:rsidP="00D651C4">
      <w:pPr>
        <w:pStyle w:val="SingleTxtG"/>
        <w:rPr>
          <w:w w:val="103"/>
          <w:lang w:val="fr-FR" w:eastAsia="zh-CN"/>
        </w:rPr>
      </w:pPr>
      <w:r w:rsidRPr="004B2AF9">
        <w:rPr>
          <w:w w:val="103"/>
          <w:lang w:val="fr-FR" w:eastAsia="zh-CN"/>
        </w:rPr>
        <w:t>3.</w:t>
      </w:r>
      <w:r w:rsidRPr="004B2AF9">
        <w:rPr>
          <w:w w:val="103"/>
          <w:lang w:val="fr-FR" w:eastAsia="zh-CN"/>
        </w:rPr>
        <w:tab/>
      </w:r>
      <w:r w:rsidRPr="004B2AF9">
        <w:rPr>
          <w:i/>
          <w:w w:val="103"/>
          <w:lang w:val="fr-FR" w:eastAsia="zh-CN"/>
        </w:rPr>
        <w:t>Annexe 1, appendice 2, paragraphe 6.2</w:t>
      </w:r>
    </w:p>
    <w:p w:rsidR="00D651C4" w:rsidRPr="004B2AF9" w:rsidRDefault="00D651C4" w:rsidP="00B326EA">
      <w:pPr>
        <w:pStyle w:val="SingleTxtG"/>
        <w:ind w:firstLine="567"/>
        <w:rPr>
          <w:w w:val="103"/>
          <w:lang w:val="fr-FR" w:eastAsia="zh-CN"/>
        </w:rPr>
      </w:pPr>
      <w:r w:rsidRPr="004B2AF9">
        <w:rPr>
          <w:i/>
          <w:lang w:val="fr-FR"/>
        </w:rPr>
        <w:t>Après le titre</w:t>
      </w:r>
      <w:r w:rsidRPr="004B2AF9">
        <w:rPr>
          <w:lang w:val="fr-FR"/>
        </w:rPr>
        <w:t xml:space="preserve"> «</w:t>
      </w:r>
      <w:r w:rsidR="00B326EA">
        <w:rPr>
          <w:lang w:val="fr-FR"/>
        </w:rPr>
        <w:t> </w:t>
      </w:r>
      <w:r w:rsidRPr="004B2AF9">
        <w:rPr>
          <w:lang w:val="fr-FR"/>
        </w:rPr>
        <w:t>Engins frigorifiques</w:t>
      </w:r>
      <w:r w:rsidR="00424C84">
        <w:rPr>
          <w:lang w:val="fr-FR"/>
        </w:rPr>
        <w:t> </w:t>
      </w:r>
      <w:r w:rsidRPr="004B2AF9">
        <w:rPr>
          <w:lang w:val="fr-FR"/>
        </w:rPr>
        <w:t>», insérer le sous-titre «</w:t>
      </w:r>
      <w:r w:rsidR="00424C84">
        <w:rPr>
          <w:lang w:val="fr-FR"/>
        </w:rPr>
        <w:t> </w:t>
      </w:r>
      <w:r w:rsidRPr="004B2AF9">
        <w:rPr>
          <w:lang w:val="fr-FR"/>
        </w:rPr>
        <w:t>Engins autonomes</w:t>
      </w:r>
      <w:r w:rsidR="00B326EA">
        <w:rPr>
          <w:lang w:val="fr-FR"/>
        </w:rPr>
        <w:t> </w:t>
      </w:r>
      <w:r w:rsidRPr="004B2AF9">
        <w:rPr>
          <w:lang w:val="fr-FR"/>
        </w:rPr>
        <w:t>»</w:t>
      </w:r>
    </w:p>
    <w:p w:rsidR="00D651C4" w:rsidRPr="004B2AF9" w:rsidRDefault="00D651C4" w:rsidP="00D651C4">
      <w:pPr>
        <w:pStyle w:val="SingleTxtG"/>
        <w:rPr>
          <w:w w:val="103"/>
          <w:lang w:val="fr-FR" w:eastAsia="zh-CN"/>
        </w:rPr>
      </w:pPr>
      <w:r w:rsidRPr="004B2AF9">
        <w:rPr>
          <w:w w:val="103"/>
          <w:lang w:val="fr-FR" w:eastAsia="zh-CN"/>
        </w:rPr>
        <w:t>4.</w:t>
      </w:r>
      <w:r w:rsidRPr="004B2AF9">
        <w:rPr>
          <w:w w:val="103"/>
          <w:lang w:val="fr-FR" w:eastAsia="zh-CN"/>
        </w:rPr>
        <w:tab/>
      </w:r>
      <w:r w:rsidRPr="004B2AF9">
        <w:rPr>
          <w:i/>
          <w:w w:val="103"/>
          <w:lang w:val="fr-FR" w:eastAsia="zh-CN"/>
        </w:rPr>
        <w:t>Annexe 1, appendice 2, paragraphe 6.2</w:t>
      </w:r>
    </w:p>
    <w:p w:rsidR="00D651C4" w:rsidRPr="004B2AF9" w:rsidRDefault="00D651C4" w:rsidP="0089324A">
      <w:pPr>
        <w:pStyle w:val="SingleTxtG"/>
        <w:tabs>
          <w:tab w:val="left" w:pos="2977"/>
        </w:tabs>
        <w:ind w:firstLine="567"/>
        <w:rPr>
          <w:w w:val="103"/>
          <w:lang w:val="fr-FR" w:eastAsia="zh-CN"/>
        </w:rPr>
      </w:pPr>
      <w:r w:rsidRPr="004B2AF9">
        <w:rPr>
          <w:i/>
          <w:lang w:val="fr-FR"/>
        </w:rPr>
        <w:t>Avant</w:t>
      </w:r>
      <w:r w:rsidRPr="004B2AF9">
        <w:rPr>
          <w:lang w:val="fr-FR"/>
        </w:rPr>
        <w:t xml:space="preserve"> «</w:t>
      </w:r>
      <w:r w:rsidR="00B326EA">
        <w:rPr>
          <w:lang w:val="fr-FR"/>
        </w:rPr>
        <w:t> </w:t>
      </w:r>
      <w:r w:rsidR="00364EE5">
        <w:rPr>
          <w:lang w:val="fr-FR"/>
        </w:rPr>
        <w:t>6.3</w:t>
      </w:r>
      <w:r w:rsidR="0089324A">
        <w:rPr>
          <w:lang w:val="fr-FR"/>
        </w:rPr>
        <w:tab/>
      </w:r>
      <w:r w:rsidRPr="004B2AF9">
        <w:rPr>
          <w:lang w:val="fr-FR"/>
        </w:rPr>
        <w:t>Engins calorifiques</w:t>
      </w:r>
      <w:r w:rsidR="00364EE5">
        <w:rPr>
          <w:lang w:val="fr-FR"/>
        </w:rPr>
        <w:t> </w:t>
      </w:r>
      <w:r w:rsidRPr="004B2AF9">
        <w:rPr>
          <w:lang w:val="fr-FR"/>
        </w:rPr>
        <w:t>», insérer le texte suivant</w:t>
      </w:r>
      <w:r w:rsidR="00B326EA">
        <w:rPr>
          <w:lang w:val="fr-FR"/>
        </w:rPr>
        <w:t> </w:t>
      </w:r>
      <w:r w:rsidRPr="004B2AF9">
        <w:rPr>
          <w:lang w:val="fr-FR"/>
        </w:rPr>
        <w:t>:</w:t>
      </w:r>
    </w:p>
    <w:p w:rsidR="00D651C4" w:rsidRPr="004B2AF9" w:rsidRDefault="00D651C4" w:rsidP="00364EE5">
      <w:pPr>
        <w:spacing w:after="120"/>
        <w:ind w:left="1134" w:right="1134" w:firstLine="567"/>
        <w:jc w:val="both"/>
        <w:rPr>
          <w:w w:val="103"/>
          <w:lang w:val="fr-FR" w:eastAsia="zh-CN"/>
        </w:rPr>
      </w:pPr>
      <w:r w:rsidRPr="004B2AF9">
        <w:rPr>
          <w:w w:val="103"/>
          <w:lang w:val="fr-FR" w:eastAsia="zh-CN"/>
        </w:rPr>
        <w:t>«</w:t>
      </w:r>
      <w:r w:rsidR="00B326EA">
        <w:rPr>
          <w:w w:val="103"/>
          <w:lang w:val="fr-FR" w:eastAsia="zh-CN"/>
        </w:rPr>
        <w:t> </w:t>
      </w:r>
      <w:r w:rsidRPr="004B2AF9">
        <w:rPr>
          <w:w w:val="103"/>
          <w:lang w:val="fr-FR" w:eastAsia="zh-CN"/>
        </w:rPr>
        <w:t>i</w:t>
      </w:r>
      <w:r>
        <w:rPr>
          <w:w w:val="103"/>
          <w:lang w:val="fr-FR" w:eastAsia="zh-CN"/>
        </w:rPr>
        <w:t>ii</w:t>
      </w:r>
      <w:r w:rsidRPr="004B2AF9">
        <w:rPr>
          <w:w w:val="103"/>
          <w:lang w:val="fr-FR" w:eastAsia="zh-CN"/>
        </w:rPr>
        <w:t>)</w:t>
      </w:r>
      <w:r w:rsidRPr="004B2AF9">
        <w:rPr>
          <w:w w:val="103"/>
          <w:lang w:val="fr-FR" w:eastAsia="zh-CN"/>
        </w:rPr>
        <w:tab/>
      </w:r>
      <w:r w:rsidRPr="004B2AF9">
        <w:rPr>
          <w:lang w:val="fr-FR"/>
        </w:rPr>
        <w:t>Engins non autonomes dont le groupe de réfrigération est entraîné par le moteur du véhicule</w:t>
      </w:r>
    </w:p>
    <w:p w:rsidR="00D651C4" w:rsidRPr="004B2AF9" w:rsidRDefault="00D651C4" w:rsidP="0089324A">
      <w:pPr>
        <w:spacing w:after="120"/>
        <w:ind w:left="1134" w:right="1134" w:firstLine="567"/>
        <w:jc w:val="both"/>
        <w:rPr>
          <w:w w:val="103"/>
          <w:lang w:val="fr-FR" w:eastAsia="zh-CN"/>
        </w:rPr>
      </w:pPr>
      <w:r w:rsidRPr="004B2AF9">
        <w:rPr>
          <w:lang w:val="fr-FR"/>
        </w:rPr>
        <w:t>On vérifiera que, lorsque la température extérieure n</w:t>
      </w:r>
      <w:r w:rsidR="0006343E">
        <w:rPr>
          <w:lang w:val="fr-FR"/>
        </w:rPr>
        <w:t>’</w:t>
      </w:r>
      <w:r w:rsidRPr="004B2AF9">
        <w:rPr>
          <w:lang w:val="fr-FR"/>
        </w:rPr>
        <w:t>est pas inférieure à +15 °C, la température intérieure de l</w:t>
      </w:r>
      <w:r w:rsidR="0006343E">
        <w:rPr>
          <w:lang w:val="fr-FR"/>
        </w:rPr>
        <w:t>’</w:t>
      </w:r>
      <w:r w:rsidRPr="004B2AF9">
        <w:rPr>
          <w:lang w:val="fr-FR"/>
        </w:rPr>
        <w:t>engin vide de tout chargement peut être maintenue à la température de classe, après descente en température et stabilisation, lorsque le régime moteur du véhicule est maintenu à la valeur de ralenti définie par le constructeur (si applicable), pendant une durée minimum de une heure trente minutes.</w:t>
      </w:r>
    </w:p>
    <w:p w:rsidR="00D651C4" w:rsidRPr="004B2AF9" w:rsidRDefault="00D651C4" w:rsidP="0089324A">
      <w:pPr>
        <w:spacing w:after="120"/>
        <w:ind w:left="1134" w:right="1134" w:firstLine="567"/>
        <w:jc w:val="both"/>
        <w:rPr>
          <w:w w:val="103"/>
          <w:lang w:val="fr-FR" w:eastAsia="zh-CN"/>
        </w:rPr>
      </w:pPr>
      <w:r>
        <w:rPr>
          <w:lang w:val="fr-FR"/>
        </w:rPr>
        <w:t>Si le</w:t>
      </w:r>
      <w:r w:rsidRPr="004B2AF9">
        <w:rPr>
          <w:lang w:val="fr-FR"/>
        </w:rPr>
        <w:t xml:space="preserve"> ré</w:t>
      </w:r>
      <w:r>
        <w:rPr>
          <w:lang w:val="fr-FR"/>
        </w:rPr>
        <w:t>sultat est satisfaisant, l</w:t>
      </w:r>
      <w:r w:rsidR="0006343E">
        <w:rPr>
          <w:lang w:val="fr-FR"/>
        </w:rPr>
        <w:t>’</w:t>
      </w:r>
      <w:r>
        <w:rPr>
          <w:lang w:val="fr-FR"/>
        </w:rPr>
        <w:t>engin pourra être maintenu en service comme frigorifique</w:t>
      </w:r>
      <w:r w:rsidRPr="004B2AF9">
        <w:rPr>
          <w:lang w:val="fr-FR"/>
        </w:rPr>
        <w:t xml:space="preserve">, dans </w:t>
      </w:r>
      <w:r>
        <w:rPr>
          <w:lang w:val="fr-FR"/>
        </w:rPr>
        <w:t>sa</w:t>
      </w:r>
      <w:r w:rsidRPr="004B2AF9">
        <w:rPr>
          <w:lang w:val="fr-FR"/>
        </w:rPr>
        <w:t xml:space="preserve"> classe d</w:t>
      </w:r>
      <w:r w:rsidR="0006343E">
        <w:rPr>
          <w:lang w:val="fr-FR"/>
        </w:rPr>
        <w:t>’</w:t>
      </w:r>
      <w:r w:rsidRPr="004B2AF9">
        <w:rPr>
          <w:lang w:val="fr-FR"/>
        </w:rPr>
        <w:t>origine, pour une nouvelle période d</w:t>
      </w:r>
      <w:r w:rsidR="0006343E">
        <w:rPr>
          <w:lang w:val="fr-FR"/>
        </w:rPr>
        <w:t>’</w:t>
      </w:r>
      <w:r w:rsidRPr="004B2AF9">
        <w:rPr>
          <w:lang w:val="fr-FR"/>
        </w:rPr>
        <w:t>une durée maximale de trois</w:t>
      </w:r>
      <w:r w:rsidR="0089324A">
        <w:rPr>
          <w:lang w:val="fr-FR"/>
        </w:rPr>
        <w:t> </w:t>
      </w:r>
      <w:r w:rsidRPr="004B2AF9">
        <w:rPr>
          <w:lang w:val="fr-FR"/>
        </w:rPr>
        <w:t>ans</w:t>
      </w:r>
      <w:r w:rsidRPr="004B2AF9">
        <w:rPr>
          <w:w w:val="103"/>
          <w:lang w:val="fr-FR" w:eastAsia="zh-CN"/>
        </w:rPr>
        <w:t>.</w:t>
      </w:r>
    </w:p>
    <w:p w:rsidR="00D651C4" w:rsidRPr="004B2AF9" w:rsidRDefault="00D651C4" w:rsidP="0089324A">
      <w:pPr>
        <w:spacing w:after="120"/>
        <w:ind w:left="1134" w:right="1134" w:firstLine="567"/>
        <w:jc w:val="both"/>
        <w:rPr>
          <w:rFonts w:eastAsia="Calibri"/>
          <w:lang w:val="fr-FR"/>
        </w:rPr>
      </w:pPr>
      <w:r w:rsidRPr="004B2AF9">
        <w:rPr>
          <w:rFonts w:eastAsia="Calibri"/>
          <w:lang w:val="fr-FR"/>
        </w:rPr>
        <w:t>iv)</w:t>
      </w:r>
      <w:r w:rsidRPr="004B2AF9">
        <w:rPr>
          <w:rFonts w:eastAsia="Calibri"/>
          <w:lang w:val="fr-FR"/>
        </w:rPr>
        <w:tab/>
      </w:r>
      <w:r w:rsidRPr="004B2AF9">
        <w:rPr>
          <w:lang w:val="fr-FR"/>
        </w:rPr>
        <w:t>Dispositions transitoires</w:t>
      </w:r>
      <w:r w:rsidRPr="004B2AF9">
        <w:rPr>
          <w:rFonts w:eastAsia="Calibri"/>
          <w:lang w:val="fr-FR"/>
        </w:rPr>
        <w:t xml:space="preserve"> </w:t>
      </w:r>
      <w:r w:rsidRPr="004B2AF9">
        <w:rPr>
          <w:lang w:val="fr-FR"/>
        </w:rPr>
        <w:t>pour les engins non autonomes en service</w:t>
      </w:r>
      <w:r w:rsidR="0089324A">
        <w:rPr>
          <w:lang w:val="fr-FR"/>
        </w:rPr>
        <w:t> </w:t>
      </w:r>
      <w:r w:rsidRPr="004B2AF9">
        <w:rPr>
          <w:rFonts w:eastAsia="Calibri"/>
          <w:lang w:val="fr-FR"/>
        </w:rPr>
        <w:t>:</w:t>
      </w:r>
    </w:p>
    <w:p w:rsidR="00D651C4" w:rsidRPr="004B2AF9" w:rsidRDefault="00D651C4" w:rsidP="0089324A">
      <w:pPr>
        <w:spacing w:after="120"/>
        <w:ind w:left="1134" w:right="1134" w:firstLine="567"/>
        <w:jc w:val="both"/>
        <w:rPr>
          <w:lang w:val="fr-FR"/>
        </w:rPr>
      </w:pPr>
      <w:r w:rsidRPr="004B2AF9">
        <w:rPr>
          <w:lang w:val="fr-FR"/>
        </w:rPr>
        <w:t>Dans le cas des engins construits avant</w:t>
      </w:r>
      <w:r>
        <w:rPr>
          <w:lang w:val="fr-FR"/>
        </w:rPr>
        <w:t xml:space="preserve"> le</w:t>
      </w:r>
      <w:r w:rsidRPr="004B2AF9">
        <w:rPr>
          <w:lang w:val="fr-FR"/>
        </w:rPr>
        <w:t xml:space="preserve"> </w:t>
      </w:r>
      <w:r w:rsidR="0089324A" w:rsidRPr="0089324A">
        <w:rPr>
          <w:rFonts w:eastAsia="Calibri"/>
          <w:lang w:val="fr-FR"/>
        </w:rPr>
        <w:t>(</w:t>
      </w:r>
      <w:r w:rsidRPr="004B2AF9">
        <w:rPr>
          <w:rFonts w:eastAsia="Calibri"/>
          <w:i/>
          <w:lang w:val="fr-FR"/>
        </w:rPr>
        <w:t xml:space="preserve">ajouter la </w:t>
      </w:r>
      <w:r w:rsidRPr="004B2AF9">
        <w:rPr>
          <w:i/>
          <w:lang w:val="fr-FR"/>
        </w:rPr>
        <w:t>date d</w:t>
      </w:r>
      <w:r w:rsidR="0006343E">
        <w:rPr>
          <w:i/>
          <w:lang w:val="fr-FR"/>
        </w:rPr>
        <w:t>’</w:t>
      </w:r>
      <w:r w:rsidRPr="004B2AF9">
        <w:rPr>
          <w:i/>
          <w:lang w:val="fr-FR"/>
        </w:rPr>
        <w:t xml:space="preserve">entrée en vigueur de la présente </w:t>
      </w:r>
      <w:r w:rsidRPr="004B2AF9">
        <w:rPr>
          <w:rFonts w:eastAsia="Calibri"/>
          <w:i/>
          <w:lang w:val="fr-FR"/>
        </w:rPr>
        <w:t>proposition</w:t>
      </w:r>
      <w:r w:rsidR="0089324A" w:rsidRPr="0089324A">
        <w:rPr>
          <w:rFonts w:eastAsia="Calibri"/>
          <w:lang w:val="fr-FR"/>
        </w:rPr>
        <w:t>)</w:t>
      </w:r>
      <w:r w:rsidRPr="004B2AF9">
        <w:rPr>
          <w:rFonts w:eastAsia="Calibri"/>
          <w:lang w:val="fr-FR"/>
        </w:rPr>
        <w:t xml:space="preserve">, </w:t>
      </w:r>
      <w:r w:rsidRPr="004B2AF9">
        <w:rPr>
          <w:lang w:val="fr-FR"/>
        </w:rPr>
        <w:t>la présente disposition ne s</w:t>
      </w:r>
      <w:r w:rsidR="0006343E">
        <w:rPr>
          <w:lang w:val="fr-FR"/>
        </w:rPr>
        <w:t>’</w:t>
      </w:r>
      <w:r w:rsidRPr="004B2AF9">
        <w:rPr>
          <w:lang w:val="fr-FR"/>
        </w:rPr>
        <w:t>applique pas</w:t>
      </w:r>
      <w:r w:rsidRPr="004B2AF9">
        <w:rPr>
          <w:rFonts w:eastAsia="Calibri"/>
          <w:lang w:val="fr-FR"/>
        </w:rPr>
        <w:t xml:space="preserve">. </w:t>
      </w:r>
      <w:r w:rsidRPr="004B2AF9">
        <w:rPr>
          <w:lang w:val="fr-FR"/>
        </w:rPr>
        <w:t>Les engins concernés doivent satisfaire aux prescriptions des alinéas i) ou ii) du présent paragraphe, en fonction de leur date de construction.</w:t>
      </w:r>
      <w:r w:rsidR="0089324A">
        <w:rPr>
          <w:lang w:val="fr-FR"/>
        </w:rPr>
        <w:t> </w:t>
      </w:r>
      <w:r w:rsidRPr="004B2AF9">
        <w:rPr>
          <w:lang w:val="fr-FR"/>
        </w:rPr>
        <w:t>».</w:t>
      </w:r>
    </w:p>
    <w:p w:rsidR="00D651C4" w:rsidRPr="004B2AF9" w:rsidRDefault="00D651C4" w:rsidP="00D651C4">
      <w:pPr>
        <w:pStyle w:val="SingleTxtG"/>
        <w:rPr>
          <w:lang w:val="fr-FR"/>
        </w:rPr>
      </w:pPr>
      <w:r w:rsidRPr="004B2AF9">
        <w:rPr>
          <w:spacing w:val="4"/>
          <w:w w:val="103"/>
          <w:kern w:val="14"/>
          <w:lang w:val="fr-FR" w:eastAsia="zh-CN"/>
        </w:rPr>
        <w:t>5.</w:t>
      </w:r>
      <w:r w:rsidRPr="004B2AF9">
        <w:rPr>
          <w:spacing w:val="4"/>
          <w:w w:val="103"/>
          <w:kern w:val="14"/>
          <w:lang w:val="fr-FR" w:eastAsia="zh-CN"/>
        </w:rPr>
        <w:tab/>
      </w:r>
      <w:r w:rsidRPr="004B2AF9">
        <w:rPr>
          <w:i/>
          <w:spacing w:val="4"/>
          <w:w w:val="103"/>
          <w:kern w:val="14"/>
          <w:lang w:val="fr-FR" w:eastAsia="zh-CN"/>
        </w:rPr>
        <w:t>Annexe 1, appendice 2</w:t>
      </w:r>
      <w:r>
        <w:rPr>
          <w:i/>
          <w:spacing w:val="4"/>
          <w:w w:val="103"/>
          <w:kern w:val="14"/>
          <w:lang w:val="fr-FR" w:eastAsia="zh-CN"/>
        </w:rPr>
        <w:t>, modèle de procès-verbal n</w:t>
      </w:r>
      <w:r w:rsidRPr="000C35C9">
        <w:rPr>
          <w:i/>
          <w:spacing w:val="4"/>
          <w:w w:val="103"/>
          <w:kern w:val="14"/>
          <w:vertAlign w:val="superscript"/>
          <w:lang w:val="fr-FR" w:eastAsia="zh-CN"/>
        </w:rPr>
        <w:t>o</w:t>
      </w:r>
      <w:r>
        <w:rPr>
          <w:i/>
          <w:spacing w:val="4"/>
          <w:w w:val="103"/>
          <w:kern w:val="14"/>
          <w:lang w:val="fr-FR" w:eastAsia="zh-CN"/>
        </w:rPr>
        <w:t> </w:t>
      </w:r>
      <w:r w:rsidRPr="004B2AF9">
        <w:rPr>
          <w:i/>
          <w:spacing w:val="4"/>
          <w:w w:val="103"/>
          <w:kern w:val="14"/>
          <w:lang w:val="fr-FR" w:eastAsia="zh-CN"/>
        </w:rPr>
        <w:t>10</w:t>
      </w:r>
    </w:p>
    <w:p w:rsidR="00D651C4" w:rsidRPr="004B2AF9" w:rsidRDefault="00D651C4" w:rsidP="00FB6FC9">
      <w:pPr>
        <w:spacing w:after="120"/>
        <w:ind w:left="1134" w:right="1134" w:firstLine="567"/>
        <w:jc w:val="both"/>
        <w:rPr>
          <w:lang w:val="fr-FR"/>
        </w:rPr>
      </w:pPr>
      <w:r w:rsidRPr="004B2AF9">
        <w:rPr>
          <w:i/>
          <w:lang w:val="fr-FR"/>
        </w:rPr>
        <w:t>Après</w:t>
      </w:r>
      <w:r w:rsidRPr="004B2AF9">
        <w:rPr>
          <w:lang w:val="fr-FR"/>
        </w:rPr>
        <w:t xml:space="preserve"> «</w:t>
      </w:r>
      <w:r w:rsidR="00FB6FC9">
        <w:rPr>
          <w:lang w:val="fr-FR"/>
        </w:rPr>
        <w:t> </w:t>
      </w:r>
      <w:r w:rsidRPr="004B2AF9">
        <w:rPr>
          <w:lang w:val="fr-FR"/>
        </w:rPr>
        <w:t>d) Observations…», insérer le texte suivant</w:t>
      </w:r>
      <w:r w:rsidR="00FB6FC9">
        <w:rPr>
          <w:lang w:val="fr-FR"/>
        </w:rPr>
        <w:t> </w:t>
      </w:r>
      <w:r w:rsidRPr="004B2AF9">
        <w:rPr>
          <w:lang w:val="fr-FR"/>
        </w:rPr>
        <w:t>:</w:t>
      </w:r>
    </w:p>
    <w:p w:rsidR="00D651C4" w:rsidRPr="00FB6FC9" w:rsidRDefault="00D651C4" w:rsidP="0089324A">
      <w:pPr>
        <w:spacing w:after="120"/>
        <w:ind w:left="1134" w:right="1134" w:firstLine="567"/>
        <w:jc w:val="both"/>
        <w:rPr>
          <w:lang w:val="fr-FR"/>
        </w:rPr>
      </w:pPr>
      <w:r w:rsidRPr="004B2AF9">
        <w:rPr>
          <w:lang w:val="fr-FR"/>
        </w:rPr>
        <w:t>«</w:t>
      </w:r>
      <w:r w:rsidR="00FB6FC9">
        <w:rPr>
          <w:lang w:val="fr-FR"/>
        </w:rPr>
        <w:t> </w:t>
      </w:r>
      <w:r w:rsidRPr="004B2AF9">
        <w:rPr>
          <w:lang w:val="fr-FR"/>
        </w:rPr>
        <w:t>Selon les résultats des essais ci-dessus, le présent procès-verbal est considéré comme un certificat d</w:t>
      </w:r>
      <w:r w:rsidR="0006343E">
        <w:rPr>
          <w:lang w:val="fr-FR"/>
        </w:rPr>
        <w:t>’</w:t>
      </w:r>
      <w:r w:rsidRPr="004B2AF9">
        <w:rPr>
          <w:lang w:val="fr-FR"/>
        </w:rPr>
        <w:t>homologation de type au sens de l</w:t>
      </w:r>
      <w:r w:rsidR="0006343E">
        <w:rPr>
          <w:lang w:val="fr-FR"/>
        </w:rPr>
        <w:t>’</w:t>
      </w:r>
      <w:r w:rsidRPr="004B2AF9">
        <w:rPr>
          <w:lang w:val="fr-FR"/>
        </w:rPr>
        <w:t>alinéa a) du paragraphe 6 de l</w:t>
      </w:r>
      <w:r w:rsidR="0006343E">
        <w:rPr>
          <w:lang w:val="fr-FR"/>
        </w:rPr>
        <w:t>’</w:t>
      </w:r>
      <w:r w:rsidRPr="004B2AF9">
        <w:rPr>
          <w:lang w:val="fr-FR"/>
        </w:rPr>
        <w:t>appendice 1 de l</w:t>
      </w:r>
      <w:r w:rsidR="0006343E">
        <w:rPr>
          <w:lang w:val="fr-FR"/>
        </w:rPr>
        <w:t>’</w:t>
      </w:r>
      <w:r w:rsidRPr="004B2AF9">
        <w:rPr>
          <w:lang w:val="fr-FR"/>
        </w:rPr>
        <w:t>annexe 1 de l</w:t>
      </w:r>
      <w:r w:rsidR="0006343E">
        <w:rPr>
          <w:lang w:val="fr-FR"/>
        </w:rPr>
        <w:t>’</w:t>
      </w:r>
      <w:r w:rsidRPr="004B2AF9">
        <w:rPr>
          <w:lang w:val="fr-FR"/>
        </w:rPr>
        <w:t>ATP, dont la validité ne peut dépasser une période de six ans, soit la date suivante</w:t>
      </w:r>
      <w:r w:rsidR="003804C0">
        <w:rPr>
          <w:lang w:val="fr-FR"/>
        </w:rPr>
        <w:t>…</w:t>
      </w:r>
      <w:r w:rsidR="00FB6FC9">
        <w:rPr>
          <w:rFonts w:ascii="Arial" w:hAnsi="Arial" w:cs="Arial"/>
          <w:lang w:val="fr-FR"/>
        </w:rPr>
        <w:t>».</w:t>
      </w:r>
    </w:p>
    <w:p w:rsidR="00D651C4" w:rsidRPr="004B2AF9" w:rsidRDefault="00D651C4" w:rsidP="00D651C4">
      <w:pPr>
        <w:pStyle w:val="SingleTxtG"/>
        <w:rPr>
          <w:szCs w:val="24"/>
          <w:lang w:val="fr-FR" w:eastAsia="en-GB"/>
        </w:rPr>
      </w:pPr>
      <w:r w:rsidRPr="004B2AF9">
        <w:rPr>
          <w:szCs w:val="24"/>
          <w:lang w:val="fr-FR" w:eastAsia="en-GB"/>
        </w:rPr>
        <w:t>6.</w:t>
      </w:r>
      <w:r w:rsidRPr="004B2AF9">
        <w:rPr>
          <w:szCs w:val="24"/>
          <w:lang w:val="fr-FR" w:eastAsia="en-GB"/>
        </w:rPr>
        <w:tab/>
      </w:r>
      <w:r w:rsidRPr="004B2AF9">
        <w:rPr>
          <w:i/>
          <w:lang w:val="fr-FR"/>
        </w:rPr>
        <w:t>Annexe 1, appendice 2, section 6.4, dernier paragraphe</w:t>
      </w:r>
    </w:p>
    <w:p w:rsidR="00D651C4" w:rsidRPr="004B2AF9" w:rsidRDefault="00D651C4" w:rsidP="00FB6FC9">
      <w:pPr>
        <w:spacing w:before="120" w:after="120"/>
        <w:ind w:left="1134" w:right="1134" w:firstLine="567"/>
        <w:jc w:val="both"/>
        <w:rPr>
          <w:rFonts w:eastAsia="SimSun"/>
          <w:lang w:val="fr-FR" w:eastAsia="zh-CN"/>
        </w:rPr>
      </w:pPr>
      <w:r w:rsidRPr="004B2AF9">
        <w:rPr>
          <w:lang w:val="fr-FR" w:eastAsia="en-GB"/>
        </w:rPr>
        <w:t>Remplacer «</w:t>
      </w:r>
      <w:r w:rsidR="00FB6FC9">
        <w:rPr>
          <w:lang w:val="fr-FR" w:eastAsia="en-GB"/>
        </w:rPr>
        <w:t> </w:t>
      </w:r>
      <w:r w:rsidRPr="004B2AF9">
        <w:rPr>
          <w:lang w:val="fr-FR"/>
        </w:rPr>
        <w:t>Le dernier relevé devrait provenir</w:t>
      </w:r>
      <w:r w:rsidRPr="004B2AF9">
        <w:rPr>
          <w:lang w:val="fr-FR" w:eastAsia="en-GB"/>
        </w:rPr>
        <w:t>…» par «</w:t>
      </w:r>
      <w:r w:rsidR="00FB6FC9">
        <w:rPr>
          <w:lang w:val="fr-FR" w:eastAsia="en-GB"/>
        </w:rPr>
        <w:t> </w:t>
      </w:r>
      <w:r w:rsidRPr="004B2AF9">
        <w:rPr>
          <w:lang w:val="fr-FR"/>
        </w:rPr>
        <w:t>Le dernier relevé doit provenir</w:t>
      </w:r>
      <w:r w:rsidR="006E0785">
        <w:rPr>
          <w:lang w:val="fr-FR"/>
        </w:rPr>
        <w:t>..</w:t>
      </w:r>
      <w:r w:rsidRPr="004B2AF9">
        <w:rPr>
          <w:rFonts w:eastAsia="SimSun"/>
          <w:lang w:val="fr-FR" w:eastAsia="zh-CN"/>
        </w:rPr>
        <w:t>.».</w:t>
      </w:r>
    </w:p>
    <w:p w:rsidR="00D651C4" w:rsidRPr="009A5109" w:rsidRDefault="00D651C4" w:rsidP="009A5109">
      <w:pPr>
        <w:pStyle w:val="HChG"/>
      </w:pPr>
      <w:bookmarkStart w:id="131" w:name="_Toc401568282"/>
      <w:bookmarkStart w:id="132" w:name="_Toc401568687"/>
      <w:r w:rsidRPr="004B2AF9">
        <w:rPr>
          <w:lang w:val="fr-FR"/>
        </w:rPr>
        <w:br w:type="page"/>
      </w:r>
      <w:r w:rsidRPr="004B2AF9">
        <w:rPr>
          <w:lang w:val="fr-FR"/>
        </w:rPr>
        <w:tab/>
      </w:r>
      <w:bookmarkStart w:id="133" w:name="_Toc432670213"/>
      <w:r w:rsidRPr="004B2AF9">
        <w:rPr>
          <w:lang w:val="fr-FR"/>
        </w:rPr>
        <w:t>Annexe II</w:t>
      </w:r>
      <w:bookmarkStart w:id="134" w:name="_Toc401568283"/>
      <w:bookmarkStart w:id="135" w:name="_Toc401568688"/>
      <w:bookmarkEnd w:id="131"/>
      <w:bookmarkEnd w:id="132"/>
      <w:bookmarkEnd w:id="133"/>
    </w:p>
    <w:p w:rsidR="00D651C4" w:rsidRPr="004B2AF9" w:rsidRDefault="00D651C4" w:rsidP="00D651C4">
      <w:pPr>
        <w:pStyle w:val="HChG"/>
        <w:rPr>
          <w:lang w:val="fr-FR"/>
        </w:rPr>
      </w:pPr>
      <w:r w:rsidRPr="004B2AF9">
        <w:rPr>
          <w:lang w:val="fr-FR"/>
        </w:rPr>
        <w:tab/>
      </w:r>
      <w:r w:rsidRPr="004B2AF9">
        <w:rPr>
          <w:lang w:val="fr-FR"/>
        </w:rPr>
        <w:tab/>
      </w:r>
      <w:bookmarkEnd w:id="134"/>
      <w:bookmarkEnd w:id="135"/>
      <w:r w:rsidRPr="004B2AF9">
        <w:rPr>
          <w:lang w:val="fr-FR"/>
        </w:rPr>
        <w:t>Rectification de l</w:t>
      </w:r>
      <w:r w:rsidR="0006343E">
        <w:rPr>
          <w:lang w:val="fr-FR"/>
        </w:rPr>
        <w:t>’</w:t>
      </w:r>
      <w:r w:rsidRPr="004B2AF9">
        <w:rPr>
          <w:lang w:val="fr-FR"/>
        </w:rPr>
        <w:t>ATP</w:t>
      </w:r>
    </w:p>
    <w:p w:rsidR="00D651C4" w:rsidRPr="004B2AF9" w:rsidRDefault="00D651C4" w:rsidP="00D651C4">
      <w:pPr>
        <w:spacing w:after="120"/>
        <w:ind w:left="1134" w:right="1134"/>
        <w:jc w:val="both"/>
        <w:rPr>
          <w:lang w:val="fr-FR"/>
        </w:rPr>
      </w:pPr>
      <w:r w:rsidRPr="004B2AF9">
        <w:rPr>
          <w:lang w:val="fr-FR"/>
        </w:rPr>
        <w:t>1.</w:t>
      </w:r>
      <w:r w:rsidRPr="004B2AF9">
        <w:rPr>
          <w:lang w:val="fr-FR"/>
        </w:rPr>
        <w:tab/>
      </w:r>
      <w:r w:rsidRPr="004B2AF9">
        <w:rPr>
          <w:i/>
          <w:lang w:val="fr-FR"/>
        </w:rPr>
        <w:t>Annexe 1, appendice 1, paragraphe 1</w:t>
      </w:r>
      <w:r w:rsidR="00FB6FC9">
        <w:rPr>
          <w:i/>
          <w:lang w:val="fr-FR"/>
        </w:rPr>
        <w:t> </w:t>
      </w:r>
      <w:r w:rsidRPr="004B2AF9">
        <w:rPr>
          <w:i/>
          <w:lang w:val="fr-FR"/>
        </w:rPr>
        <w:t>b)</w:t>
      </w:r>
    </w:p>
    <w:p w:rsidR="00D651C4" w:rsidRPr="004B2AF9" w:rsidRDefault="009A5109" w:rsidP="00D651C4">
      <w:pPr>
        <w:spacing w:after="120"/>
        <w:ind w:left="1134" w:right="1134"/>
        <w:jc w:val="both"/>
        <w:rPr>
          <w:i/>
          <w:lang w:val="fr-FR"/>
        </w:rPr>
      </w:pPr>
      <w:r w:rsidRPr="009A5109">
        <w:rPr>
          <w:lang w:val="fr-FR"/>
        </w:rPr>
        <w:t>(</w:t>
      </w:r>
      <w:r w:rsidR="00D651C4" w:rsidRPr="004B2AF9">
        <w:rPr>
          <w:i/>
          <w:lang w:val="fr-FR"/>
        </w:rPr>
        <w:t>Ne concerne pas la version française</w:t>
      </w:r>
      <w:r w:rsidRPr="009A5109">
        <w:rPr>
          <w:lang w:val="fr-FR"/>
        </w:rPr>
        <w:t>)</w:t>
      </w:r>
    </w:p>
    <w:p w:rsidR="00D651C4" w:rsidRPr="004B2AF9" w:rsidRDefault="00D651C4" w:rsidP="00D651C4">
      <w:pPr>
        <w:spacing w:after="120"/>
        <w:ind w:left="1134" w:right="1134"/>
        <w:jc w:val="both"/>
        <w:rPr>
          <w:lang w:val="fr-FR" w:eastAsia="en-GB"/>
        </w:rPr>
      </w:pPr>
      <w:r w:rsidRPr="004B2AF9">
        <w:rPr>
          <w:lang w:val="fr-FR" w:eastAsia="en-GB"/>
        </w:rPr>
        <w:t>2.</w:t>
      </w:r>
      <w:r w:rsidRPr="004B2AF9">
        <w:rPr>
          <w:lang w:val="fr-FR" w:eastAsia="en-GB"/>
        </w:rPr>
        <w:tab/>
      </w:r>
      <w:r>
        <w:rPr>
          <w:i/>
          <w:lang w:val="fr-FR" w:eastAsia="en-GB"/>
        </w:rPr>
        <w:t>Annexe 1, appendice 2, modèle du</w:t>
      </w:r>
      <w:r w:rsidRPr="004B2AF9">
        <w:rPr>
          <w:i/>
          <w:lang w:val="fr-FR" w:eastAsia="en-GB"/>
        </w:rPr>
        <w:t xml:space="preserve"> procès-verbal n</w:t>
      </w:r>
      <w:r w:rsidRPr="004B2AF9">
        <w:rPr>
          <w:i/>
          <w:vertAlign w:val="superscript"/>
          <w:lang w:val="fr-FR" w:eastAsia="en-GB"/>
        </w:rPr>
        <w:t>o</w:t>
      </w:r>
      <w:r w:rsidRPr="004B2AF9">
        <w:rPr>
          <w:i/>
          <w:lang w:val="fr-FR" w:eastAsia="en-GB"/>
        </w:rPr>
        <w:t> 3</w:t>
      </w:r>
    </w:p>
    <w:p w:rsidR="00D651C4" w:rsidRPr="004B2AF9" w:rsidRDefault="00D651C4" w:rsidP="00FB6FC9">
      <w:pPr>
        <w:spacing w:after="120"/>
        <w:ind w:left="1134" w:right="1134" w:firstLine="567"/>
        <w:jc w:val="both"/>
        <w:rPr>
          <w:lang w:val="fr-FR" w:eastAsia="en-GB"/>
        </w:rPr>
      </w:pPr>
      <w:r w:rsidRPr="004B2AF9">
        <w:rPr>
          <w:i/>
          <w:lang w:val="fr-FR" w:eastAsia="en-GB"/>
        </w:rPr>
        <w:t>Remplacer</w:t>
      </w:r>
      <w:r w:rsidRPr="004B2AF9">
        <w:rPr>
          <w:lang w:val="fr-FR" w:eastAsia="en-GB"/>
        </w:rPr>
        <w:t xml:space="preserve"> «</w:t>
      </w:r>
      <w:r w:rsidR="00FB6FC9">
        <w:rPr>
          <w:lang w:val="fr-FR" w:eastAsia="en-GB"/>
        </w:rPr>
        <w:t> </w:t>
      </w:r>
      <w:r w:rsidRPr="004B2AF9">
        <w:rPr>
          <w:lang w:val="fr-FR"/>
        </w:rPr>
        <w:t>l</w:t>
      </w:r>
      <w:r w:rsidR="0006343E">
        <w:rPr>
          <w:lang w:val="fr-FR"/>
        </w:rPr>
        <w:t>’</w:t>
      </w:r>
      <w:r w:rsidRPr="004B2AF9">
        <w:rPr>
          <w:lang w:val="fr-FR"/>
        </w:rPr>
        <w:t>expert de la station d</w:t>
      </w:r>
      <w:r w:rsidR="0006343E">
        <w:rPr>
          <w:lang w:val="fr-FR"/>
        </w:rPr>
        <w:t>’</w:t>
      </w:r>
      <w:r w:rsidRPr="004B2AF9">
        <w:rPr>
          <w:lang w:val="fr-FR"/>
        </w:rPr>
        <w:t xml:space="preserve">essai agréée </w:t>
      </w:r>
      <w:r w:rsidRPr="004B2AF9">
        <w:rPr>
          <w:lang w:val="fr-FR" w:eastAsia="en-GB"/>
        </w:rPr>
        <w:t>(nom et adresse)</w:t>
      </w:r>
      <w:r w:rsidR="00FB6FC9">
        <w:rPr>
          <w:lang w:val="fr-FR" w:eastAsia="en-GB"/>
        </w:rPr>
        <w:t> </w:t>
      </w:r>
      <w:r w:rsidRPr="004B2AF9">
        <w:rPr>
          <w:lang w:val="fr-FR" w:eastAsia="en-GB"/>
        </w:rPr>
        <w:t xml:space="preserve">» </w:t>
      </w:r>
      <w:r w:rsidRPr="004B2AF9">
        <w:rPr>
          <w:i/>
          <w:lang w:val="fr-FR" w:eastAsia="en-GB"/>
        </w:rPr>
        <w:t>par</w:t>
      </w:r>
      <w:r w:rsidRPr="004B2AF9">
        <w:rPr>
          <w:lang w:val="fr-FR" w:eastAsia="en-GB"/>
        </w:rPr>
        <w:t xml:space="preserve"> </w:t>
      </w:r>
      <w:r w:rsidRPr="004B2AF9">
        <w:rPr>
          <w:lang w:val="fr-FR"/>
        </w:rPr>
        <w:t>«</w:t>
      </w:r>
      <w:r w:rsidR="00FB6FC9">
        <w:rPr>
          <w:lang w:val="fr-FR"/>
        </w:rPr>
        <w:t> </w:t>
      </w:r>
      <w:r w:rsidRPr="004B2AF9">
        <w:rPr>
          <w:lang w:val="fr-FR" w:eastAsia="en-GB"/>
        </w:rPr>
        <w:t>la station d</w:t>
      </w:r>
      <w:r w:rsidR="0006343E">
        <w:rPr>
          <w:lang w:val="fr-FR" w:eastAsia="en-GB"/>
        </w:rPr>
        <w:t>’</w:t>
      </w:r>
      <w:r w:rsidRPr="004B2AF9">
        <w:rPr>
          <w:lang w:val="fr-FR" w:eastAsia="en-GB"/>
        </w:rPr>
        <w:t>essai/l</w:t>
      </w:r>
      <w:r w:rsidR="0006343E">
        <w:rPr>
          <w:lang w:val="fr-FR" w:eastAsia="en-GB"/>
        </w:rPr>
        <w:t>’</w:t>
      </w:r>
      <w:r w:rsidRPr="004B2AF9">
        <w:rPr>
          <w:lang w:val="fr-FR" w:eastAsia="en-GB"/>
        </w:rPr>
        <w:t>expert agréé(e) (nom et adresse)</w:t>
      </w:r>
      <w:r w:rsidR="00FB6FC9">
        <w:rPr>
          <w:lang w:val="fr-FR" w:eastAsia="en-GB"/>
        </w:rPr>
        <w:t> </w:t>
      </w:r>
      <w:r w:rsidRPr="004B2AF9">
        <w:rPr>
          <w:lang w:val="fr-FR" w:eastAsia="en-GB"/>
        </w:rPr>
        <w:t>»</w:t>
      </w:r>
    </w:p>
    <w:p w:rsidR="00D651C4" w:rsidRPr="004B2AF9" w:rsidRDefault="00D651C4" w:rsidP="00D651C4">
      <w:pPr>
        <w:spacing w:after="120"/>
        <w:ind w:left="1134" w:right="1134"/>
        <w:jc w:val="both"/>
        <w:rPr>
          <w:rFonts w:eastAsia="SimSun"/>
          <w:lang w:val="fr-FR"/>
        </w:rPr>
      </w:pPr>
      <w:r w:rsidRPr="004B2AF9">
        <w:rPr>
          <w:rFonts w:eastAsia="SimSun"/>
          <w:lang w:val="fr-FR" w:eastAsia="zh-CN"/>
        </w:rPr>
        <w:t>3.</w:t>
      </w:r>
      <w:r w:rsidRPr="004B2AF9">
        <w:rPr>
          <w:rFonts w:eastAsia="SimSun"/>
          <w:lang w:val="fr-FR" w:eastAsia="zh-CN"/>
        </w:rPr>
        <w:tab/>
      </w:r>
      <w:r w:rsidRPr="004B2AF9">
        <w:rPr>
          <w:rFonts w:eastAsia="SimSun"/>
          <w:i/>
          <w:lang w:val="fr-FR" w:eastAsia="zh-CN"/>
        </w:rPr>
        <w:t>Anne</w:t>
      </w:r>
      <w:r>
        <w:rPr>
          <w:rFonts w:eastAsia="SimSun"/>
          <w:i/>
          <w:lang w:val="fr-FR" w:eastAsia="zh-CN"/>
        </w:rPr>
        <w:t>xe 1, appendice 3A, modèle du</w:t>
      </w:r>
      <w:r w:rsidRPr="004B2AF9">
        <w:rPr>
          <w:rFonts w:eastAsia="SimSun"/>
          <w:i/>
          <w:lang w:val="fr-FR" w:eastAsia="zh-CN"/>
        </w:rPr>
        <w:t xml:space="preserve"> formul</w:t>
      </w:r>
      <w:r>
        <w:rPr>
          <w:rFonts w:eastAsia="SimSun"/>
          <w:i/>
          <w:lang w:val="fr-FR" w:eastAsia="zh-CN"/>
        </w:rPr>
        <w:t>air</w:t>
      </w:r>
      <w:r w:rsidRPr="004B2AF9">
        <w:rPr>
          <w:rFonts w:eastAsia="SimSun"/>
          <w:i/>
          <w:lang w:val="fr-FR" w:eastAsia="zh-CN"/>
        </w:rPr>
        <w:t>e d</w:t>
      </w:r>
      <w:r w:rsidR="0006343E">
        <w:rPr>
          <w:rFonts w:eastAsia="SimSun"/>
          <w:i/>
          <w:lang w:val="fr-FR" w:eastAsia="zh-CN"/>
        </w:rPr>
        <w:t>’</w:t>
      </w:r>
      <w:r w:rsidRPr="004B2AF9">
        <w:rPr>
          <w:rFonts w:eastAsia="SimSun"/>
          <w:i/>
          <w:lang w:val="fr-FR" w:eastAsia="zh-CN"/>
        </w:rPr>
        <w:t>attestation de conformité, note de bas de page 10</w:t>
      </w:r>
    </w:p>
    <w:p w:rsidR="00D651C4" w:rsidRPr="004B2AF9" w:rsidRDefault="00D651C4" w:rsidP="00FB6FC9">
      <w:pPr>
        <w:spacing w:after="120"/>
        <w:ind w:left="1134" w:right="1134" w:firstLine="567"/>
        <w:jc w:val="both"/>
        <w:rPr>
          <w:rFonts w:eastAsia="SimSun"/>
          <w:lang w:val="fr-FR" w:eastAsia="zh-CN"/>
        </w:rPr>
      </w:pPr>
      <w:r w:rsidRPr="004B2AF9">
        <w:rPr>
          <w:rFonts w:eastAsia="SimSun"/>
          <w:i/>
          <w:lang w:val="fr-FR" w:eastAsia="zh-CN"/>
        </w:rPr>
        <w:t xml:space="preserve">Remplacer </w:t>
      </w:r>
      <w:r w:rsidRPr="004B2AF9">
        <w:rPr>
          <w:rFonts w:eastAsia="SimSun"/>
          <w:lang w:val="fr-FR" w:eastAsia="zh-CN"/>
        </w:rPr>
        <w:t>«</w:t>
      </w:r>
      <w:r w:rsidR="0040110F">
        <w:rPr>
          <w:rFonts w:eastAsia="SimSun"/>
          <w:lang w:val="fr-FR" w:eastAsia="zh-CN"/>
        </w:rPr>
        <w:t> </w:t>
      </w:r>
      <w:r w:rsidRPr="004B2AF9">
        <w:rPr>
          <w:rFonts w:eastAsia="SimSun"/>
          <w:lang w:val="fr-FR" w:eastAsia="zh-CN"/>
        </w:rPr>
        <w:t>par</w:t>
      </w:r>
      <w:r w:rsidR="0040110F">
        <w:rPr>
          <w:rFonts w:eastAsia="SimSun"/>
          <w:lang w:val="fr-FR" w:eastAsia="zh-CN"/>
        </w:rPr>
        <w:t>. </w:t>
      </w:r>
      <w:r w:rsidRPr="004B2AF9">
        <w:rPr>
          <w:rFonts w:eastAsia="SimSun"/>
          <w:lang w:val="fr-FR" w:eastAsia="zh-CN"/>
        </w:rPr>
        <w:t>3.2.7</w:t>
      </w:r>
      <w:r w:rsidR="0040110F">
        <w:rPr>
          <w:rFonts w:eastAsia="SimSun"/>
          <w:lang w:val="fr-FR" w:eastAsia="zh-CN"/>
        </w:rPr>
        <w:t> </w:t>
      </w:r>
      <w:r w:rsidRPr="004B2AF9">
        <w:rPr>
          <w:rFonts w:eastAsia="SimSun"/>
          <w:lang w:val="fr-FR" w:eastAsia="zh-CN"/>
        </w:rPr>
        <w:t xml:space="preserve">» </w:t>
      </w:r>
      <w:r w:rsidRPr="004B2AF9">
        <w:rPr>
          <w:rFonts w:eastAsia="SimSun"/>
          <w:i/>
          <w:lang w:val="fr-FR" w:eastAsia="zh-CN"/>
        </w:rPr>
        <w:t xml:space="preserve">par </w:t>
      </w:r>
      <w:r w:rsidRPr="004B2AF9">
        <w:rPr>
          <w:rFonts w:eastAsia="SimSun"/>
          <w:lang w:val="fr-FR" w:eastAsia="zh-CN"/>
        </w:rPr>
        <w:t>«</w:t>
      </w:r>
      <w:r w:rsidR="0040110F">
        <w:rPr>
          <w:rFonts w:eastAsia="SimSun"/>
          <w:lang w:val="fr-FR" w:eastAsia="zh-CN"/>
        </w:rPr>
        <w:t> </w:t>
      </w:r>
      <w:r w:rsidRPr="004B2AF9">
        <w:rPr>
          <w:rFonts w:eastAsia="SimSun"/>
          <w:lang w:val="fr-FR" w:eastAsia="zh-CN"/>
        </w:rPr>
        <w:t>par</w:t>
      </w:r>
      <w:r w:rsidR="0040110F">
        <w:rPr>
          <w:rFonts w:eastAsia="SimSun"/>
          <w:lang w:val="fr-FR" w:eastAsia="zh-CN"/>
        </w:rPr>
        <w:t>. </w:t>
      </w:r>
      <w:r w:rsidRPr="004B2AF9">
        <w:rPr>
          <w:rFonts w:eastAsia="SimSun"/>
          <w:lang w:val="fr-FR" w:eastAsia="zh-CN"/>
        </w:rPr>
        <w:t>3.2</w:t>
      </w:r>
      <w:r w:rsidR="0040110F">
        <w:rPr>
          <w:rFonts w:eastAsia="SimSun"/>
          <w:lang w:val="fr-FR" w:eastAsia="zh-CN"/>
        </w:rPr>
        <w:t> </w:t>
      </w:r>
      <w:r w:rsidRPr="004B2AF9">
        <w:rPr>
          <w:rFonts w:eastAsia="SimSun"/>
          <w:lang w:val="fr-FR" w:eastAsia="zh-CN"/>
        </w:rPr>
        <w:t>».</w:t>
      </w:r>
    </w:p>
    <w:p w:rsidR="00D651C4" w:rsidRPr="004B2AF9" w:rsidRDefault="00D651C4" w:rsidP="00D651C4">
      <w:pPr>
        <w:spacing w:before="120" w:after="120"/>
        <w:ind w:left="1134" w:right="1134"/>
        <w:jc w:val="both"/>
        <w:rPr>
          <w:rFonts w:eastAsia="SimSun"/>
          <w:lang w:val="fr-FR" w:eastAsia="zh-CN"/>
        </w:rPr>
      </w:pPr>
      <w:r w:rsidRPr="004B2AF9">
        <w:rPr>
          <w:lang w:val="fr-FR"/>
        </w:rPr>
        <w:t>4.</w:t>
      </w:r>
      <w:r w:rsidRPr="004B2AF9">
        <w:rPr>
          <w:lang w:val="fr-FR"/>
        </w:rPr>
        <w:tab/>
      </w:r>
      <w:r w:rsidRPr="008F669E">
        <w:rPr>
          <w:i/>
          <w:lang w:val="fr-FR"/>
        </w:rPr>
        <w:t>Annexe 2, appendice 1, titre</w:t>
      </w:r>
    </w:p>
    <w:p w:rsidR="00D651C4" w:rsidRPr="004B2AF9" w:rsidRDefault="009A5109" w:rsidP="00D651C4">
      <w:pPr>
        <w:spacing w:after="120"/>
        <w:ind w:left="1134" w:right="1134"/>
        <w:jc w:val="both"/>
        <w:rPr>
          <w:rFonts w:eastAsia="SimSun"/>
          <w:lang w:val="fr-FR"/>
        </w:rPr>
      </w:pPr>
      <w:r w:rsidRPr="009A5109">
        <w:rPr>
          <w:lang w:val="fr-FR"/>
        </w:rPr>
        <w:t>(</w:t>
      </w:r>
      <w:r w:rsidR="00D651C4" w:rsidRPr="004B2AF9">
        <w:rPr>
          <w:rFonts w:eastAsia="SimSun"/>
          <w:i/>
          <w:lang w:val="fr-FR" w:eastAsia="zh-CN"/>
        </w:rPr>
        <w:t>Ne concerne pas la version française</w:t>
      </w:r>
      <w:r>
        <w:rPr>
          <w:rFonts w:eastAsia="SimSun"/>
          <w:lang w:val="fr-FR" w:eastAsia="zh-CN"/>
        </w:rPr>
        <w:t>)</w:t>
      </w:r>
    </w:p>
    <w:p w:rsidR="00D651C4" w:rsidRPr="004B2AF9" w:rsidRDefault="00D651C4" w:rsidP="00D651C4">
      <w:pPr>
        <w:spacing w:after="120"/>
        <w:ind w:left="1134" w:right="1134"/>
        <w:jc w:val="both"/>
        <w:rPr>
          <w:lang w:val="fr-FR"/>
        </w:rPr>
      </w:pPr>
      <w:r w:rsidRPr="004B2AF9">
        <w:rPr>
          <w:rFonts w:eastAsia="SimSun"/>
          <w:lang w:val="fr-FR" w:eastAsia="zh-CN"/>
        </w:rPr>
        <w:t>5.</w:t>
      </w:r>
      <w:r w:rsidRPr="004B2AF9">
        <w:rPr>
          <w:rFonts w:eastAsia="SimSun"/>
          <w:lang w:val="fr-FR" w:eastAsia="zh-CN"/>
        </w:rPr>
        <w:tab/>
      </w:r>
      <w:r w:rsidRPr="004B2AF9">
        <w:rPr>
          <w:i/>
          <w:lang w:val="fr-FR"/>
        </w:rPr>
        <w:t>Annexe 2, appendice 1, deuxième paragraphe</w:t>
      </w:r>
    </w:p>
    <w:p w:rsidR="00D651C4" w:rsidRPr="004B2AF9" w:rsidRDefault="00D651C4" w:rsidP="009A5109">
      <w:pPr>
        <w:spacing w:after="120"/>
        <w:ind w:left="1134" w:right="1134"/>
        <w:jc w:val="both"/>
        <w:rPr>
          <w:lang w:val="fr-FR"/>
        </w:rPr>
      </w:pPr>
      <w:r w:rsidRPr="004B2AF9">
        <w:rPr>
          <w:i/>
          <w:lang w:val="fr-FR"/>
        </w:rPr>
        <w:t>La rectification du titre de la norme EN</w:t>
      </w:r>
      <w:r w:rsidR="0040110F">
        <w:rPr>
          <w:i/>
          <w:lang w:val="fr-FR"/>
        </w:rPr>
        <w:t> </w:t>
      </w:r>
      <w:r w:rsidRPr="004B2AF9">
        <w:rPr>
          <w:i/>
          <w:lang w:val="fr-FR"/>
        </w:rPr>
        <w:t>13486 ne concerne pas la version française. Dans la version russe, modifier le titre de la norme EN</w:t>
      </w:r>
      <w:r w:rsidR="0040110F">
        <w:rPr>
          <w:i/>
          <w:lang w:val="fr-FR"/>
        </w:rPr>
        <w:t> </w:t>
      </w:r>
      <w:r w:rsidRPr="004B2AF9">
        <w:rPr>
          <w:i/>
          <w:lang w:val="fr-FR"/>
        </w:rPr>
        <w:t xml:space="preserve">13486 </w:t>
      </w:r>
      <w:r w:rsidRPr="004B2AF9">
        <w:rPr>
          <w:lang w:val="fr-FR"/>
        </w:rPr>
        <w:t>comme suit</w:t>
      </w:r>
      <w:r w:rsidR="009A5109">
        <w:rPr>
          <w:lang w:val="fr-FR"/>
        </w:rPr>
        <w:t> </w:t>
      </w:r>
      <w:r w:rsidRPr="004B2AF9">
        <w:rPr>
          <w:lang w:val="fr-FR"/>
        </w:rPr>
        <w:t>:</w:t>
      </w:r>
    </w:p>
    <w:p w:rsidR="00D651C4" w:rsidRPr="004B2AF9" w:rsidRDefault="00D651C4" w:rsidP="00D651C4">
      <w:pPr>
        <w:spacing w:after="120"/>
        <w:ind w:left="1134" w:right="1134"/>
        <w:jc w:val="both"/>
        <w:rPr>
          <w:lang w:val="fr-FR"/>
        </w:rPr>
      </w:pPr>
      <w:r w:rsidRPr="004B2AF9">
        <w:rPr>
          <w:lang w:val="fr-FR"/>
        </w:rPr>
        <w:t>«</w:t>
      </w:r>
      <w:r w:rsidR="00FB6FC9">
        <w:rPr>
          <w:lang w:val="fr-FR"/>
        </w:rPr>
        <w:t> </w:t>
      </w:r>
      <w:r w:rsidRPr="004B2AF9">
        <w:rPr>
          <w:lang w:val="fr-FR"/>
        </w:rPr>
        <w:t>Прибор проверяется уполномоченной организацией в соответствии со стандартом EN 13486 (Термографы и термометры для</w:t>
      </w:r>
      <w:r w:rsidRPr="004B2AF9">
        <w:rPr>
          <w:b/>
          <w:i/>
          <w:lang w:val="fr-FR"/>
        </w:rPr>
        <w:t xml:space="preserve"> </w:t>
      </w:r>
      <w:r w:rsidRPr="004B2AF9">
        <w:rPr>
          <w:lang w:val="fr-FR"/>
        </w:rPr>
        <w:t>транспортировки, хранения и распределения охлажденных, замороженных и глубокой заморозки продуктов питания и мороженого – Периодические поверки).</w:t>
      </w:r>
      <w:r w:rsidR="00FB6FC9">
        <w:rPr>
          <w:lang w:val="fr-FR"/>
        </w:rPr>
        <w:t> </w:t>
      </w:r>
      <w:r w:rsidRPr="004B2AF9">
        <w:rPr>
          <w:lang w:val="fr-FR"/>
        </w:rPr>
        <w:t>».</w:t>
      </w:r>
    </w:p>
    <w:p w:rsidR="00D651C4" w:rsidRPr="004B2AF9" w:rsidRDefault="00D651C4" w:rsidP="00D651C4">
      <w:pPr>
        <w:spacing w:after="120"/>
        <w:ind w:left="1134" w:right="1134"/>
        <w:jc w:val="both"/>
        <w:rPr>
          <w:lang w:val="fr-FR"/>
        </w:rPr>
      </w:pPr>
      <w:r w:rsidRPr="004B2AF9">
        <w:rPr>
          <w:lang w:val="fr-FR"/>
        </w:rPr>
        <w:t>6.</w:t>
      </w:r>
      <w:r w:rsidRPr="004B2AF9">
        <w:rPr>
          <w:lang w:val="fr-FR"/>
        </w:rPr>
        <w:tab/>
      </w:r>
      <w:r w:rsidRPr="004B2AF9">
        <w:rPr>
          <w:i/>
          <w:lang w:val="fr-FR"/>
        </w:rPr>
        <w:t>Annexe 2, appendice 1, troisième paragraphe</w:t>
      </w:r>
    </w:p>
    <w:p w:rsidR="00D651C4" w:rsidRPr="004B2AF9" w:rsidRDefault="009A5109" w:rsidP="00D651C4">
      <w:pPr>
        <w:tabs>
          <w:tab w:val="left" w:pos="1134"/>
        </w:tabs>
        <w:spacing w:after="120"/>
        <w:ind w:left="1134" w:right="1134"/>
        <w:jc w:val="both"/>
        <w:rPr>
          <w:i/>
          <w:lang w:val="fr-FR"/>
        </w:rPr>
      </w:pPr>
      <w:r>
        <w:rPr>
          <w:lang w:val="fr-FR"/>
        </w:rPr>
        <w:t>(</w:t>
      </w:r>
      <w:r w:rsidR="00D651C4" w:rsidRPr="004B2AF9">
        <w:rPr>
          <w:i/>
          <w:lang w:val="fr-FR"/>
        </w:rPr>
        <w:t>Ne concerne pas la version anglaise</w:t>
      </w:r>
      <w:r>
        <w:rPr>
          <w:lang w:val="fr-FR"/>
        </w:rPr>
        <w:t>)</w:t>
      </w:r>
    </w:p>
    <w:p w:rsidR="00D651C4" w:rsidRPr="004B2AF9" w:rsidRDefault="00D651C4" w:rsidP="00D651C4">
      <w:pPr>
        <w:spacing w:after="120"/>
        <w:ind w:left="1134" w:right="1134"/>
        <w:jc w:val="both"/>
        <w:rPr>
          <w:lang w:val="fr-FR"/>
        </w:rPr>
      </w:pPr>
      <w:r w:rsidRPr="004B2AF9">
        <w:rPr>
          <w:rFonts w:eastAsia="SimSun"/>
          <w:lang w:val="fr-FR" w:eastAsia="zh-CN"/>
        </w:rPr>
        <w:t>7.</w:t>
      </w:r>
      <w:r w:rsidRPr="004B2AF9">
        <w:rPr>
          <w:rFonts w:eastAsia="SimSun"/>
          <w:lang w:val="fr-FR" w:eastAsia="zh-CN"/>
        </w:rPr>
        <w:tab/>
      </w:r>
      <w:r w:rsidRPr="004B2AF9">
        <w:rPr>
          <w:i/>
          <w:lang w:val="fr-FR"/>
        </w:rPr>
        <w:t>Annexe 2, appendice 1, troisième paragraphe</w:t>
      </w:r>
    </w:p>
    <w:p w:rsidR="00D651C4" w:rsidRPr="004B2AF9" w:rsidRDefault="00D651C4" w:rsidP="009A5109">
      <w:pPr>
        <w:spacing w:after="120"/>
        <w:ind w:left="1134" w:right="1134"/>
        <w:jc w:val="both"/>
        <w:rPr>
          <w:lang w:val="fr-FR"/>
        </w:rPr>
      </w:pPr>
      <w:r w:rsidRPr="004B2AF9">
        <w:rPr>
          <w:i/>
          <w:lang w:val="fr-FR"/>
        </w:rPr>
        <w:t>La rectif</w:t>
      </w:r>
      <w:r w:rsidR="00FB6FC9">
        <w:rPr>
          <w:i/>
          <w:lang w:val="fr-FR"/>
        </w:rPr>
        <w:t>ication du titre de la norme EN </w:t>
      </w:r>
      <w:r w:rsidRPr="004B2AF9">
        <w:rPr>
          <w:i/>
          <w:lang w:val="fr-FR"/>
        </w:rPr>
        <w:t>12830 ne concerne pas la version française. Dans la version russe, modifier le titre de la norme EN</w:t>
      </w:r>
      <w:r w:rsidR="00FB6FC9">
        <w:rPr>
          <w:i/>
          <w:lang w:val="fr-FR"/>
        </w:rPr>
        <w:t> </w:t>
      </w:r>
      <w:r w:rsidRPr="004B2AF9">
        <w:rPr>
          <w:i/>
          <w:lang w:val="fr-FR"/>
        </w:rPr>
        <w:t xml:space="preserve">12830 </w:t>
      </w:r>
      <w:r w:rsidRPr="004B2AF9">
        <w:rPr>
          <w:lang w:val="fr-FR"/>
        </w:rPr>
        <w:t>pour lire comme suit</w:t>
      </w:r>
      <w:r w:rsidR="00FB6FC9">
        <w:rPr>
          <w:lang w:val="fr-FR"/>
        </w:rPr>
        <w:t> </w:t>
      </w:r>
      <w:r w:rsidRPr="004B2AF9">
        <w:rPr>
          <w:lang w:val="fr-FR"/>
        </w:rPr>
        <w:t>:</w:t>
      </w:r>
    </w:p>
    <w:p w:rsidR="00D651C4" w:rsidRPr="004B2AF9" w:rsidRDefault="00D651C4" w:rsidP="00D651C4">
      <w:pPr>
        <w:spacing w:after="120"/>
        <w:ind w:left="1134" w:right="1134"/>
        <w:jc w:val="both"/>
        <w:rPr>
          <w:lang w:val="fr-FR"/>
        </w:rPr>
      </w:pPr>
      <w:r w:rsidRPr="004B2AF9">
        <w:rPr>
          <w:lang w:val="fr-FR"/>
        </w:rPr>
        <w:t>«</w:t>
      </w:r>
      <w:r w:rsidR="00FB6FC9">
        <w:rPr>
          <w:lang w:val="fr-FR"/>
        </w:rPr>
        <w:t> </w:t>
      </w:r>
      <w:r w:rsidRPr="004B2AF9">
        <w:rPr>
          <w:lang w:val="fr-FR"/>
        </w:rPr>
        <w:t>Прибор должен соответствовать стандарту EN 12830 Регистраторы температурные для транспортировки, хранения и распределения охлажденных, замороженных, глубокозамороженных/быстрозамороженных пищевых продуктов и мороженого – Испытания, эксплуатационные характеристики и пригодность к применению).</w:t>
      </w:r>
      <w:r w:rsidR="00FB6FC9">
        <w:rPr>
          <w:lang w:val="fr-FR"/>
        </w:rPr>
        <w:t> </w:t>
      </w:r>
      <w:r w:rsidRPr="004B2AF9">
        <w:rPr>
          <w:lang w:val="fr-FR"/>
        </w:rPr>
        <w:t>».</w:t>
      </w:r>
      <w:bookmarkStart w:id="136" w:name="_Toc401568284"/>
      <w:bookmarkStart w:id="137" w:name="_Toc401568689"/>
    </w:p>
    <w:p w:rsidR="00FB6FC9" w:rsidRDefault="00D651C4" w:rsidP="00FB6FC9">
      <w:pPr>
        <w:pStyle w:val="HChG"/>
        <w:rPr>
          <w:lang w:val="fr-FR"/>
        </w:rPr>
      </w:pPr>
      <w:r w:rsidRPr="004B2AF9">
        <w:rPr>
          <w:lang w:val="fr-FR"/>
        </w:rPr>
        <w:br w:type="page"/>
      </w:r>
      <w:bookmarkStart w:id="138" w:name="_Toc432670215"/>
      <w:r w:rsidRPr="004B2AF9">
        <w:rPr>
          <w:lang w:val="fr-FR"/>
        </w:rPr>
        <w:t>Annexe III</w:t>
      </w:r>
      <w:bookmarkEnd w:id="136"/>
      <w:bookmarkEnd w:id="137"/>
      <w:bookmarkEnd w:id="138"/>
    </w:p>
    <w:p w:rsidR="00D651C4" w:rsidRPr="004B2AF9" w:rsidRDefault="00D651C4" w:rsidP="00FB6FC9">
      <w:pPr>
        <w:pStyle w:val="HChG"/>
        <w:rPr>
          <w:lang w:val="fr-FR"/>
        </w:rPr>
      </w:pPr>
      <w:r w:rsidRPr="004B2AF9">
        <w:rPr>
          <w:lang w:val="fr-FR"/>
        </w:rPr>
        <w:tab/>
      </w:r>
      <w:r w:rsidRPr="004B2AF9">
        <w:rPr>
          <w:lang w:val="fr-FR"/>
        </w:rPr>
        <w:tab/>
        <w:t>Ajouts au Manuel ATP</w:t>
      </w:r>
    </w:p>
    <w:p w:rsidR="00D651C4" w:rsidRPr="004B2AF9" w:rsidRDefault="00D651C4" w:rsidP="00D651C4">
      <w:pPr>
        <w:keepNext/>
        <w:keepLines/>
        <w:spacing w:after="120"/>
        <w:ind w:left="1134" w:right="1134"/>
        <w:jc w:val="both"/>
        <w:rPr>
          <w:rFonts w:eastAsia="Calibri"/>
          <w:lang w:val="fr-FR"/>
        </w:rPr>
      </w:pPr>
      <w:r w:rsidRPr="004B2AF9">
        <w:rPr>
          <w:rFonts w:eastAsia="Calibri"/>
          <w:lang w:val="fr-FR"/>
        </w:rPr>
        <w:t>1.</w:t>
      </w:r>
      <w:r w:rsidRPr="004B2AF9">
        <w:rPr>
          <w:rFonts w:eastAsia="Calibri"/>
          <w:lang w:val="fr-FR"/>
        </w:rPr>
        <w:tab/>
      </w:r>
      <w:r w:rsidRPr="004B2AF9">
        <w:rPr>
          <w:lang w:val="fr-FR"/>
        </w:rPr>
        <w:t>Ajouter dans le Manuel ATP les croquis relatifs aux trois méthodes de mesure de la surface extérieure des fourgons (ces croquis ne sont pas intégrés au présent rapport en raison de leur volume).</w:t>
      </w:r>
    </w:p>
    <w:p w:rsidR="00D651C4" w:rsidRPr="004B2AF9" w:rsidRDefault="00D651C4" w:rsidP="00D651C4">
      <w:pPr>
        <w:spacing w:after="120"/>
        <w:ind w:left="1134" w:right="1134"/>
        <w:jc w:val="both"/>
        <w:rPr>
          <w:rFonts w:eastAsia="Calibri"/>
          <w:lang w:val="fr-FR"/>
        </w:rPr>
      </w:pPr>
      <w:r w:rsidRPr="004B2AF9">
        <w:rPr>
          <w:rFonts w:eastAsia="Calibri"/>
          <w:lang w:val="fr-FR"/>
        </w:rPr>
        <w:t>(ECE/TRANS/WP.11/233, par. 81)</w:t>
      </w:r>
    </w:p>
    <w:p w:rsidR="00D651C4" w:rsidRPr="004B2AF9" w:rsidRDefault="00D651C4" w:rsidP="00D651C4">
      <w:pPr>
        <w:spacing w:after="120"/>
        <w:ind w:left="1134" w:right="1134"/>
        <w:jc w:val="both"/>
        <w:rPr>
          <w:rFonts w:eastAsia="Calibri"/>
          <w:lang w:val="fr-FR"/>
        </w:rPr>
      </w:pPr>
      <w:r w:rsidRPr="004B2AF9">
        <w:rPr>
          <w:rFonts w:eastAsia="Calibri"/>
          <w:lang w:val="fr-FR"/>
        </w:rPr>
        <w:t>2.</w:t>
      </w:r>
      <w:r w:rsidRPr="004B2AF9">
        <w:rPr>
          <w:rFonts w:eastAsia="Calibri"/>
          <w:lang w:val="fr-FR"/>
        </w:rPr>
        <w:tab/>
      </w:r>
      <w:r w:rsidRPr="004B2AF9">
        <w:rPr>
          <w:lang w:val="fr-FR"/>
        </w:rPr>
        <w:t>Ajouter les nouvelles observations suivantes à l</w:t>
      </w:r>
      <w:r w:rsidR="0006343E">
        <w:rPr>
          <w:lang w:val="fr-FR"/>
        </w:rPr>
        <w:t>’</w:t>
      </w:r>
      <w:r w:rsidRPr="004B2AF9">
        <w:rPr>
          <w:lang w:val="fr-FR"/>
        </w:rPr>
        <w:t>alinéa</w:t>
      </w:r>
      <w:r w:rsidR="008F669E">
        <w:rPr>
          <w:lang w:val="fr-FR"/>
        </w:rPr>
        <w:t> </w:t>
      </w:r>
      <w:r w:rsidRPr="004B2AF9">
        <w:rPr>
          <w:lang w:val="fr-FR"/>
        </w:rPr>
        <w:t>c) i) du paragraphe 6 de l</w:t>
      </w:r>
      <w:r w:rsidR="0006343E">
        <w:rPr>
          <w:lang w:val="fr-FR"/>
        </w:rPr>
        <w:t>’</w:t>
      </w:r>
      <w:r w:rsidRPr="004B2AF9">
        <w:rPr>
          <w:lang w:val="fr-FR"/>
        </w:rPr>
        <w:t>appendice 1 de l</w:t>
      </w:r>
      <w:r w:rsidR="0006343E">
        <w:rPr>
          <w:lang w:val="fr-FR"/>
        </w:rPr>
        <w:t>’</w:t>
      </w:r>
      <w:r w:rsidRPr="004B2AF9">
        <w:rPr>
          <w:lang w:val="fr-FR"/>
        </w:rPr>
        <w:t>annexe 1 du Manuel ATP</w:t>
      </w:r>
      <w:r w:rsidR="00FB6FC9">
        <w:rPr>
          <w:rFonts w:eastAsia="Calibri"/>
          <w:lang w:val="fr-FR"/>
        </w:rPr>
        <w:t> :</w:t>
      </w:r>
    </w:p>
    <w:p w:rsidR="00D651C4" w:rsidRPr="004B2AF9" w:rsidRDefault="00D651C4" w:rsidP="00D651C4">
      <w:pPr>
        <w:spacing w:after="120"/>
        <w:ind w:left="1134" w:right="1134"/>
        <w:jc w:val="both"/>
        <w:rPr>
          <w:rFonts w:eastAsia="Calibri"/>
          <w:lang w:val="fr-FR"/>
        </w:rPr>
      </w:pPr>
      <w:r w:rsidRPr="004B2AF9">
        <w:rPr>
          <w:lang w:val="fr-FR"/>
        </w:rPr>
        <w:t>«</w:t>
      </w:r>
      <w:r w:rsidR="00FB6FC9">
        <w:rPr>
          <w:lang w:val="fr-FR"/>
        </w:rPr>
        <w:t> </w:t>
      </w:r>
      <w:r w:rsidRPr="004B2AF9">
        <w:rPr>
          <w:lang w:val="fr-FR"/>
        </w:rPr>
        <w:t xml:space="preserve">Observation </w:t>
      </w:r>
      <w:r w:rsidRPr="004B2AF9">
        <w:rPr>
          <w:rFonts w:eastAsia="Calibri"/>
          <w:lang w:val="fr-FR"/>
        </w:rPr>
        <w:t>1</w:t>
      </w:r>
      <w:r w:rsidR="00FB6FC9">
        <w:rPr>
          <w:rFonts w:eastAsia="Calibri"/>
          <w:lang w:val="fr-FR"/>
        </w:rPr>
        <w:t> </w:t>
      </w:r>
      <w:r w:rsidRPr="004B2AF9">
        <w:rPr>
          <w:rFonts w:eastAsia="Calibri"/>
          <w:lang w:val="fr-FR"/>
        </w:rPr>
        <w:t>:</w:t>
      </w:r>
    </w:p>
    <w:p w:rsidR="00D651C4" w:rsidRPr="004B2AF9" w:rsidRDefault="00FB6FC9" w:rsidP="00D651C4">
      <w:pPr>
        <w:spacing w:after="120"/>
        <w:ind w:left="1134" w:right="1134"/>
        <w:jc w:val="both"/>
        <w:rPr>
          <w:rFonts w:eastAsia="Calibri"/>
          <w:i/>
          <w:lang w:val="fr-FR"/>
        </w:rPr>
      </w:pPr>
      <w:r w:rsidRPr="00FB6FC9">
        <w:rPr>
          <w:rFonts w:eastAsia="Calibri"/>
          <w:lang w:val="en-GB"/>
        </w:rPr>
        <w:t>“</w:t>
      </w:r>
      <w:r w:rsidR="00D651C4" w:rsidRPr="004B2AF9">
        <w:rPr>
          <w:rFonts w:eastAsia="Calibri"/>
          <w:i/>
          <w:lang w:val="fr-FR"/>
        </w:rPr>
        <w:t>Modifications mineures et limitées</w:t>
      </w:r>
      <w:r w:rsidRPr="00FB6FC9">
        <w:rPr>
          <w:rFonts w:eastAsia="Calibri"/>
          <w:lang w:val="en-GB"/>
        </w:rPr>
        <w:t>”</w:t>
      </w:r>
      <w:r w:rsidR="00D651C4">
        <w:rPr>
          <w:rFonts w:eastAsia="Calibri"/>
          <w:i/>
          <w:lang w:val="fr-FR"/>
        </w:rPr>
        <w:t xml:space="preserve"> désigne</w:t>
      </w:r>
      <w:r w:rsidR="00D651C4" w:rsidRPr="004B2AF9">
        <w:rPr>
          <w:rFonts w:eastAsia="Calibri"/>
          <w:i/>
          <w:lang w:val="fr-FR"/>
        </w:rPr>
        <w:t xml:space="preserve"> dans ce contexte l</w:t>
      </w:r>
      <w:r w:rsidR="0006343E">
        <w:rPr>
          <w:rFonts w:eastAsia="Calibri"/>
          <w:i/>
          <w:lang w:val="fr-FR"/>
        </w:rPr>
        <w:t>’</w:t>
      </w:r>
      <w:r w:rsidR="00D651C4" w:rsidRPr="004B2AF9">
        <w:rPr>
          <w:rFonts w:eastAsia="Calibri"/>
          <w:i/>
          <w:lang w:val="fr-FR"/>
        </w:rPr>
        <w:t>ajout d</w:t>
      </w:r>
      <w:r w:rsidR="0006343E">
        <w:rPr>
          <w:rFonts w:eastAsia="Calibri"/>
          <w:i/>
          <w:lang w:val="fr-FR"/>
        </w:rPr>
        <w:t>’</w:t>
      </w:r>
      <w:r w:rsidR="00D651C4" w:rsidRPr="004B2AF9">
        <w:rPr>
          <w:rFonts w:eastAsia="Calibri"/>
          <w:i/>
          <w:lang w:val="fr-FR"/>
        </w:rPr>
        <w:t>accessoires tels que barres d</w:t>
      </w:r>
      <w:r w:rsidR="0006343E">
        <w:rPr>
          <w:rFonts w:eastAsia="Calibri"/>
          <w:i/>
          <w:lang w:val="fr-FR"/>
        </w:rPr>
        <w:t>’</w:t>
      </w:r>
      <w:r w:rsidR="00D651C4" w:rsidRPr="004B2AF9">
        <w:rPr>
          <w:rFonts w:eastAsia="Calibri"/>
          <w:i/>
          <w:lang w:val="fr-FR"/>
        </w:rPr>
        <w:t>arrimage de la cargaison, décrochements pour</w:t>
      </w:r>
      <w:r w:rsidR="00D651C4">
        <w:rPr>
          <w:rFonts w:eastAsia="Calibri"/>
          <w:i/>
          <w:lang w:val="fr-FR"/>
        </w:rPr>
        <w:t xml:space="preserve"> le</w:t>
      </w:r>
      <w:r w:rsidR="00D651C4" w:rsidRPr="004B2AF9">
        <w:rPr>
          <w:rFonts w:eastAsia="Calibri"/>
          <w:i/>
          <w:lang w:val="fr-FR"/>
        </w:rPr>
        <w:t xml:space="preserve"> passage des roues, etc.</w:t>
      </w:r>
      <w:r w:rsidR="00D651C4">
        <w:rPr>
          <w:rFonts w:eastAsia="Calibri"/>
          <w:i/>
          <w:lang w:val="fr-FR"/>
        </w:rPr>
        <w:t>,</w:t>
      </w:r>
      <w:r w:rsidR="00D651C4" w:rsidRPr="004B2AF9">
        <w:rPr>
          <w:rFonts w:eastAsia="Calibri"/>
          <w:i/>
          <w:lang w:val="fr-FR"/>
        </w:rPr>
        <w:t xml:space="preserve"> qui réduisent localement la quantité et l</w:t>
      </w:r>
      <w:r w:rsidR="0006343E">
        <w:rPr>
          <w:rFonts w:eastAsia="Calibri"/>
          <w:i/>
          <w:lang w:val="fr-FR"/>
        </w:rPr>
        <w:t>’</w:t>
      </w:r>
      <w:r w:rsidR="00D651C4" w:rsidRPr="004B2AF9">
        <w:rPr>
          <w:rFonts w:eastAsia="Calibri"/>
          <w:i/>
          <w:lang w:val="fr-FR"/>
        </w:rPr>
        <w:t>épaisseur de l</w:t>
      </w:r>
      <w:r w:rsidR="0006343E">
        <w:rPr>
          <w:rFonts w:eastAsia="Calibri"/>
          <w:i/>
          <w:lang w:val="fr-FR"/>
        </w:rPr>
        <w:t>’</w:t>
      </w:r>
      <w:r w:rsidR="00D651C4" w:rsidRPr="004B2AF9">
        <w:rPr>
          <w:rFonts w:eastAsia="Calibri"/>
          <w:i/>
          <w:lang w:val="fr-FR"/>
        </w:rPr>
        <w:t>isolant par rapport à l</w:t>
      </w:r>
      <w:r w:rsidR="0006343E">
        <w:rPr>
          <w:rFonts w:eastAsia="Calibri"/>
          <w:i/>
          <w:lang w:val="fr-FR"/>
        </w:rPr>
        <w:t>’</w:t>
      </w:r>
      <w:r w:rsidR="00D651C4" w:rsidRPr="004B2AF9">
        <w:rPr>
          <w:rFonts w:eastAsia="Calibri"/>
          <w:i/>
          <w:lang w:val="fr-FR"/>
        </w:rPr>
        <w:t>engin de référence. La réduction d</w:t>
      </w:r>
      <w:r w:rsidR="0006343E">
        <w:rPr>
          <w:rFonts w:eastAsia="Calibri"/>
          <w:i/>
          <w:lang w:val="fr-FR"/>
        </w:rPr>
        <w:t>’</w:t>
      </w:r>
      <w:r w:rsidR="00D651C4" w:rsidRPr="004B2AF9">
        <w:rPr>
          <w:rFonts w:eastAsia="Calibri"/>
          <w:i/>
          <w:lang w:val="fr-FR"/>
        </w:rPr>
        <w:t>épaisseur d</w:t>
      </w:r>
      <w:r w:rsidR="0006343E">
        <w:rPr>
          <w:rFonts w:eastAsia="Calibri"/>
          <w:i/>
          <w:lang w:val="fr-FR"/>
        </w:rPr>
        <w:t>’</w:t>
      </w:r>
      <w:r w:rsidR="00D651C4" w:rsidRPr="004B2AF9">
        <w:rPr>
          <w:rFonts w:eastAsia="Calibri"/>
          <w:i/>
          <w:lang w:val="fr-FR"/>
        </w:rPr>
        <w:t>ensemble de l</w:t>
      </w:r>
      <w:r w:rsidR="0006343E">
        <w:rPr>
          <w:rFonts w:eastAsia="Calibri"/>
          <w:i/>
          <w:lang w:val="fr-FR"/>
        </w:rPr>
        <w:t>’</w:t>
      </w:r>
      <w:r w:rsidR="00D651C4" w:rsidRPr="004B2AF9">
        <w:rPr>
          <w:rFonts w:eastAsia="Calibri"/>
          <w:i/>
          <w:lang w:val="fr-FR"/>
        </w:rPr>
        <w:t>isolant par l</w:t>
      </w:r>
      <w:r w:rsidR="0006343E">
        <w:rPr>
          <w:rFonts w:eastAsia="Calibri"/>
          <w:i/>
          <w:lang w:val="fr-FR"/>
        </w:rPr>
        <w:t>’</w:t>
      </w:r>
      <w:r w:rsidR="00D651C4" w:rsidRPr="004B2AF9">
        <w:rPr>
          <w:rFonts w:eastAsia="Calibri"/>
          <w:i/>
          <w:lang w:val="fr-FR"/>
        </w:rPr>
        <w:t>ajout d</w:t>
      </w:r>
      <w:r w:rsidR="0006343E">
        <w:rPr>
          <w:rFonts w:eastAsia="Calibri"/>
          <w:i/>
          <w:lang w:val="fr-FR"/>
        </w:rPr>
        <w:t>’</w:t>
      </w:r>
      <w:r w:rsidR="00D651C4" w:rsidRPr="004B2AF9">
        <w:rPr>
          <w:rFonts w:eastAsia="Calibri"/>
          <w:i/>
          <w:lang w:val="fr-FR"/>
        </w:rPr>
        <w:t>u</w:t>
      </w:r>
      <w:r w:rsidR="00D651C4">
        <w:rPr>
          <w:rFonts w:eastAsia="Calibri"/>
          <w:i/>
          <w:lang w:val="fr-FR"/>
        </w:rPr>
        <w:t>ne paroi entière ou d</w:t>
      </w:r>
      <w:r w:rsidR="0006343E">
        <w:rPr>
          <w:rFonts w:eastAsia="Calibri"/>
          <w:i/>
          <w:lang w:val="fr-FR"/>
        </w:rPr>
        <w:t>’</w:t>
      </w:r>
      <w:r w:rsidR="00D651C4">
        <w:rPr>
          <w:rFonts w:eastAsia="Calibri"/>
          <w:i/>
          <w:lang w:val="fr-FR"/>
        </w:rPr>
        <w:t>une porte</w:t>
      </w:r>
      <w:r w:rsidR="00D651C4" w:rsidRPr="004B2AF9">
        <w:rPr>
          <w:rFonts w:eastAsia="Calibri"/>
          <w:i/>
          <w:lang w:val="fr-FR"/>
        </w:rPr>
        <w:t xml:space="preserve"> ne doit pas être considérée comme une modification mineure et limitée.</w:t>
      </w:r>
    </w:p>
    <w:p w:rsidR="00D651C4" w:rsidRPr="004B2AF9" w:rsidRDefault="00D651C4" w:rsidP="00D651C4">
      <w:pPr>
        <w:spacing w:after="120"/>
        <w:ind w:left="1134" w:right="1134"/>
        <w:jc w:val="both"/>
        <w:rPr>
          <w:rFonts w:eastAsia="Calibri"/>
          <w:lang w:val="fr-FR"/>
        </w:rPr>
      </w:pPr>
      <w:r w:rsidRPr="004B2AF9">
        <w:rPr>
          <w:rFonts w:eastAsia="Calibri"/>
          <w:lang w:val="fr-FR"/>
        </w:rPr>
        <w:t>Observation 2</w:t>
      </w:r>
      <w:r w:rsidR="00965642">
        <w:rPr>
          <w:rFonts w:eastAsia="Calibri"/>
          <w:lang w:val="fr-FR"/>
        </w:rPr>
        <w:t> </w:t>
      </w:r>
      <w:r w:rsidRPr="004B2AF9">
        <w:rPr>
          <w:rFonts w:eastAsia="Calibri"/>
          <w:lang w:val="fr-FR"/>
        </w:rPr>
        <w:t>:</w:t>
      </w:r>
    </w:p>
    <w:p w:rsidR="00D651C4" w:rsidRPr="004B2AF9" w:rsidRDefault="00D651C4" w:rsidP="00D651C4">
      <w:pPr>
        <w:spacing w:after="120"/>
        <w:ind w:left="1134" w:right="1134"/>
        <w:jc w:val="both"/>
        <w:rPr>
          <w:rFonts w:eastAsia="Calibri"/>
          <w:i/>
          <w:lang w:val="fr-FR"/>
        </w:rPr>
      </w:pPr>
      <w:r w:rsidRPr="004B2AF9">
        <w:rPr>
          <w:rFonts w:eastAsia="Calibri"/>
          <w:i/>
          <w:lang w:val="fr-FR"/>
        </w:rPr>
        <w:t>Le volume total d</w:t>
      </w:r>
      <w:r w:rsidR="0006343E">
        <w:rPr>
          <w:rFonts w:eastAsia="Calibri"/>
          <w:i/>
          <w:lang w:val="fr-FR"/>
        </w:rPr>
        <w:t>’</w:t>
      </w:r>
      <w:r w:rsidRPr="004B2AF9">
        <w:rPr>
          <w:rFonts w:eastAsia="Calibri"/>
          <w:i/>
          <w:lang w:val="fr-FR"/>
        </w:rPr>
        <w:t>isolant doit être calculé par la station d</w:t>
      </w:r>
      <w:r w:rsidR="0006343E">
        <w:rPr>
          <w:rFonts w:eastAsia="Calibri"/>
          <w:i/>
          <w:lang w:val="fr-FR"/>
        </w:rPr>
        <w:t>’</w:t>
      </w:r>
      <w:r w:rsidRPr="004B2AF9">
        <w:rPr>
          <w:rFonts w:eastAsia="Calibri"/>
          <w:i/>
          <w:lang w:val="fr-FR"/>
        </w:rPr>
        <w:t xml:space="preserve">essai </w:t>
      </w:r>
      <w:r>
        <w:rPr>
          <w:rFonts w:eastAsia="Calibri"/>
          <w:i/>
          <w:lang w:val="fr-FR"/>
        </w:rPr>
        <w:t>et consigné</w:t>
      </w:r>
      <w:r w:rsidRPr="004B2AF9">
        <w:rPr>
          <w:rFonts w:eastAsia="Calibri"/>
          <w:i/>
          <w:lang w:val="fr-FR"/>
        </w:rPr>
        <w:t xml:space="preserve"> dans le procès-verbal d</w:t>
      </w:r>
      <w:r w:rsidR="0006343E">
        <w:rPr>
          <w:rFonts w:eastAsia="Calibri"/>
          <w:i/>
          <w:lang w:val="fr-FR"/>
        </w:rPr>
        <w:t>’</w:t>
      </w:r>
      <w:r w:rsidRPr="004B2AF9">
        <w:rPr>
          <w:rFonts w:eastAsia="Calibri"/>
          <w:i/>
          <w:lang w:val="fr-FR"/>
        </w:rPr>
        <w:t xml:space="preserve">essai comme étant le </w:t>
      </w:r>
      <w:r w:rsidR="00965642" w:rsidRPr="00FB6FC9">
        <w:rPr>
          <w:rFonts w:eastAsia="Calibri"/>
          <w:lang w:val="en-GB"/>
        </w:rPr>
        <w:t>“</w:t>
      </w:r>
      <w:r w:rsidRPr="004B2AF9">
        <w:rPr>
          <w:rFonts w:eastAsia="Calibri"/>
          <w:i/>
          <w:lang w:val="fr-FR"/>
        </w:rPr>
        <w:t>volume total d</w:t>
      </w:r>
      <w:r w:rsidR="0006343E">
        <w:rPr>
          <w:rFonts w:eastAsia="Calibri"/>
          <w:i/>
          <w:lang w:val="fr-FR"/>
        </w:rPr>
        <w:t>’</w:t>
      </w:r>
      <w:r w:rsidRPr="004B2AF9">
        <w:rPr>
          <w:rFonts w:eastAsia="Calibri"/>
          <w:i/>
          <w:lang w:val="fr-FR"/>
        </w:rPr>
        <w:t>isolant (de référence)</w:t>
      </w:r>
      <w:r w:rsidR="00965642" w:rsidRPr="00FB6FC9">
        <w:rPr>
          <w:rFonts w:eastAsia="Calibri"/>
          <w:lang w:val="en-GB"/>
        </w:rPr>
        <w:t>”</w:t>
      </w:r>
      <w:r w:rsidRPr="004B2AF9">
        <w:rPr>
          <w:rFonts w:eastAsia="Calibri"/>
          <w:i/>
          <w:lang w:val="fr-FR"/>
        </w:rPr>
        <w:t>. Il doit être égal au volume extérieur de la caisse isotherme dont a été déduite l</w:t>
      </w:r>
      <w:r w:rsidR="0006343E">
        <w:rPr>
          <w:rFonts w:eastAsia="Calibri"/>
          <w:i/>
          <w:lang w:val="fr-FR"/>
        </w:rPr>
        <w:t>’</w:t>
      </w:r>
      <w:r w:rsidRPr="004B2AF9">
        <w:rPr>
          <w:rFonts w:eastAsia="Calibri"/>
          <w:i/>
          <w:lang w:val="fr-FR"/>
        </w:rPr>
        <w:t>épaisseur des matériaux de la surface extérieure moins le volume intérieur de la caisse isotherme auquel a été ajoutée l</w:t>
      </w:r>
      <w:r w:rsidR="0006343E">
        <w:rPr>
          <w:rFonts w:eastAsia="Calibri"/>
          <w:i/>
          <w:lang w:val="fr-FR"/>
        </w:rPr>
        <w:t>’</w:t>
      </w:r>
      <w:r w:rsidRPr="004B2AF9">
        <w:rPr>
          <w:rFonts w:eastAsia="Calibri"/>
          <w:i/>
          <w:lang w:val="fr-FR"/>
        </w:rPr>
        <w:t>épaisseur des maté</w:t>
      </w:r>
      <w:r w:rsidR="00FB6FC9">
        <w:rPr>
          <w:rFonts w:eastAsia="Calibri"/>
          <w:i/>
          <w:lang w:val="fr-FR"/>
        </w:rPr>
        <w:t>riaux de la surface intérieure.</w:t>
      </w:r>
    </w:p>
    <w:p w:rsidR="00D651C4" w:rsidRPr="004B2AF9" w:rsidRDefault="00D651C4" w:rsidP="00D651C4">
      <w:pPr>
        <w:spacing w:after="120"/>
        <w:ind w:left="1134" w:right="1134"/>
        <w:jc w:val="both"/>
        <w:rPr>
          <w:rFonts w:eastAsia="Calibri"/>
          <w:lang w:val="fr-FR"/>
        </w:rPr>
      </w:pPr>
      <w:r w:rsidRPr="004B2AF9">
        <w:rPr>
          <w:rFonts w:eastAsia="Calibri"/>
          <w:i/>
          <w:lang w:val="fr-FR"/>
        </w:rPr>
        <w:t>Si la surface intérieure d</w:t>
      </w:r>
      <w:r w:rsidR="0006343E">
        <w:rPr>
          <w:rFonts w:eastAsia="Calibri"/>
          <w:i/>
          <w:lang w:val="fr-FR"/>
        </w:rPr>
        <w:t>’</w:t>
      </w:r>
      <w:r w:rsidRPr="004B2AF9">
        <w:rPr>
          <w:rFonts w:eastAsia="Calibri"/>
          <w:i/>
          <w:lang w:val="fr-FR"/>
        </w:rPr>
        <w:t>un engin produit en sér</w:t>
      </w:r>
      <w:r>
        <w:rPr>
          <w:rFonts w:eastAsia="Calibri"/>
          <w:i/>
          <w:lang w:val="fr-FR"/>
        </w:rPr>
        <w:t>ie ne diffère pas de plus de 20</w:t>
      </w:r>
      <w:r w:rsidRPr="004B2AF9">
        <w:rPr>
          <w:rFonts w:eastAsia="Calibri"/>
          <w:i/>
          <w:lang w:val="fr-FR"/>
        </w:rPr>
        <w:t xml:space="preserve">% de </w:t>
      </w:r>
      <w:r>
        <w:rPr>
          <w:rFonts w:eastAsia="Calibri"/>
          <w:i/>
          <w:lang w:val="fr-FR"/>
        </w:rPr>
        <w:t xml:space="preserve">celle de </w:t>
      </w:r>
      <w:r w:rsidRPr="004B2AF9">
        <w:rPr>
          <w:rFonts w:eastAsia="Calibri"/>
          <w:i/>
          <w:lang w:val="fr-FR"/>
        </w:rPr>
        <w:t>l</w:t>
      </w:r>
      <w:r w:rsidR="0006343E">
        <w:rPr>
          <w:rFonts w:eastAsia="Calibri"/>
          <w:i/>
          <w:lang w:val="fr-FR"/>
        </w:rPr>
        <w:t>’</w:t>
      </w:r>
      <w:r w:rsidRPr="004B2AF9">
        <w:rPr>
          <w:rFonts w:eastAsia="Calibri"/>
          <w:i/>
          <w:lang w:val="fr-FR"/>
        </w:rPr>
        <w:t>engin de référence, le volume total d</w:t>
      </w:r>
      <w:r w:rsidR="0006343E">
        <w:rPr>
          <w:rFonts w:eastAsia="Calibri"/>
          <w:i/>
          <w:lang w:val="fr-FR"/>
        </w:rPr>
        <w:t>’</w:t>
      </w:r>
      <w:r w:rsidRPr="004B2AF9">
        <w:rPr>
          <w:rFonts w:eastAsia="Calibri"/>
          <w:i/>
          <w:lang w:val="fr-FR"/>
        </w:rPr>
        <w:t>isolant, dont le 1/100</w:t>
      </w:r>
      <w:r w:rsidRPr="004B2AF9">
        <w:rPr>
          <w:rFonts w:eastAsia="Calibri"/>
          <w:i/>
          <w:vertAlign w:val="superscript"/>
          <w:lang w:val="fr-FR"/>
        </w:rPr>
        <w:t>e</w:t>
      </w:r>
      <w:r w:rsidRPr="004B2AF9">
        <w:rPr>
          <w:rFonts w:eastAsia="Calibri"/>
          <w:i/>
          <w:lang w:val="fr-FR"/>
        </w:rPr>
        <w:t xml:space="preserve"> est calculé, doit être corrigé du même pourcentage.</w:t>
      </w:r>
      <w:r w:rsidR="00FB6FC9">
        <w:rPr>
          <w:rFonts w:eastAsia="Calibri"/>
          <w:i/>
          <w:lang w:val="fr-FR"/>
        </w:rPr>
        <w:t> </w:t>
      </w:r>
      <w:r w:rsidRPr="004B2AF9">
        <w:rPr>
          <w:rFonts w:eastAsia="Calibri"/>
          <w:lang w:val="fr-FR"/>
        </w:rPr>
        <w:t>».</w:t>
      </w:r>
    </w:p>
    <w:p w:rsidR="00D651C4" w:rsidRPr="004B2AF9" w:rsidRDefault="00D651C4" w:rsidP="00D651C4">
      <w:pPr>
        <w:spacing w:after="120"/>
        <w:ind w:left="1134" w:right="1134"/>
        <w:jc w:val="both"/>
        <w:rPr>
          <w:w w:val="103"/>
          <w:lang w:val="fr-FR" w:eastAsia="zh-CN"/>
        </w:rPr>
      </w:pPr>
      <w:r w:rsidRPr="004B2AF9">
        <w:rPr>
          <w:w w:val="103"/>
          <w:lang w:val="fr-FR" w:eastAsia="zh-CN"/>
        </w:rPr>
        <w:t>(ECE/TRANS/WP.11/233, par.</w:t>
      </w:r>
      <w:r w:rsidR="00FB6FC9">
        <w:rPr>
          <w:w w:val="103"/>
          <w:lang w:val="fr-FR" w:eastAsia="zh-CN"/>
        </w:rPr>
        <w:t> </w:t>
      </w:r>
      <w:r w:rsidRPr="004B2AF9">
        <w:rPr>
          <w:w w:val="103"/>
          <w:lang w:val="fr-FR" w:eastAsia="zh-CN"/>
        </w:rPr>
        <w:t>85</w:t>
      </w:r>
      <w:r w:rsidR="00FB6FC9">
        <w:rPr>
          <w:w w:val="103"/>
          <w:lang w:val="fr-FR" w:eastAsia="zh-CN"/>
        </w:rPr>
        <w:t xml:space="preserve"> et </w:t>
      </w:r>
      <w:r w:rsidRPr="004B2AF9">
        <w:rPr>
          <w:w w:val="103"/>
          <w:lang w:val="fr-FR" w:eastAsia="zh-CN"/>
        </w:rPr>
        <w:t>86)</w:t>
      </w:r>
    </w:p>
    <w:p w:rsidR="00D651C4" w:rsidRPr="004B2AF9" w:rsidRDefault="00D651C4" w:rsidP="00D651C4">
      <w:pPr>
        <w:spacing w:after="120"/>
        <w:ind w:left="1134" w:right="1134"/>
        <w:jc w:val="both"/>
        <w:rPr>
          <w:lang w:val="fr-FR"/>
        </w:rPr>
      </w:pPr>
      <w:r w:rsidRPr="004B2AF9">
        <w:rPr>
          <w:lang w:val="fr-FR"/>
        </w:rPr>
        <w:t>3.</w:t>
      </w:r>
      <w:r w:rsidRPr="004B2AF9">
        <w:rPr>
          <w:lang w:val="fr-FR"/>
        </w:rPr>
        <w:tab/>
        <w:t>Ajouter l</w:t>
      </w:r>
      <w:r w:rsidR="0006343E">
        <w:rPr>
          <w:lang w:val="fr-FR"/>
        </w:rPr>
        <w:t>’</w:t>
      </w:r>
      <w:r w:rsidRPr="004B2AF9">
        <w:rPr>
          <w:lang w:val="fr-FR"/>
        </w:rPr>
        <w:t>observation suivante au paragraphe</w:t>
      </w:r>
      <w:r w:rsidR="00FB6FC9">
        <w:rPr>
          <w:lang w:val="fr-FR"/>
        </w:rPr>
        <w:t> </w:t>
      </w:r>
      <w:r w:rsidRPr="004B2AF9">
        <w:rPr>
          <w:lang w:val="fr-FR"/>
        </w:rPr>
        <w:t>1 de l</w:t>
      </w:r>
      <w:r w:rsidR="0006343E">
        <w:rPr>
          <w:lang w:val="fr-FR"/>
        </w:rPr>
        <w:t>’</w:t>
      </w:r>
      <w:r w:rsidRPr="004B2AF9">
        <w:rPr>
          <w:lang w:val="fr-FR"/>
        </w:rPr>
        <w:t>appendice</w:t>
      </w:r>
      <w:r w:rsidR="00FB6FC9">
        <w:rPr>
          <w:lang w:val="fr-FR"/>
        </w:rPr>
        <w:t> 1 de l</w:t>
      </w:r>
      <w:r w:rsidR="0006343E">
        <w:rPr>
          <w:lang w:val="fr-FR"/>
        </w:rPr>
        <w:t>’</w:t>
      </w:r>
      <w:r w:rsidR="00FB6FC9">
        <w:rPr>
          <w:lang w:val="fr-FR"/>
        </w:rPr>
        <w:t>annexe </w:t>
      </w:r>
      <w:r w:rsidRPr="004B2AF9">
        <w:rPr>
          <w:lang w:val="fr-FR"/>
        </w:rPr>
        <w:t>1</w:t>
      </w:r>
      <w:r w:rsidR="00FB6FC9">
        <w:rPr>
          <w:lang w:val="fr-FR"/>
        </w:rPr>
        <w:t> </w:t>
      </w:r>
      <w:r w:rsidRPr="004B2AF9">
        <w:rPr>
          <w:lang w:val="fr-FR"/>
        </w:rPr>
        <w:t>:</w:t>
      </w:r>
    </w:p>
    <w:p w:rsidR="00D651C4" w:rsidRPr="004B2AF9" w:rsidRDefault="00D651C4" w:rsidP="00D651C4">
      <w:pPr>
        <w:spacing w:after="120"/>
        <w:ind w:left="1134" w:right="1134"/>
        <w:jc w:val="both"/>
        <w:rPr>
          <w:bCs/>
          <w:lang w:val="fr-FR"/>
        </w:rPr>
      </w:pPr>
      <w:r w:rsidRPr="004B2AF9">
        <w:rPr>
          <w:bCs/>
          <w:lang w:val="fr-FR"/>
        </w:rPr>
        <w:t>«</w:t>
      </w:r>
      <w:r w:rsidR="00FB6FC9">
        <w:rPr>
          <w:bCs/>
          <w:lang w:val="fr-FR"/>
        </w:rPr>
        <w:t> </w:t>
      </w:r>
      <w:r w:rsidRPr="004B2AF9">
        <w:rPr>
          <w:bCs/>
          <w:lang w:val="fr-FR"/>
        </w:rPr>
        <w:t>Observation</w:t>
      </w:r>
    </w:p>
    <w:p w:rsidR="00D651C4" w:rsidRPr="004B2AF9" w:rsidRDefault="00D651C4" w:rsidP="00D651C4">
      <w:pPr>
        <w:tabs>
          <w:tab w:val="left" w:pos="1276"/>
        </w:tabs>
        <w:spacing w:after="120"/>
        <w:ind w:left="1134" w:right="1134"/>
        <w:jc w:val="both"/>
        <w:rPr>
          <w:bCs/>
          <w:i/>
          <w:lang w:val="fr-FR"/>
        </w:rPr>
      </w:pPr>
      <w:r>
        <w:rPr>
          <w:bCs/>
          <w:i/>
          <w:lang w:val="fr-FR"/>
        </w:rPr>
        <w:t>C</w:t>
      </w:r>
      <w:r w:rsidRPr="004B2AF9">
        <w:rPr>
          <w:bCs/>
          <w:i/>
          <w:lang w:val="fr-FR"/>
        </w:rPr>
        <w:t xml:space="preserve">ette disposition </w:t>
      </w:r>
      <w:r>
        <w:rPr>
          <w:bCs/>
          <w:i/>
          <w:lang w:val="fr-FR"/>
        </w:rPr>
        <w:t>implique</w:t>
      </w:r>
      <w:r w:rsidRPr="004B2AF9">
        <w:rPr>
          <w:bCs/>
          <w:i/>
          <w:lang w:val="fr-FR"/>
        </w:rPr>
        <w:t xml:space="preserve"> </w:t>
      </w:r>
      <w:r>
        <w:rPr>
          <w:bCs/>
          <w:i/>
          <w:lang w:val="fr-FR"/>
        </w:rPr>
        <w:t xml:space="preserve">donc </w:t>
      </w:r>
      <w:r w:rsidRPr="004B2AF9">
        <w:rPr>
          <w:bCs/>
          <w:i/>
          <w:lang w:val="fr-FR"/>
        </w:rPr>
        <w:t>que le contrôle doit être ef</w:t>
      </w:r>
      <w:r>
        <w:rPr>
          <w:bCs/>
          <w:i/>
          <w:lang w:val="fr-FR"/>
        </w:rPr>
        <w:t>fectué dans une station d</w:t>
      </w:r>
      <w:r w:rsidR="0006343E">
        <w:rPr>
          <w:bCs/>
          <w:i/>
          <w:lang w:val="fr-FR"/>
        </w:rPr>
        <w:t>’</w:t>
      </w:r>
      <w:r>
        <w:rPr>
          <w:bCs/>
          <w:i/>
          <w:lang w:val="fr-FR"/>
        </w:rPr>
        <w:t>essai</w:t>
      </w:r>
      <w:r w:rsidRPr="004B2AF9">
        <w:rPr>
          <w:bCs/>
          <w:i/>
          <w:lang w:val="fr-FR"/>
        </w:rPr>
        <w:t xml:space="preserve"> désignée ou agréée par l</w:t>
      </w:r>
      <w:r w:rsidR="0006343E">
        <w:rPr>
          <w:bCs/>
          <w:i/>
          <w:lang w:val="fr-FR"/>
        </w:rPr>
        <w:t>’</w:t>
      </w:r>
      <w:r w:rsidRPr="004B2AF9">
        <w:rPr>
          <w:bCs/>
          <w:i/>
          <w:lang w:val="fr-FR"/>
        </w:rPr>
        <w:t>autorité compétente du pays dans lequel l</w:t>
      </w:r>
      <w:r w:rsidR="0006343E">
        <w:rPr>
          <w:bCs/>
          <w:i/>
          <w:lang w:val="fr-FR"/>
        </w:rPr>
        <w:t>’</w:t>
      </w:r>
      <w:r w:rsidRPr="004B2AF9">
        <w:rPr>
          <w:bCs/>
          <w:i/>
          <w:lang w:val="fr-FR"/>
        </w:rPr>
        <w:t>engin est immatriculé. Lorsque l</w:t>
      </w:r>
      <w:r w:rsidR="0006343E">
        <w:rPr>
          <w:bCs/>
          <w:i/>
          <w:lang w:val="fr-FR"/>
        </w:rPr>
        <w:t>’</w:t>
      </w:r>
      <w:r w:rsidRPr="004B2AF9">
        <w:rPr>
          <w:bCs/>
          <w:i/>
          <w:lang w:val="fr-FR"/>
        </w:rPr>
        <w:t xml:space="preserve">engin ne peut pas être immatriculé, ce contrôle est effectué dans le </w:t>
      </w:r>
      <w:r w:rsidR="00FB6FC9">
        <w:rPr>
          <w:bCs/>
          <w:i/>
          <w:lang w:val="fr-FR"/>
        </w:rPr>
        <w:t>pays où l</w:t>
      </w:r>
      <w:r w:rsidR="0006343E">
        <w:rPr>
          <w:bCs/>
          <w:i/>
          <w:lang w:val="fr-FR"/>
        </w:rPr>
        <w:t>’</w:t>
      </w:r>
      <w:r w:rsidR="00FB6FC9">
        <w:rPr>
          <w:bCs/>
          <w:i/>
          <w:lang w:val="fr-FR"/>
        </w:rPr>
        <w:t>engin est enregistré.</w:t>
      </w:r>
    </w:p>
    <w:p w:rsidR="00D651C4" w:rsidRPr="004B2AF9" w:rsidRDefault="00D651C4" w:rsidP="00D651C4">
      <w:pPr>
        <w:tabs>
          <w:tab w:val="left" w:pos="1276"/>
        </w:tabs>
        <w:spacing w:after="120"/>
        <w:ind w:left="1134" w:right="1134"/>
        <w:jc w:val="both"/>
        <w:rPr>
          <w:bCs/>
          <w:i/>
          <w:lang w:val="fr-FR"/>
        </w:rPr>
      </w:pPr>
      <w:r>
        <w:rPr>
          <w:i/>
        </w:rPr>
        <w:t>Dans l</w:t>
      </w:r>
      <w:r w:rsidR="0006343E">
        <w:rPr>
          <w:i/>
        </w:rPr>
        <w:t>’</w:t>
      </w:r>
      <w:r>
        <w:rPr>
          <w:i/>
        </w:rPr>
        <w:t xml:space="preserve">expression </w:t>
      </w:r>
      <w:r w:rsidR="00965642" w:rsidRPr="00FB6FC9">
        <w:rPr>
          <w:rFonts w:eastAsia="Calibri"/>
          <w:lang w:val="en-GB"/>
        </w:rPr>
        <w:t>“</w:t>
      </w:r>
      <w:r>
        <w:rPr>
          <w:i/>
        </w:rPr>
        <w:t>immatriculé ou enregistré</w:t>
      </w:r>
      <w:r w:rsidR="00965642" w:rsidRPr="00FB6FC9">
        <w:rPr>
          <w:rFonts w:eastAsia="Calibri"/>
          <w:lang w:val="en-GB"/>
        </w:rPr>
        <w:t>”</w:t>
      </w:r>
      <w:r>
        <w:rPr>
          <w:i/>
        </w:rPr>
        <w:t>,</w:t>
      </w:r>
      <w:r w:rsidRPr="00460EF5">
        <w:rPr>
          <w:i/>
        </w:rPr>
        <w:t xml:space="preserve"> le mot </w:t>
      </w:r>
      <w:r w:rsidR="00965642" w:rsidRPr="00FB6FC9">
        <w:rPr>
          <w:rFonts w:eastAsia="Calibri"/>
          <w:lang w:val="en-GB"/>
        </w:rPr>
        <w:t>“</w:t>
      </w:r>
      <w:r w:rsidRPr="00460EF5">
        <w:rPr>
          <w:i/>
        </w:rPr>
        <w:t>ou</w:t>
      </w:r>
      <w:r w:rsidR="00965642" w:rsidRPr="00FB6FC9">
        <w:rPr>
          <w:rFonts w:eastAsia="Calibri"/>
          <w:lang w:val="en-GB"/>
        </w:rPr>
        <w:t>”</w:t>
      </w:r>
      <w:r w:rsidRPr="00460EF5">
        <w:rPr>
          <w:i/>
        </w:rPr>
        <w:t xml:space="preserve"> </w:t>
      </w:r>
      <w:r>
        <w:rPr>
          <w:i/>
        </w:rPr>
        <w:t>ne représente donc pas un choix,</w:t>
      </w:r>
      <w:r w:rsidRPr="00460EF5">
        <w:rPr>
          <w:bCs/>
          <w:i/>
          <w:lang w:val="fr-FR"/>
        </w:rPr>
        <w:t xml:space="preserve"> </w:t>
      </w:r>
      <w:r>
        <w:rPr>
          <w:bCs/>
          <w:i/>
          <w:lang w:val="fr-FR"/>
        </w:rPr>
        <w:t>mais</w:t>
      </w:r>
      <w:r w:rsidRPr="00460EF5">
        <w:rPr>
          <w:bCs/>
          <w:i/>
          <w:lang w:val="fr-FR"/>
        </w:rPr>
        <w:t xml:space="preserve"> </w:t>
      </w:r>
      <w:r w:rsidRPr="004B2AF9">
        <w:rPr>
          <w:bCs/>
          <w:i/>
          <w:lang w:val="fr-FR"/>
        </w:rPr>
        <w:t>signifie que</w:t>
      </w:r>
      <w:r>
        <w:rPr>
          <w:bCs/>
          <w:i/>
          <w:lang w:val="fr-FR"/>
        </w:rPr>
        <w:t>,</w:t>
      </w:r>
      <w:r w:rsidRPr="004B2AF9">
        <w:rPr>
          <w:bCs/>
          <w:i/>
          <w:lang w:val="fr-FR"/>
        </w:rPr>
        <w:t xml:space="preserve"> si la nature de l</w:t>
      </w:r>
      <w:r w:rsidR="0006343E">
        <w:rPr>
          <w:bCs/>
          <w:i/>
          <w:lang w:val="fr-FR"/>
        </w:rPr>
        <w:t>’</w:t>
      </w:r>
      <w:r w:rsidRPr="004B2AF9">
        <w:rPr>
          <w:bCs/>
          <w:i/>
          <w:lang w:val="fr-FR"/>
        </w:rPr>
        <w:t xml:space="preserve">engin ne permet pas </w:t>
      </w:r>
      <w:r>
        <w:rPr>
          <w:bCs/>
          <w:i/>
          <w:lang w:val="fr-FR"/>
        </w:rPr>
        <w:t>de l</w:t>
      </w:r>
      <w:r w:rsidR="0006343E">
        <w:rPr>
          <w:bCs/>
          <w:i/>
          <w:lang w:val="fr-FR"/>
        </w:rPr>
        <w:t>’</w:t>
      </w:r>
      <w:r>
        <w:rPr>
          <w:bCs/>
          <w:i/>
          <w:lang w:val="fr-FR"/>
        </w:rPr>
        <w:t>immatriculer</w:t>
      </w:r>
      <w:r w:rsidRPr="004B2AF9">
        <w:rPr>
          <w:bCs/>
          <w:i/>
          <w:lang w:val="fr-FR"/>
        </w:rPr>
        <w:t xml:space="preserve"> (exemple</w:t>
      </w:r>
      <w:r w:rsidR="00965642">
        <w:rPr>
          <w:bCs/>
          <w:i/>
          <w:lang w:val="fr-FR"/>
        </w:rPr>
        <w:t> </w:t>
      </w:r>
      <w:r w:rsidRPr="004B2AF9">
        <w:rPr>
          <w:bCs/>
          <w:i/>
          <w:lang w:val="fr-FR"/>
        </w:rPr>
        <w:t>: conteneur), l</w:t>
      </w:r>
      <w:r w:rsidR="0006343E">
        <w:rPr>
          <w:bCs/>
          <w:i/>
          <w:lang w:val="fr-FR"/>
        </w:rPr>
        <w:t>’</w:t>
      </w:r>
      <w:r w:rsidRPr="004B2AF9">
        <w:rPr>
          <w:bCs/>
          <w:i/>
          <w:lang w:val="fr-FR"/>
        </w:rPr>
        <w:t>engin est alors enregistré dans le pays où le propriétaire de l</w:t>
      </w:r>
      <w:r w:rsidR="0006343E">
        <w:rPr>
          <w:bCs/>
          <w:i/>
          <w:lang w:val="fr-FR"/>
        </w:rPr>
        <w:t>’</w:t>
      </w:r>
      <w:r w:rsidRPr="004B2AF9">
        <w:rPr>
          <w:bCs/>
          <w:i/>
          <w:lang w:val="fr-FR"/>
        </w:rPr>
        <w:t>engin est établi.</w:t>
      </w:r>
    </w:p>
    <w:p w:rsidR="00D651C4" w:rsidRPr="004B2AF9" w:rsidRDefault="00D651C4" w:rsidP="00D651C4">
      <w:pPr>
        <w:spacing w:after="120"/>
        <w:ind w:left="1134" w:right="1134"/>
        <w:jc w:val="both"/>
        <w:rPr>
          <w:bCs/>
          <w:i/>
          <w:lang w:val="fr-FR"/>
        </w:rPr>
      </w:pPr>
      <w:r>
        <w:rPr>
          <w:bCs/>
          <w:i/>
          <w:lang w:val="fr-FR"/>
        </w:rPr>
        <w:t>La présente</w:t>
      </w:r>
      <w:r w:rsidRPr="004B2AF9">
        <w:rPr>
          <w:bCs/>
          <w:i/>
          <w:lang w:val="fr-FR"/>
        </w:rPr>
        <w:t xml:space="preserve"> observation est également applicable </w:t>
      </w:r>
      <w:r>
        <w:rPr>
          <w:bCs/>
          <w:i/>
          <w:lang w:val="fr-FR"/>
        </w:rPr>
        <w:t xml:space="preserve">aux </w:t>
      </w:r>
      <w:r w:rsidRPr="004B2AF9">
        <w:rPr>
          <w:bCs/>
          <w:i/>
          <w:lang w:val="fr-FR"/>
        </w:rPr>
        <w:t xml:space="preserve">autres dispositions qui comportent </w:t>
      </w:r>
      <w:r>
        <w:rPr>
          <w:bCs/>
          <w:i/>
          <w:lang w:val="fr-FR"/>
        </w:rPr>
        <w:t>l</w:t>
      </w:r>
      <w:r w:rsidR="0006343E">
        <w:rPr>
          <w:bCs/>
          <w:i/>
          <w:lang w:val="fr-FR"/>
        </w:rPr>
        <w:t>’</w:t>
      </w:r>
      <w:r>
        <w:rPr>
          <w:bCs/>
          <w:i/>
          <w:lang w:val="fr-FR"/>
        </w:rPr>
        <w:t xml:space="preserve">expression </w:t>
      </w:r>
      <w:r w:rsidR="00FB6FC9" w:rsidRPr="00FB6FC9">
        <w:rPr>
          <w:rFonts w:eastAsia="Calibri"/>
          <w:lang w:val="en-GB"/>
        </w:rPr>
        <w:t>“</w:t>
      </w:r>
      <w:r w:rsidRPr="004B2AF9">
        <w:rPr>
          <w:bCs/>
          <w:i/>
          <w:lang w:val="fr-FR"/>
        </w:rPr>
        <w:t>immatriculé ou enregistré</w:t>
      </w:r>
      <w:r w:rsidR="00FB6FC9" w:rsidRPr="00FB6FC9">
        <w:rPr>
          <w:rFonts w:eastAsia="Calibri"/>
          <w:lang w:val="en-GB"/>
        </w:rPr>
        <w:t>”</w:t>
      </w:r>
      <w:r w:rsidRPr="004B2AF9">
        <w:rPr>
          <w:bCs/>
          <w:lang w:val="fr-FR"/>
        </w:rPr>
        <w:t>.</w:t>
      </w:r>
      <w:r w:rsidR="00FB6FC9">
        <w:rPr>
          <w:bCs/>
          <w:lang w:val="fr-FR"/>
        </w:rPr>
        <w:t> </w:t>
      </w:r>
      <w:r w:rsidRPr="004B2AF9">
        <w:rPr>
          <w:bCs/>
          <w:lang w:val="fr-FR"/>
        </w:rPr>
        <w:t>»</w:t>
      </w:r>
      <w:r w:rsidR="00FB6FC9">
        <w:rPr>
          <w:bCs/>
          <w:lang w:val="fr-FR"/>
        </w:rPr>
        <w:t>.</w:t>
      </w:r>
    </w:p>
    <w:p w:rsidR="00D651C4" w:rsidRPr="004B2AF9" w:rsidRDefault="00D651C4" w:rsidP="00D651C4">
      <w:pPr>
        <w:spacing w:after="120"/>
        <w:ind w:left="1134" w:right="1134"/>
        <w:jc w:val="both"/>
        <w:rPr>
          <w:rFonts w:eastAsia="Calibri"/>
          <w:lang w:val="fr-FR"/>
        </w:rPr>
      </w:pPr>
      <w:r w:rsidRPr="004B2AF9">
        <w:rPr>
          <w:rFonts w:eastAsia="Calibri"/>
          <w:lang w:val="fr-FR"/>
        </w:rPr>
        <w:t>(ECE/TRANS/WP.11/233, par.</w:t>
      </w:r>
      <w:r w:rsidR="00FB6FC9">
        <w:rPr>
          <w:rFonts w:eastAsia="Calibri"/>
          <w:lang w:val="fr-FR"/>
        </w:rPr>
        <w:t> </w:t>
      </w:r>
      <w:r w:rsidRPr="004B2AF9">
        <w:rPr>
          <w:rFonts w:eastAsia="Calibri"/>
          <w:lang w:val="fr-FR"/>
        </w:rPr>
        <w:t>87)</w:t>
      </w:r>
    </w:p>
    <w:p w:rsidR="00D651C4" w:rsidRPr="004B2AF9" w:rsidRDefault="00D651C4" w:rsidP="00FB6FC9">
      <w:pPr>
        <w:pStyle w:val="HChG"/>
        <w:rPr>
          <w:lang w:val="fr-FR"/>
        </w:rPr>
      </w:pPr>
      <w:r w:rsidRPr="004B2AF9">
        <w:rPr>
          <w:lang w:val="fr-FR"/>
        </w:rPr>
        <w:br w:type="page"/>
      </w:r>
      <w:bookmarkStart w:id="139" w:name="_Toc432670217"/>
      <w:r w:rsidRPr="004B2AF9">
        <w:rPr>
          <w:lang w:val="fr-FR"/>
        </w:rPr>
        <w:t>Annexe IV</w:t>
      </w:r>
      <w:bookmarkEnd w:id="139"/>
    </w:p>
    <w:p w:rsidR="00D651C4" w:rsidRPr="004B2AF9" w:rsidRDefault="00D651C4" w:rsidP="00D651C4">
      <w:pPr>
        <w:pStyle w:val="HChG"/>
        <w:rPr>
          <w:lang w:val="fr-FR"/>
        </w:rPr>
      </w:pPr>
      <w:r w:rsidRPr="004B2AF9">
        <w:rPr>
          <w:lang w:val="fr-FR"/>
        </w:rPr>
        <w:tab/>
      </w:r>
      <w:r w:rsidRPr="004B2AF9">
        <w:rPr>
          <w:lang w:val="fr-FR"/>
        </w:rPr>
        <w:tab/>
        <w:t>Projet de programme de travail pour l</w:t>
      </w:r>
      <w:r w:rsidR="0006343E">
        <w:rPr>
          <w:lang w:val="fr-FR"/>
        </w:rPr>
        <w:t>’</w:t>
      </w:r>
      <w:r w:rsidRPr="004B2AF9">
        <w:rPr>
          <w:lang w:val="fr-FR"/>
        </w:rPr>
        <w:t xml:space="preserve">exercice </w:t>
      </w:r>
      <w:r w:rsidR="00FB6FC9">
        <w:rPr>
          <w:lang w:val="fr-FR"/>
        </w:rPr>
        <w:br/>
      </w:r>
      <w:r w:rsidRPr="004B2AF9">
        <w:rPr>
          <w:lang w:val="fr-FR"/>
        </w:rPr>
        <w:t>biennal 2016-2017</w:t>
      </w:r>
    </w:p>
    <w:p w:rsidR="00D651C4" w:rsidRPr="004B2AF9" w:rsidRDefault="00D651C4" w:rsidP="00D651C4">
      <w:pPr>
        <w:keepNext/>
        <w:keepLines/>
        <w:tabs>
          <w:tab w:val="right" w:pos="851"/>
        </w:tabs>
        <w:spacing w:before="240" w:after="120" w:line="240" w:lineRule="exact"/>
        <w:ind w:left="1134" w:right="1134" w:hanging="1134"/>
        <w:rPr>
          <w:b/>
          <w:lang w:val="fr-FR"/>
        </w:rPr>
      </w:pPr>
      <w:r w:rsidRPr="004B2AF9">
        <w:rPr>
          <w:b/>
          <w:lang w:val="fr-FR"/>
        </w:rPr>
        <w:tab/>
      </w:r>
      <w:r w:rsidRPr="004B2AF9">
        <w:rPr>
          <w:b/>
          <w:lang w:val="fr-FR"/>
        </w:rPr>
        <w:tab/>
        <w:t xml:space="preserve">Sous-programme 02 </w:t>
      </w:r>
      <w:r w:rsidR="008F669E">
        <w:rPr>
          <w:b/>
          <w:lang w:val="fr-FR"/>
        </w:rPr>
        <w:t>−</w:t>
      </w:r>
      <w:r w:rsidRPr="004B2AF9">
        <w:rPr>
          <w:b/>
          <w:lang w:val="fr-FR"/>
        </w:rPr>
        <w:t xml:space="preserve"> Transport</w:t>
      </w:r>
    </w:p>
    <w:p w:rsidR="00D651C4" w:rsidRPr="004B2AF9" w:rsidRDefault="00D651C4" w:rsidP="00D651C4">
      <w:pPr>
        <w:keepNext/>
        <w:keepLines/>
        <w:tabs>
          <w:tab w:val="right" w:pos="851"/>
        </w:tabs>
        <w:spacing w:before="240" w:after="120" w:line="240" w:lineRule="exact"/>
        <w:ind w:left="1134" w:right="1134" w:hanging="1134"/>
        <w:rPr>
          <w:b/>
          <w:sz w:val="24"/>
          <w:lang w:val="fr-FR"/>
        </w:rPr>
      </w:pPr>
      <w:r w:rsidRPr="004B2AF9">
        <w:rPr>
          <w:b/>
          <w:sz w:val="24"/>
          <w:lang w:val="fr-FR"/>
        </w:rPr>
        <w:tab/>
      </w:r>
      <w:r w:rsidRPr="004B2AF9">
        <w:rPr>
          <w:b/>
          <w:sz w:val="24"/>
          <w:lang w:val="fr-FR"/>
        </w:rPr>
        <w:tab/>
        <w:t>Module 12</w:t>
      </w:r>
      <w:r w:rsidR="00FB6FC9">
        <w:rPr>
          <w:b/>
          <w:sz w:val="24"/>
          <w:lang w:val="fr-FR"/>
        </w:rPr>
        <w:t xml:space="preserve"> </w:t>
      </w:r>
      <w:r w:rsidRPr="004B2AF9">
        <w:rPr>
          <w:b/>
          <w:sz w:val="24"/>
          <w:lang w:val="fr-FR"/>
        </w:rPr>
        <w:br/>
        <w:t>Transport des denrées périssables</w:t>
      </w:r>
    </w:p>
    <w:tbl>
      <w:tblPr>
        <w:tblW w:w="7370" w:type="dxa"/>
        <w:tblInd w:w="1134" w:type="dxa"/>
        <w:tblLayout w:type="fixed"/>
        <w:tblCellMar>
          <w:left w:w="0" w:type="dxa"/>
          <w:right w:w="0" w:type="dxa"/>
        </w:tblCellMar>
        <w:tblLook w:val="01E0" w:firstRow="1" w:lastRow="1" w:firstColumn="1" w:lastColumn="1" w:noHBand="0" w:noVBand="0"/>
      </w:tblPr>
      <w:tblGrid>
        <w:gridCol w:w="4536"/>
        <w:gridCol w:w="2834"/>
      </w:tblGrid>
      <w:tr w:rsidR="00D651C4" w:rsidRPr="00DF6D9A" w:rsidTr="00A9544B">
        <w:trPr>
          <w:tblHeader/>
        </w:trPr>
        <w:tc>
          <w:tcPr>
            <w:tcW w:w="4536" w:type="dxa"/>
            <w:tcBorders>
              <w:top w:val="single" w:sz="4" w:space="0" w:color="auto"/>
              <w:bottom w:val="single" w:sz="12" w:space="0" w:color="auto"/>
            </w:tcBorders>
            <w:shd w:val="clear" w:color="auto" w:fill="auto"/>
            <w:vAlign w:val="bottom"/>
          </w:tcPr>
          <w:p w:rsidR="00D651C4" w:rsidRPr="00DF6D9A" w:rsidRDefault="00D651C4" w:rsidP="00DF6D9A">
            <w:pPr>
              <w:spacing w:before="80" w:after="80" w:line="200" w:lineRule="exact"/>
              <w:ind w:right="113"/>
              <w:rPr>
                <w:i/>
                <w:sz w:val="16"/>
                <w:lang w:val="fr-FR"/>
              </w:rPr>
            </w:pPr>
            <w:r w:rsidRPr="00DF6D9A">
              <w:rPr>
                <w:i/>
                <w:sz w:val="16"/>
                <w:lang w:val="fr-FR"/>
              </w:rPr>
              <w:t>Description du module (facultatif)</w:t>
            </w:r>
          </w:p>
        </w:tc>
        <w:tc>
          <w:tcPr>
            <w:tcW w:w="2834" w:type="dxa"/>
            <w:tcBorders>
              <w:top w:val="single" w:sz="4" w:space="0" w:color="auto"/>
              <w:bottom w:val="single" w:sz="12" w:space="0" w:color="auto"/>
            </w:tcBorders>
            <w:shd w:val="clear" w:color="auto" w:fill="auto"/>
            <w:vAlign w:val="bottom"/>
          </w:tcPr>
          <w:p w:rsidR="00D651C4" w:rsidRPr="00DF6D9A" w:rsidRDefault="00D651C4" w:rsidP="00DF6D9A">
            <w:pPr>
              <w:spacing w:before="80" w:after="80" w:line="200" w:lineRule="exact"/>
              <w:ind w:right="113"/>
              <w:rPr>
                <w:i/>
                <w:sz w:val="16"/>
                <w:lang w:val="fr-FR"/>
              </w:rPr>
            </w:pPr>
            <w:r w:rsidRPr="00DF6D9A">
              <w:rPr>
                <w:i/>
                <w:sz w:val="16"/>
                <w:lang w:val="fr-FR"/>
              </w:rPr>
              <w:t>Réalisations escomptées</w:t>
            </w:r>
          </w:p>
        </w:tc>
      </w:tr>
      <w:tr w:rsidR="00DF6D9A" w:rsidRPr="00DF6D9A" w:rsidTr="00A9544B">
        <w:trPr>
          <w:trHeight w:hRule="exact" w:val="113"/>
        </w:trPr>
        <w:tc>
          <w:tcPr>
            <w:tcW w:w="4536" w:type="dxa"/>
            <w:tcBorders>
              <w:top w:val="single" w:sz="12" w:space="0" w:color="auto"/>
            </w:tcBorders>
            <w:shd w:val="clear" w:color="auto" w:fill="auto"/>
          </w:tcPr>
          <w:p w:rsidR="00DF6D9A" w:rsidRPr="00DF6D9A" w:rsidRDefault="00DF6D9A" w:rsidP="00DF6D9A">
            <w:pPr>
              <w:spacing w:before="40" w:after="120"/>
              <w:ind w:right="113"/>
              <w:rPr>
                <w:lang w:val="fr-FR"/>
              </w:rPr>
            </w:pPr>
          </w:p>
        </w:tc>
        <w:tc>
          <w:tcPr>
            <w:tcW w:w="2834" w:type="dxa"/>
            <w:tcBorders>
              <w:top w:val="single" w:sz="12" w:space="0" w:color="auto"/>
            </w:tcBorders>
            <w:shd w:val="clear" w:color="auto" w:fill="auto"/>
          </w:tcPr>
          <w:p w:rsidR="00DF6D9A" w:rsidRPr="00DF6D9A" w:rsidRDefault="00DF6D9A" w:rsidP="00DF6D9A">
            <w:pPr>
              <w:spacing w:before="40" w:after="120"/>
              <w:ind w:right="113"/>
              <w:rPr>
                <w:lang w:val="fr-FR"/>
              </w:rPr>
            </w:pPr>
          </w:p>
        </w:tc>
      </w:tr>
      <w:tr w:rsidR="00A9544B" w:rsidRPr="00DF6D9A" w:rsidTr="00A9544B">
        <w:tc>
          <w:tcPr>
            <w:tcW w:w="4536" w:type="dxa"/>
            <w:vMerge w:val="restart"/>
            <w:shd w:val="clear" w:color="auto" w:fill="auto"/>
          </w:tcPr>
          <w:p w:rsidR="00A9544B" w:rsidRPr="00DF6D9A" w:rsidRDefault="00A9544B" w:rsidP="00A9544B">
            <w:pPr>
              <w:spacing w:before="40" w:after="120"/>
              <w:ind w:right="113"/>
              <w:rPr>
                <w:szCs w:val="18"/>
                <w:lang w:val="fr-FR"/>
              </w:rPr>
            </w:pPr>
            <w:r w:rsidRPr="00DF6D9A">
              <w:rPr>
                <w:szCs w:val="18"/>
                <w:lang w:val="fr-FR"/>
              </w:rPr>
              <w:t>Les principaux objectifs de ce module sont les suivants</w:t>
            </w:r>
            <w:r>
              <w:rPr>
                <w:szCs w:val="18"/>
                <w:lang w:val="fr-FR"/>
              </w:rPr>
              <w:t> </w:t>
            </w:r>
            <w:r w:rsidRPr="00DF6D9A">
              <w:rPr>
                <w:szCs w:val="18"/>
                <w:lang w:val="fr-FR"/>
              </w:rPr>
              <w:t>:</w:t>
            </w:r>
          </w:p>
          <w:p w:rsidR="00A9544B" w:rsidRPr="00DF6D9A" w:rsidRDefault="00A9544B" w:rsidP="00A9544B">
            <w:pPr>
              <w:spacing w:before="40" w:after="120"/>
              <w:ind w:right="113"/>
              <w:rPr>
                <w:szCs w:val="18"/>
                <w:lang w:val="fr-FR"/>
              </w:rPr>
            </w:pPr>
            <w:r w:rsidRPr="00662FDC">
              <w:t>Prendre</w:t>
            </w:r>
            <w:r w:rsidRPr="00DF6D9A">
              <w:rPr>
                <w:lang w:val="fr-FR"/>
              </w:rPr>
              <w:t xml:space="preserve"> et mettre en œuvre des mesures visant à accroître la préservation des denrées périssables lors de leur transport, en particulier au cours des transports internationaux</w:t>
            </w:r>
            <w:r>
              <w:rPr>
                <w:lang w:val="fr-FR"/>
              </w:rPr>
              <w:t> </w:t>
            </w:r>
            <w:r w:rsidRPr="00DF6D9A">
              <w:rPr>
                <w:lang w:val="fr-FR"/>
              </w:rPr>
              <w:t>;</w:t>
            </w:r>
          </w:p>
        </w:tc>
        <w:tc>
          <w:tcPr>
            <w:tcW w:w="2834" w:type="dxa"/>
            <w:shd w:val="clear" w:color="auto" w:fill="auto"/>
          </w:tcPr>
          <w:p w:rsidR="00A9544B" w:rsidRPr="00DF6D9A" w:rsidRDefault="00A9544B" w:rsidP="00A9544B">
            <w:pPr>
              <w:spacing w:before="40" w:after="120"/>
              <w:ind w:right="113"/>
              <w:rPr>
                <w:szCs w:val="18"/>
                <w:lang w:val="fr-FR"/>
              </w:rPr>
            </w:pPr>
            <w:r w:rsidRPr="00DF6D9A">
              <w:rPr>
                <w:szCs w:val="18"/>
                <w:lang w:val="fr-FR"/>
              </w:rPr>
              <w:t xml:space="preserve">Renforcement et actualisation </w:t>
            </w:r>
            <w:r w:rsidR="00965642">
              <w:rPr>
                <w:szCs w:val="18"/>
                <w:lang w:val="fr-FR"/>
              </w:rPr>
              <w:br/>
            </w:r>
            <w:r w:rsidRPr="00DF6D9A">
              <w:rPr>
                <w:szCs w:val="18"/>
                <w:lang w:val="fr-FR"/>
              </w:rPr>
              <w:t>des prescriptions internationales régissant le transport des denrées périssables</w:t>
            </w:r>
          </w:p>
        </w:tc>
      </w:tr>
      <w:tr w:rsidR="00A9544B" w:rsidRPr="00DF6D9A" w:rsidTr="00A9544B">
        <w:tc>
          <w:tcPr>
            <w:tcW w:w="4536" w:type="dxa"/>
            <w:vMerge/>
            <w:shd w:val="clear" w:color="auto" w:fill="auto"/>
          </w:tcPr>
          <w:p w:rsidR="00A9544B" w:rsidRPr="00DF6D9A" w:rsidRDefault="00A9544B" w:rsidP="00A9544B">
            <w:pPr>
              <w:spacing w:before="40" w:after="120"/>
              <w:ind w:right="113"/>
              <w:rPr>
                <w:szCs w:val="18"/>
                <w:lang w:val="fr-FR"/>
              </w:rPr>
            </w:pPr>
          </w:p>
        </w:tc>
        <w:tc>
          <w:tcPr>
            <w:tcW w:w="2834" w:type="dxa"/>
            <w:shd w:val="clear" w:color="auto" w:fill="auto"/>
          </w:tcPr>
          <w:p w:rsidR="00A9544B" w:rsidRPr="00DF6D9A" w:rsidRDefault="00A9544B" w:rsidP="00A9544B">
            <w:pPr>
              <w:spacing w:before="40" w:after="120"/>
              <w:ind w:right="113"/>
              <w:rPr>
                <w:szCs w:val="18"/>
                <w:lang w:val="fr-FR"/>
              </w:rPr>
            </w:pPr>
          </w:p>
        </w:tc>
      </w:tr>
      <w:tr w:rsidR="00A9544B" w:rsidRPr="00DF6D9A" w:rsidTr="00A9544B">
        <w:tc>
          <w:tcPr>
            <w:tcW w:w="4536" w:type="dxa"/>
            <w:shd w:val="clear" w:color="auto" w:fill="auto"/>
          </w:tcPr>
          <w:p w:rsidR="00A9544B" w:rsidRPr="00662FDC" w:rsidRDefault="00A9544B" w:rsidP="00A9544B">
            <w:pPr>
              <w:spacing w:before="40" w:after="120"/>
              <w:ind w:right="113"/>
            </w:pPr>
            <w:r w:rsidRPr="00DF6D9A">
              <w:rPr>
                <w:szCs w:val="18"/>
                <w:lang w:val="fr-FR"/>
              </w:rPr>
              <w:t>Promouvoir la facilitation du transport international des denrées périssables en harmonisant les règles et règlements s</w:t>
            </w:r>
            <w:r w:rsidR="0006343E">
              <w:rPr>
                <w:szCs w:val="18"/>
                <w:lang w:val="fr-FR"/>
              </w:rPr>
              <w:t>’</w:t>
            </w:r>
            <w:r w:rsidRPr="00DF6D9A">
              <w:rPr>
                <w:szCs w:val="18"/>
                <w:lang w:val="fr-FR"/>
              </w:rPr>
              <w:t>y rapportant ainsi que les procédures administratives et pièces justificatives auxquelles ce transport est soumis</w:t>
            </w:r>
            <w:r>
              <w:rPr>
                <w:szCs w:val="18"/>
                <w:lang w:val="fr-FR"/>
              </w:rPr>
              <w:t> </w:t>
            </w:r>
            <w:r w:rsidRPr="00DF6D9A">
              <w:rPr>
                <w:szCs w:val="18"/>
                <w:lang w:val="fr-FR"/>
              </w:rPr>
              <w:t>;</w:t>
            </w:r>
          </w:p>
        </w:tc>
        <w:tc>
          <w:tcPr>
            <w:tcW w:w="2834" w:type="dxa"/>
            <w:shd w:val="clear" w:color="auto" w:fill="auto"/>
          </w:tcPr>
          <w:p w:rsidR="00A9544B" w:rsidRPr="00DF6D9A" w:rsidRDefault="00A9544B" w:rsidP="00A9544B">
            <w:pPr>
              <w:spacing w:before="40" w:after="120"/>
              <w:ind w:right="113"/>
              <w:rPr>
                <w:szCs w:val="18"/>
                <w:lang w:val="fr-FR"/>
              </w:rPr>
            </w:pPr>
          </w:p>
        </w:tc>
      </w:tr>
      <w:tr w:rsidR="00A9544B" w:rsidRPr="00DF6D9A" w:rsidTr="00A9544B">
        <w:tc>
          <w:tcPr>
            <w:tcW w:w="4536" w:type="dxa"/>
            <w:shd w:val="clear" w:color="auto" w:fill="auto"/>
          </w:tcPr>
          <w:p w:rsidR="00A9544B" w:rsidRPr="00DF6D9A" w:rsidRDefault="00A9544B" w:rsidP="00A9544B">
            <w:pPr>
              <w:spacing w:before="40" w:after="120"/>
              <w:ind w:right="113"/>
              <w:rPr>
                <w:szCs w:val="18"/>
                <w:lang w:val="fr-FR"/>
              </w:rPr>
            </w:pPr>
            <w:r w:rsidRPr="00DF6D9A">
              <w:rPr>
                <w:szCs w:val="18"/>
                <w:lang w:val="fr-FR"/>
              </w:rPr>
              <w:t>Développer et mettre à jour l</w:t>
            </w:r>
            <w:r w:rsidR="0006343E">
              <w:rPr>
                <w:szCs w:val="18"/>
                <w:lang w:val="fr-FR"/>
              </w:rPr>
              <w:t>’</w:t>
            </w:r>
            <w:r w:rsidRPr="00DF6D9A">
              <w:rPr>
                <w:szCs w:val="18"/>
                <w:lang w:val="fr-FR"/>
              </w:rPr>
              <w:t>Accord européen relatif aux transports internationaux de denrées périssables et aux engins spéciaux à utiliser pour ces transports (ATP), conclu à Genève en 1970</w:t>
            </w:r>
            <w:r>
              <w:rPr>
                <w:szCs w:val="18"/>
                <w:lang w:val="fr-FR"/>
              </w:rPr>
              <w:t> </w:t>
            </w:r>
            <w:r w:rsidRPr="00DF6D9A">
              <w:rPr>
                <w:szCs w:val="18"/>
                <w:lang w:val="fr-FR"/>
              </w:rPr>
              <w:t>;</w:t>
            </w:r>
          </w:p>
        </w:tc>
        <w:tc>
          <w:tcPr>
            <w:tcW w:w="2834" w:type="dxa"/>
            <w:shd w:val="clear" w:color="auto" w:fill="auto"/>
          </w:tcPr>
          <w:p w:rsidR="00A9544B" w:rsidRPr="00DF6D9A" w:rsidRDefault="00A9544B" w:rsidP="00A9544B">
            <w:pPr>
              <w:spacing w:before="40" w:after="120"/>
              <w:ind w:right="113"/>
              <w:rPr>
                <w:szCs w:val="18"/>
                <w:lang w:val="fr-FR"/>
              </w:rPr>
            </w:pPr>
          </w:p>
        </w:tc>
      </w:tr>
      <w:tr w:rsidR="00A9544B" w:rsidRPr="00DF6D9A" w:rsidTr="00A9544B">
        <w:tc>
          <w:tcPr>
            <w:tcW w:w="4536" w:type="dxa"/>
            <w:shd w:val="clear" w:color="auto" w:fill="auto"/>
          </w:tcPr>
          <w:p w:rsidR="00A9544B" w:rsidRPr="00DF6D9A" w:rsidRDefault="00A9544B" w:rsidP="00A9544B">
            <w:pPr>
              <w:spacing w:before="40" w:after="120"/>
              <w:ind w:right="113"/>
              <w:rPr>
                <w:szCs w:val="18"/>
                <w:lang w:val="fr-FR"/>
              </w:rPr>
            </w:pPr>
            <w:r w:rsidRPr="00DF6D9A">
              <w:rPr>
                <w:szCs w:val="18"/>
                <w:lang w:val="fr-FR"/>
              </w:rPr>
              <w:t>Assurer l</w:t>
            </w:r>
            <w:r w:rsidR="0006343E">
              <w:rPr>
                <w:szCs w:val="18"/>
                <w:lang w:val="fr-FR"/>
              </w:rPr>
              <w:t>’</w:t>
            </w:r>
            <w:r w:rsidRPr="00DF6D9A">
              <w:rPr>
                <w:szCs w:val="18"/>
                <w:lang w:val="fr-FR"/>
              </w:rPr>
              <w:t>harmonisation de l</w:t>
            </w:r>
            <w:r w:rsidR="0006343E">
              <w:rPr>
                <w:szCs w:val="18"/>
                <w:lang w:val="fr-FR"/>
              </w:rPr>
              <w:t>’</w:t>
            </w:r>
            <w:r w:rsidRPr="00DF6D9A">
              <w:rPr>
                <w:szCs w:val="18"/>
                <w:lang w:val="fr-FR"/>
              </w:rPr>
              <w:t>ATP avec d</w:t>
            </w:r>
            <w:r w:rsidR="0006343E">
              <w:rPr>
                <w:szCs w:val="18"/>
                <w:lang w:val="fr-FR"/>
              </w:rPr>
              <w:t>’</w:t>
            </w:r>
            <w:r w:rsidRPr="00DF6D9A">
              <w:rPr>
                <w:szCs w:val="18"/>
                <w:lang w:val="fr-FR"/>
              </w:rPr>
              <w:t>autres instruments juridiques pertinents régissant le transport des denrées périssables élaborés dans le cadre d</w:t>
            </w:r>
            <w:r w:rsidR="0006343E">
              <w:rPr>
                <w:szCs w:val="18"/>
                <w:lang w:val="fr-FR"/>
              </w:rPr>
              <w:t>’</w:t>
            </w:r>
            <w:r w:rsidRPr="00DF6D9A">
              <w:rPr>
                <w:szCs w:val="18"/>
                <w:lang w:val="fr-FR"/>
              </w:rPr>
              <w:t>autres instances</w:t>
            </w:r>
            <w:r>
              <w:rPr>
                <w:szCs w:val="18"/>
                <w:lang w:val="fr-FR"/>
              </w:rPr>
              <w:t> ;</w:t>
            </w:r>
          </w:p>
        </w:tc>
        <w:tc>
          <w:tcPr>
            <w:tcW w:w="2834" w:type="dxa"/>
            <w:shd w:val="clear" w:color="auto" w:fill="auto"/>
          </w:tcPr>
          <w:p w:rsidR="00A9544B" w:rsidRPr="00DF6D9A" w:rsidRDefault="00A9544B" w:rsidP="00DF6D9A">
            <w:pPr>
              <w:spacing w:before="40" w:after="120"/>
              <w:ind w:right="113"/>
              <w:rPr>
                <w:szCs w:val="18"/>
                <w:lang w:val="fr-FR"/>
              </w:rPr>
            </w:pPr>
          </w:p>
        </w:tc>
      </w:tr>
      <w:tr w:rsidR="00A9544B" w:rsidRPr="00DF6D9A" w:rsidTr="00A9544B">
        <w:tc>
          <w:tcPr>
            <w:tcW w:w="4536" w:type="dxa"/>
            <w:shd w:val="clear" w:color="auto" w:fill="auto"/>
          </w:tcPr>
          <w:p w:rsidR="00A9544B" w:rsidRPr="00DF6D9A" w:rsidRDefault="00A9544B" w:rsidP="00A9544B">
            <w:pPr>
              <w:spacing w:before="40" w:after="120"/>
              <w:ind w:right="113"/>
              <w:rPr>
                <w:szCs w:val="18"/>
                <w:lang w:val="fr-FR"/>
              </w:rPr>
            </w:pPr>
            <w:r w:rsidRPr="00DF6D9A">
              <w:rPr>
                <w:szCs w:val="18"/>
                <w:lang w:val="fr-FR"/>
              </w:rPr>
              <w:t>Principales tâches de la Division des transports durables</w:t>
            </w:r>
            <w:r>
              <w:rPr>
                <w:szCs w:val="18"/>
                <w:lang w:val="fr-FR"/>
              </w:rPr>
              <w:t> </w:t>
            </w:r>
            <w:r w:rsidRPr="00DF6D9A">
              <w:rPr>
                <w:szCs w:val="18"/>
                <w:lang w:val="fr-FR"/>
              </w:rPr>
              <w:t>:</w:t>
            </w:r>
          </w:p>
        </w:tc>
        <w:tc>
          <w:tcPr>
            <w:tcW w:w="2834" w:type="dxa"/>
            <w:shd w:val="clear" w:color="auto" w:fill="auto"/>
          </w:tcPr>
          <w:p w:rsidR="00A9544B" w:rsidRPr="00DF6D9A" w:rsidRDefault="00A9544B" w:rsidP="00DF6D9A">
            <w:pPr>
              <w:spacing w:before="40" w:after="120"/>
              <w:ind w:right="113"/>
              <w:rPr>
                <w:szCs w:val="18"/>
                <w:lang w:val="fr-FR"/>
              </w:rPr>
            </w:pPr>
          </w:p>
        </w:tc>
      </w:tr>
      <w:tr w:rsidR="00A9544B" w:rsidRPr="00DF6D9A" w:rsidTr="00A9544B">
        <w:tc>
          <w:tcPr>
            <w:tcW w:w="4536" w:type="dxa"/>
            <w:shd w:val="clear" w:color="auto" w:fill="auto"/>
          </w:tcPr>
          <w:p w:rsidR="00A9544B" w:rsidRPr="00DF6D9A" w:rsidRDefault="00A9544B" w:rsidP="00A9544B">
            <w:pPr>
              <w:spacing w:before="40" w:after="120"/>
              <w:ind w:left="170" w:right="113" w:hanging="170"/>
              <w:rPr>
                <w:szCs w:val="18"/>
                <w:lang w:val="fr-FR"/>
              </w:rPr>
            </w:pPr>
            <w:r w:rsidRPr="00DF6D9A">
              <w:rPr>
                <w:szCs w:val="18"/>
                <w:lang w:val="fr-FR"/>
              </w:rPr>
              <w:t>•</w:t>
            </w:r>
            <w:r w:rsidRPr="00DF6D9A">
              <w:rPr>
                <w:szCs w:val="18"/>
                <w:lang w:val="fr-FR"/>
              </w:rPr>
              <w:tab/>
              <w:t>Assurer le secrétariat du Groupe de travail du transport des denrées périssables (WP.11)</w:t>
            </w:r>
            <w:r>
              <w:rPr>
                <w:szCs w:val="18"/>
                <w:lang w:val="fr-FR"/>
              </w:rPr>
              <w:t> </w:t>
            </w:r>
            <w:r w:rsidRPr="00DF6D9A">
              <w:rPr>
                <w:szCs w:val="18"/>
                <w:lang w:val="fr-FR"/>
              </w:rPr>
              <w:t>;</w:t>
            </w:r>
          </w:p>
        </w:tc>
        <w:tc>
          <w:tcPr>
            <w:tcW w:w="2834" w:type="dxa"/>
            <w:shd w:val="clear" w:color="auto" w:fill="auto"/>
          </w:tcPr>
          <w:p w:rsidR="00A9544B" w:rsidRPr="00DF6D9A" w:rsidRDefault="00A9544B" w:rsidP="00DF6D9A">
            <w:pPr>
              <w:spacing w:before="40" w:after="120"/>
              <w:ind w:right="113"/>
              <w:rPr>
                <w:szCs w:val="18"/>
                <w:lang w:val="fr-FR"/>
              </w:rPr>
            </w:pPr>
          </w:p>
        </w:tc>
      </w:tr>
      <w:tr w:rsidR="00A9544B" w:rsidRPr="00DF6D9A" w:rsidTr="00A9544B">
        <w:tc>
          <w:tcPr>
            <w:tcW w:w="4536" w:type="dxa"/>
            <w:shd w:val="clear" w:color="auto" w:fill="auto"/>
          </w:tcPr>
          <w:p w:rsidR="00A9544B" w:rsidRPr="00DF6D9A" w:rsidRDefault="00A9544B" w:rsidP="00A9544B">
            <w:pPr>
              <w:spacing w:before="40" w:after="120"/>
              <w:ind w:left="170" w:right="113" w:hanging="170"/>
              <w:rPr>
                <w:szCs w:val="18"/>
                <w:lang w:val="fr-FR"/>
              </w:rPr>
            </w:pPr>
            <w:r w:rsidRPr="00DF6D9A">
              <w:rPr>
                <w:szCs w:val="18"/>
                <w:lang w:val="fr-FR"/>
              </w:rPr>
              <w:t>•</w:t>
            </w:r>
            <w:r w:rsidRPr="00DF6D9A">
              <w:rPr>
                <w:szCs w:val="18"/>
                <w:lang w:val="fr-FR"/>
              </w:rPr>
              <w:tab/>
              <w:t>Publier des versions mises à jour de l</w:t>
            </w:r>
            <w:r w:rsidR="0006343E">
              <w:rPr>
                <w:szCs w:val="18"/>
                <w:lang w:val="fr-FR"/>
              </w:rPr>
              <w:t>’</w:t>
            </w:r>
            <w:r w:rsidRPr="00DF6D9A">
              <w:rPr>
                <w:szCs w:val="18"/>
                <w:lang w:val="fr-FR"/>
              </w:rPr>
              <w:t>ATP (éditions papier et électronique) et du Manuel ATP (édition électronique seulement)</w:t>
            </w:r>
            <w:r>
              <w:rPr>
                <w:szCs w:val="18"/>
                <w:lang w:val="fr-FR"/>
              </w:rPr>
              <w:t> </w:t>
            </w:r>
            <w:r w:rsidRPr="00DF6D9A">
              <w:rPr>
                <w:szCs w:val="18"/>
                <w:lang w:val="fr-FR"/>
              </w:rPr>
              <w:t>;</w:t>
            </w:r>
          </w:p>
        </w:tc>
        <w:tc>
          <w:tcPr>
            <w:tcW w:w="2834" w:type="dxa"/>
            <w:shd w:val="clear" w:color="auto" w:fill="auto"/>
          </w:tcPr>
          <w:p w:rsidR="00A9544B" w:rsidRPr="00DF6D9A" w:rsidRDefault="00A9544B" w:rsidP="00DF6D9A">
            <w:pPr>
              <w:spacing w:before="40" w:after="120"/>
              <w:ind w:right="113"/>
              <w:rPr>
                <w:szCs w:val="18"/>
                <w:lang w:val="fr-FR"/>
              </w:rPr>
            </w:pPr>
          </w:p>
        </w:tc>
      </w:tr>
      <w:tr w:rsidR="00A9544B" w:rsidRPr="00DF6D9A" w:rsidTr="00A9544B">
        <w:tc>
          <w:tcPr>
            <w:tcW w:w="4536" w:type="dxa"/>
            <w:shd w:val="clear" w:color="auto" w:fill="auto"/>
          </w:tcPr>
          <w:p w:rsidR="00A9544B" w:rsidRPr="00DF6D9A" w:rsidRDefault="00A9544B" w:rsidP="00A9544B">
            <w:pPr>
              <w:spacing w:before="40" w:after="120"/>
              <w:ind w:left="170" w:right="113" w:hanging="170"/>
              <w:rPr>
                <w:szCs w:val="18"/>
                <w:lang w:val="fr-FR"/>
              </w:rPr>
            </w:pPr>
            <w:r w:rsidRPr="00DF6D9A">
              <w:rPr>
                <w:szCs w:val="18"/>
                <w:lang w:val="fr-FR"/>
              </w:rPr>
              <w:t>•</w:t>
            </w:r>
            <w:r w:rsidRPr="00DF6D9A">
              <w:rPr>
                <w:szCs w:val="18"/>
                <w:lang w:val="fr-FR"/>
              </w:rPr>
              <w:tab/>
              <w:t>Organiser des activités, notamment des ateliers, visant à renforcer la mise en œuvre de l</w:t>
            </w:r>
            <w:r w:rsidR="0006343E">
              <w:rPr>
                <w:szCs w:val="18"/>
                <w:lang w:val="fr-FR"/>
              </w:rPr>
              <w:t>’</w:t>
            </w:r>
            <w:r w:rsidRPr="00DF6D9A">
              <w:rPr>
                <w:szCs w:val="18"/>
                <w:lang w:val="fr-FR"/>
              </w:rPr>
              <w:t>ATP et à promouvoir l</w:t>
            </w:r>
            <w:r w:rsidR="0006343E">
              <w:rPr>
                <w:szCs w:val="18"/>
                <w:lang w:val="fr-FR"/>
              </w:rPr>
              <w:t>’</w:t>
            </w:r>
            <w:r w:rsidRPr="00DF6D9A">
              <w:rPr>
                <w:szCs w:val="18"/>
                <w:lang w:val="fr-FR"/>
              </w:rPr>
              <w:t>adhésion de nouveaux États</w:t>
            </w:r>
            <w:r>
              <w:rPr>
                <w:szCs w:val="18"/>
                <w:lang w:val="fr-FR"/>
              </w:rPr>
              <w:t> </w:t>
            </w:r>
            <w:r w:rsidRPr="00DF6D9A">
              <w:rPr>
                <w:szCs w:val="18"/>
                <w:lang w:val="fr-FR"/>
              </w:rPr>
              <w:t>;</w:t>
            </w:r>
          </w:p>
        </w:tc>
        <w:tc>
          <w:tcPr>
            <w:tcW w:w="2834" w:type="dxa"/>
            <w:shd w:val="clear" w:color="auto" w:fill="auto"/>
          </w:tcPr>
          <w:p w:rsidR="00A9544B" w:rsidRPr="00DF6D9A" w:rsidRDefault="00A9544B" w:rsidP="00DF6D9A">
            <w:pPr>
              <w:spacing w:before="40" w:after="120"/>
              <w:ind w:right="113"/>
              <w:rPr>
                <w:szCs w:val="18"/>
                <w:lang w:val="fr-FR"/>
              </w:rPr>
            </w:pPr>
          </w:p>
        </w:tc>
      </w:tr>
      <w:tr w:rsidR="00A9544B" w:rsidRPr="00DF6D9A" w:rsidTr="00A9544B">
        <w:trPr>
          <w:cantSplit/>
        </w:trPr>
        <w:tc>
          <w:tcPr>
            <w:tcW w:w="4536" w:type="dxa"/>
            <w:tcBorders>
              <w:bottom w:val="single" w:sz="12" w:space="0" w:color="auto"/>
            </w:tcBorders>
            <w:shd w:val="clear" w:color="auto" w:fill="auto"/>
          </w:tcPr>
          <w:p w:rsidR="00A9544B" w:rsidRPr="00DF6D9A" w:rsidDel="00817D5E" w:rsidRDefault="00A9544B" w:rsidP="00C92E25">
            <w:pPr>
              <w:spacing w:before="40" w:after="120"/>
              <w:ind w:left="170" w:right="113" w:hanging="170"/>
              <w:rPr>
                <w:szCs w:val="18"/>
                <w:lang w:val="fr-FR"/>
              </w:rPr>
            </w:pPr>
            <w:r w:rsidRPr="00DF6D9A">
              <w:rPr>
                <w:szCs w:val="18"/>
                <w:lang w:val="fr-FR"/>
              </w:rPr>
              <w:t>•</w:t>
            </w:r>
            <w:r w:rsidRPr="00DF6D9A">
              <w:rPr>
                <w:szCs w:val="18"/>
                <w:lang w:val="fr-FR"/>
              </w:rPr>
              <w:tab/>
              <w:t>Coopérer avec les gouvernements et d</w:t>
            </w:r>
            <w:r w:rsidR="0006343E">
              <w:rPr>
                <w:szCs w:val="18"/>
                <w:lang w:val="fr-FR"/>
              </w:rPr>
              <w:t>’</w:t>
            </w:r>
            <w:r w:rsidRPr="00DF6D9A">
              <w:rPr>
                <w:szCs w:val="18"/>
                <w:lang w:val="fr-FR"/>
              </w:rPr>
              <w:t>autres intervenants (organisations intergouvernementales et non gouvernementales) dans le domaine du transport réfrigéré.</w:t>
            </w:r>
          </w:p>
        </w:tc>
        <w:tc>
          <w:tcPr>
            <w:tcW w:w="2834" w:type="dxa"/>
            <w:tcBorders>
              <w:bottom w:val="single" w:sz="12" w:space="0" w:color="auto"/>
            </w:tcBorders>
            <w:shd w:val="clear" w:color="auto" w:fill="auto"/>
          </w:tcPr>
          <w:p w:rsidR="00A9544B" w:rsidRPr="00DF6D9A" w:rsidRDefault="00A9544B" w:rsidP="00C92E25">
            <w:pPr>
              <w:spacing w:before="40" w:after="120"/>
              <w:ind w:right="113"/>
              <w:rPr>
                <w:szCs w:val="18"/>
                <w:lang w:val="fr-FR"/>
              </w:rPr>
            </w:pPr>
          </w:p>
        </w:tc>
      </w:tr>
    </w:tbl>
    <w:p w:rsidR="00D651C4" w:rsidRPr="004B2AF9" w:rsidRDefault="00D651C4" w:rsidP="00A9544B">
      <w:pPr>
        <w:pStyle w:val="H23G"/>
        <w:rPr>
          <w:lang w:val="fr-FR"/>
        </w:rPr>
      </w:pPr>
      <w:r w:rsidRPr="004B2AF9">
        <w:rPr>
          <w:lang w:val="fr-FR"/>
        </w:rPr>
        <w:tab/>
      </w:r>
      <w:r w:rsidRPr="004B2AF9">
        <w:rPr>
          <w:lang w:val="fr-FR"/>
        </w:rPr>
        <w:tab/>
        <w:t>Produits/activités</w:t>
      </w:r>
    </w:p>
    <w:p w:rsidR="00D651C4" w:rsidRPr="00A9544B" w:rsidRDefault="00D651C4" w:rsidP="00A9544B">
      <w:pPr>
        <w:pStyle w:val="H4G"/>
      </w:pPr>
      <w:r w:rsidRPr="00A9544B">
        <w:rPr>
          <w:lang w:val="fr-FR"/>
        </w:rPr>
        <w:tab/>
        <w:t>a)</w:t>
      </w:r>
      <w:r w:rsidRPr="00A9544B">
        <w:rPr>
          <w:lang w:val="fr-FR"/>
        </w:rPr>
        <w:tab/>
        <w:t>Réunions et documents correspondants</w:t>
      </w:r>
    </w:p>
    <w:p w:rsidR="00D651C4" w:rsidRPr="004B2AF9" w:rsidRDefault="00D651C4" w:rsidP="00A9544B">
      <w:pPr>
        <w:spacing w:after="120" w:line="240" w:lineRule="auto"/>
        <w:ind w:left="1701" w:right="1134" w:hanging="567"/>
        <w:jc w:val="both"/>
        <w:rPr>
          <w:lang w:val="fr-FR"/>
        </w:rPr>
      </w:pPr>
      <w:r w:rsidRPr="004B2AF9">
        <w:rPr>
          <w:lang w:val="fr-FR"/>
        </w:rPr>
        <w:t>12.1</w:t>
      </w:r>
      <w:r w:rsidRPr="004B2AF9">
        <w:rPr>
          <w:lang w:val="fr-FR"/>
        </w:rPr>
        <w:tab/>
        <w:t>Groupe de travail du transport des denrées périssables (WP.11)</w:t>
      </w:r>
      <w:r w:rsidR="00A9544B">
        <w:rPr>
          <w:lang w:val="fr-FR"/>
        </w:rPr>
        <w:t> </w:t>
      </w:r>
      <w:r w:rsidRPr="004B2AF9">
        <w:rPr>
          <w:lang w:val="fr-FR"/>
        </w:rPr>
        <w:t>: soixante-douzième session (4-7</w:t>
      </w:r>
      <w:r w:rsidR="00A9544B">
        <w:rPr>
          <w:lang w:val="fr-FR"/>
        </w:rPr>
        <w:t> </w:t>
      </w:r>
      <w:r w:rsidRPr="004B2AF9">
        <w:rPr>
          <w:lang w:val="fr-FR"/>
        </w:rPr>
        <w:t>octobre 2016), soixante-treizième sess</w:t>
      </w:r>
      <w:r>
        <w:rPr>
          <w:lang w:val="fr-FR"/>
        </w:rPr>
        <w:t>ion (dates à fixer en 2017) (16 </w:t>
      </w:r>
      <w:r w:rsidRPr="004B2AF9">
        <w:rPr>
          <w:lang w:val="fr-FR"/>
        </w:rPr>
        <w:t>séances).</w:t>
      </w:r>
    </w:p>
    <w:p w:rsidR="00D651C4" w:rsidRPr="004B2AF9" w:rsidRDefault="00D651C4" w:rsidP="00D651C4">
      <w:pPr>
        <w:spacing w:after="120"/>
        <w:ind w:left="1689" w:right="1134"/>
        <w:jc w:val="both"/>
        <w:rPr>
          <w:lang w:val="fr-FR"/>
        </w:rPr>
      </w:pPr>
      <w:r w:rsidRPr="004B2AF9">
        <w:rPr>
          <w:lang w:val="fr-FR"/>
        </w:rPr>
        <w:t xml:space="preserve">Rapports des sessions annuelles du </w:t>
      </w:r>
      <w:r w:rsidRPr="001A6A3A">
        <w:rPr>
          <w:lang w:val="fr-FR"/>
        </w:rPr>
        <w:t xml:space="preserve">Groupe de travail </w:t>
      </w:r>
      <w:r w:rsidRPr="004B2AF9">
        <w:rPr>
          <w:lang w:val="fr-FR"/>
        </w:rPr>
        <w:t>(2); séries de documents concernant notamment les sujets suivants</w:t>
      </w:r>
      <w:r w:rsidR="00A9544B">
        <w:rPr>
          <w:lang w:val="fr-FR"/>
        </w:rPr>
        <w:t> </w:t>
      </w:r>
      <w:r w:rsidRPr="004B2AF9">
        <w:rPr>
          <w:lang w:val="fr-FR"/>
        </w:rPr>
        <w:t>: échange d</w:t>
      </w:r>
      <w:r w:rsidR="0006343E">
        <w:rPr>
          <w:lang w:val="fr-FR"/>
        </w:rPr>
        <w:t>’</w:t>
      </w:r>
      <w:r w:rsidRPr="004B2AF9">
        <w:rPr>
          <w:lang w:val="fr-FR"/>
        </w:rPr>
        <w:t>informations relatives à l</w:t>
      </w:r>
      <w:r w:rsidR="0006343E">
        <w:rPr>
          <w:lang w:val="fr-FR"/>
        </w:rPr>
        <w:t>’</w:t>
      </w:r>
      <w:r w:rsidRPr="004B2AF9">
        <w:rPr>
          <w:lang w:val="fr-FR"/>
        </w:rPr>
        <w:t>application de l</w:t>
      </w:r>
      <w:r w:rsidR="0006343E">
        <w:rPr>
          <w:lang w:val="fr-FR"/>
        </w:rPr>
        <w:t>’</w:t>
      </w:r>
      <w:r w:rsidRPr="004B2AF9">
        <w:rPr>
          <w:lang w:val="fr-FR"/>
        </w:rPr>
        <w:t>ATP</w:t>
      </w:r>
      <w:r w:rsidR="00A9544B">
        <w:rPr>
          <w:lang w:val="fr-FR"/>
        </w:rPr>
        <w:t> </w:t>
      </w:r>
      <w:r w:rsidRPr="004B2AF9">
        <w:rPr>
          <w:lang w:val="fr-FR"/>
        </w:rPr>
        <w:t>; propositions d</w:t>
      </w:r>
      <w:r w:rsidR="0006343E">
        <w:rPr>
          <w:lang w:val="fr-FR"/>
        </w:rPr>
        <w:t>’</w:t>
      </w:r>
      <w:r w:rsidRPr="004B2AF9">
        <w:rPr>
          <w:lang w:val="fr-FR"/>
        </w:rPr>
        <w:t>amendement à l</w:t>
      </w:r>
      <w:r w:rsidR="0006343E">
        <w:rPr>
          <w:lang w:val="fr-FR"/>
        </w:rPr>
        <w:t>’</w:t>
      </w:r>
      <w:r w:rsidRPr="004B2AF9">
        <w:rPr>
          <w:lang w:val="fr-FR"/>
        </w:rPr>
        <w:t>ATP et à ses annexes; propositions d</w:t>
      </w:r>
      <w:r w:rsidR="0006343E">
        <w:rPr>
          <w:lang w:val="fr-FR"/>
        </w:rPr>
        <w:t>’</w:t>
      </w:r>
      <w:r w:rsidRPr="004B2AF9">
        <w:rPr>
          <w:lang w:val="fr-FR"/>
        </w:rPr>
        <w:t>ajouts au Manuel ATP</w:t>
      </w:r>
      <w:r w:rsidR="00A9544B">
        <w:rPr>
          <w:lang w:val="fr-FR"/>
        </w:rPr>
        <w:t> </w:t>
      </w:r>
      <w:r w:rsidRPr="004B2AF9">
        <w:rPr>
          <w:lang w:val="fr-FR"/>
        </w:rPr>
        <w:t>; propositions relatives à une éventuelle extension du champ d</w:t>
      </w:r>
      <w:r w:rsidR="0006343E">
        <w:rPr>
          <w:lang w:val="fr-FR"/>
        </w:rPr>
        <w:t>’</w:t>
      </w:r>
      <w:r w:rsidRPr="004B2AF9">
        <w:rPr>
          <w:lang w:val="fr-FR"/>
        </w:rPr>
        <w:t>application de l</w:t>
      </w:r>
      <w:r w:rsidR="0006343E">
        <w:rPr>
          <w:lang w:val="fr-FR"/>
        </w:rPr>
        <w:t>’</w:t>
      </w:r>
      <w:r w:rsidRPr="004B2AF9">
        <w:rPr>
          <w:lang w:val="fr-FR"/>
        </w:rPr>
        <w:t>ATP</w:t>
      </w:r>
      <w:r w:rsidR="00A9544B">
        <w:rPr>
          <w:lang w:val="fr-FR"/>
        </w:rPr>
        <w:t> </w:t>
      </w:r>
      <w:r w:rsidRPr="004B2AF9">
        <w:rPr>
          <w:lang w:val="fr-FR"/>
        </w:rPr>
        <w:t>; programme de travail, évaluation bisannuelle et plan de travail (2).</w:t>
      </w:r>
    </w:p>
    <w:p w:rsidR="00D651C4" w:rsidRPr="00A9544B" w:rsidRDefault="00D651C4" w:rsidP="00A9544B">
      <w:pPr>
        <w:pStyle w:val="H4G"/>
        <w:rPr>
          <w:iCs/>
          <w:lang w:val="fr-FR"/>
        </w:rPr>
      </w:pPr>
      <w:r w:rsidRPr="00A9544B">
        <w:rPr>
          <w:lang w:val="fr-FR"/>
        </w:rPr>
        <w:tab/>
        <w:t>b)</w:t>
      </w:r>
      <w:r w:rsidRPr="00A9544B">
        <w:rPr>
          <w:lang w:val="fr-FR"/>
        </w:rPr>
        <w:tab/>
        <w:t>Publications et autres supports d</w:t>
      </w:r>
      <w:r w:rsidR="0006343E">
        <w:rPr>
          <w:lang w:val="fr-FR"/>
        </w:rPr>
        <w:t>’</w:t>
      </w:r>
      <w:r w:rsidRPr="00A9544B">
        <w:rPr>
          <w:lang w:val="fr-FR"/>
        </w:rPr>
        <w:t>information</w:t>
      </w:r>
    </w:p>
    <w:p w:rsidR="00D651C4" w:rsidRPr="004B2AF9" w:rsidRDefault="00D651C4" w:rsidP="00A9544B">
      <w:pPr>
        <w:spacing w:after="120" w:line="240" w:lineRule="auto"/>
        <w:ind w:left="1701" w:right="1134" w:hanging="567"/>
        <w:jc w:val="both"/>
        <w:rPr>
          <w:lang w:val="fr-FR"/>
        </w:rPr>
      </w:pPr>
      <w:r w:rsidRPr="004B2AF9">
        <w:rPr>
          <w:lang w:val="fr-FR"/>
        </w:rPr>
        <w:t>12.2</w:t>
      </w:r>
      <w:r w:rsidRPr="004B2AF9">
        <w:rPr>
          <w:lang w:val="fr-FR"/>
        </w:rPr>
        <w:tab/>
        <w:t>Publication de l</w:t>
      </w:r>
      <w:r w:rsidR="0006343E">
        <w:rPr>
          <w:lang w:val="fr-FR"/>
        </w:rPr>
        <w:t>’</w:t>
      </w:r>
      <w:r w:rsidRPr="004B2AF9">
        <w:rPr>
          <w:lang w:val="fr-FR"/>
        </w:rPr>
        <w:t>édition de 2016-2017 de l</w:t>
      </w:r>
      <w:r w:rsidR="0006343E">
        <w:rPr>
          <w:lang w:val="fr-FR"/>
        </w:rPr>
        <w:t>’</w:t>
      </w:r>
      <w:r w:rsidRPr="004B2AF9">
        <w:rPr>
          <w:lang w:val="fr-FR"/>
        </w:rPr>
        <w:t>ATP (1)</w:t>
      </w:r>
      <w:r w:rsidR="00A9544B">
        <w:rPr>
          <w:lang w:val="fr-FR"/>
        </w:rPr>
        <w:t>.</w:t>
      </w:r>
    </w:p>
    <w:p w:rsidR="00D651C4" w:rsidRPr="004B2AF9" w:rsidRDefault="00D651C4" w:rsidP="00A9544B">
      <w:pPr>
        <w:spacing w:after="120" w:line="240" w:lineRule="auto"/>
        <w:ind w:left="1701" w:right="1134" w:hanging="567"/>
        <w:jc w:val="both"/>
        <w:rPr>
          <w:lang w:val="fr-FR"/>
        </w:rPr>
      </w:pPr>
      <w:r w:rsidRPr="004B2AF9">
        <w:rPr>
          <w:lang w:val="fr-FR"/>
        </w:rPr>
        <w:t>12.3</w:t>
      </w:r>
      <w:r w:rsidRPr="004B2AF9">
        <w:rPr>
          <w:lang w:val="fr-FR"/>
        </w:rPr>
        <w:tab/>
      </w:r>
      <w:r w:rsidRPr="004B2AF9">
        <w:rPr>
          <w:szCs w:val="24"/>
          <w:lang w:val="fr-FR"/>
        </w:rPr>
        <w:t>Mises à jour du Manuel ATP sur le site Web de la Division des transports durables</w:t>
      </w:r>
      <w:r w:rsidRPr="004B2AF9">
        <w:rPr>
          <w:lang w:val="fr-FR"/>
        </w:rPr>
        <w:t>.</w:t>
      </w:r>
    </w:p>
    <w:p w:rsidR="00D651C4" w:rsidRPr="00A9544B" w:rsidRDefault="00D651C4" w:rsidP="00A9544B">
      <w:pPr>
        <w:pStyle w:val="H4G"/>
        <w:rPr>
          <w:lang w:val="fr-FR"/>
        </w:rPr>
      </w:pPr>
      <w:r w:rsidRPr="00A9544B">
        <w:rPr>
          <w:lang w:val="fr-FR"/>
        </w:rPr>
        <w:tab/>
        <w:t>c)</w:t>
      </w:r>
      <w:r w:rsidRPr="00A9544B">
        <w:rPr>
          <w:lang w:val="fr-FR"/>
        </w:rPr>
        <w:tab/>
        <w:t>Coopération technique</w:t>
      </w:r>
    </w:p>
    <w:p w:rsidR="00D651C4" w:rsidRPr="004B2AF9" w:rsidRDefault="00D651C4" w:rsidP="00A9544B">
      <w:pPr>
        <w:spacing w:after="120" w:line="240" w:lineRule="auto"/>
        <w:ind w:left="1701" w:right="1134" w:hanging="567"/>
        <w:jc w:val="both"/>
        <w:rPr>
          <w:lang w:val="fr-FR"/>
        </w:rPr>
      </w:pPr>
      <w:r w:rsidRPr="004B2AF9">
        <w:rPr>
          <w:lang w:val="fr-FR"/>
        </w:rPr>
        <w:t>12.4</w:t>
      </w:r>
      <w:r w:rsidRPr="004B2AF9">
        <w:rPr>
          <w:lang w:val="fr-FR"/>
        </w:rPr>
        <w:tab/>
        <w:t>Activités, notamment d</w:t>
      </w:r>
      <w:r w:rsidR="0006343E">
        <w:rPr>
          <w:lang w:val="fr-FR"/>
        </w:rPr>
        <w:t>’</w:t>
      </w:r>
      <w:r w:rsidRPr="004B2AF9">
        <w:rPr>
          <w:lang w:val="fr-FR"/>
        </w:rPr>
        <w:t>éventuels ateliers, visant à renforcer l</w:t>
      </w:r>
      <w:r w:rsidR="0006343E">
        <w:rPr>
          <w:lang w:val="fr-FR"/>
        </w:rPr>
        <w:t>’</w:t>
      </w:r>
      <w:r w:rsidRPr="004B2AF9">
        <w:rPr>
          <w:lang w:val="fr-FR"/>
        </w:rPr>
        <w:t>application de l</w:t>
      </w:r>
      <w:r w:rsidR="0006343E">
        <w:rPr>
          <w:lang w:val="fr-FR"/>
        </w:rPr>
        <w:t>’</w:t>
      </w:r>
      <w:r w:rsidRPr="004B2AF9">
        <w:rPr>
          <w:lang w:val="fr-FR"/>
        </w:rPr>
        <w:t>ATP, à promouvoir l</w:t>
      </w:r>
      <w:r w:rsidR="0006343E">
        <w:rPr>
          <w:lang w:val="fr-FR"/>
        </w:rPr>
        <w:t>’</w:t>
      </w:r>
      <w:r w:rsidRPr="004B2AF9">
        <w:rPr>
          <w:lang w:val="fr-FR"/>
        </w:rPr>
        <w:t xml:space="preserve">adhésion de pays appartenant ou non à la région de la CEE, et à réduire les </w:t>
      </w:r>
      <w:r>
        <w:rPr>
          <w:lang w:val="fr-FR"/>
        </w:rPr>
        <w:t>incidences</w:t>
      </w:r>
      <w:r w:rsidRPr="004B2AF9">
        <w:rPr>
          <w:lang w:val="fr-FR"/>
        </w:rPr>
        <w:t xml:space="preserve"> sur l</w:t>
      </w:r>
      <w:r w:rsidR="0006343E">
        <w:rPr>
          <w:lang w:val="fr-FR"/>
        </w:rPr>
        <w:t>’</w:t>
      </w:r>
      <w:r w:rsidRPr="004B2AF9">
        <w:rPr>
          <w:lang w:val="fr-FR"/>
        </w:rPr>
        <w:t>environnement du transport réfrigéré</w:t>
      </w:r>
      <w:r w:rsidR="00A9544B">
        <w:rPr>
          <w:lang w:val="fr-FR"/>
        </w:rPr>
        <w:t> </w:t>
      </w:r>
      <w:r w:rsidRPr="004B2AF9">
        <w:rPr>
          <w:lang w:val="fr-FR"/>
        </w:rPr>
        <w:t>;</w:t>
      </w:r>
    </w:p>
    <w:p w:rsidR="00D651C4" w:rsidRDefault="00D651C4" w:rsidP="00A9544B">
      <w:pPr>
        <w:spacing w:after="120" w:line="240" w:lineRule="auto"/>
        <w:ind w:left="1701" w:right="1134" w:hanging="567"/>
        <w:jc w:val="both"/>
        <w:rPr>
          <w:lang w:val="fr-FR"/>
        </w:rPr>
      </w:pPr>
      <w:r w:rsidRPr="004B2AF9">
        <w:rPr>
          <w:lang w:val="fr-FR"/>
        </w:rPr>
        <w:t>12.5</w:t>
      </w:r>
      <w:r w:rsidRPr="004B2AF9">
        <w:rPr>
          <w:lang w:val="fr-FR"/>
        </w:rPr>
        <w:tab/>
        <w:t>Coopération avec d</w:t>
      </w:r>
      <w:r w:rsidR="0006343E">
        <w:rPr>
          <w:lang w:val="fr-FR"/>
        </w:rPr>
        <w:t>’</w:t>
      </w:r>
      <w:r w:rsidRPr="004B2AF9">
        <w:rPr>
          <w:lang w:val="fr-FR"/>
        </w:rPr>
        <w:t>autres entités actives dans le domaine du transport réfrigéré, notamment l</w:t>
      </w:r>
      <w:r w:rsidR="0006343E">
        <w:rPr>
          <w:lang w:val="fr-FR"/>
        </w:rPr>
        <w:t>’</w:t>
      </w:r>
      <w:r w:rsidRPr="004B2AF9">
        <w:rPr>
          <w:lang w:val="fr-FR"/>
        </w:rPr>
        <w:t>Association internationale de la construction de carrosseries et de remorques, l</w:t>
      </w:r>
      <w:r w:rsidR="0006343E">
        <w:rPr>
          <w:lang w:val="fr-FR"/>
        </w:rPr>
        <w:t>’</w:t>
      </w:r>
      <w:r w:rsidRPr="004B2AF9">
        <w:rPr>
          <w:lang w:val="fr-FR"/>
        </w:rPr>
        <w:t>Institut international du froid et Transfrigoroute International.</w:t>
      </w:r>
    </w:p>
    <w:p w:rsidR="00E6008C" w:rsidRPr="00E6008C" w:rsidRDefault="00E6008C" w:rsidP="00E6008C">
      <w:pPr>
        <w:pStyle w:val="HChG"/>
      </w:pPr>
      <w:r>
        <w:rPr>
          <w:lang w:val="fr-FR"/>
        </w:rPr>
        <w:br w:type="page"/>
      </w:r>
      <w:bookmarkStart w:id="140" w:name="_Toc432670219"/>
      <w:r w:rsidRPr="004B2AF9">
        <w:rPr>
          <w:lang w:val="fr-FR"/>
        </w:rPr>
        <w:t>Annexe V</w:t>
      </w:r>
      <w:bookmarkEnd w:id="140"/>
    </w:p>
    <w:p w:rsidR="00E6008C" w:rsidRPr="004B2AF9" w:rsidRDefault="00E6008C" w:rsidP="00E6008C">
      <w:pPr>
        <w:pStyle w:val="HChG"/>
        <w:rPr>
          <w:lang w:val="fr-FR"/>
        </w:rPr>
      </w:pPr>
      <w:r w:rsidRPr="004B2AF9">
        <w:rPr>
          <w:lang w:val="fr-FR"/>
        </w:rPr>
        <w:tab/>
      </w:r>
      <w:r w:rsidRPr="004B2AF9">
        <w:rPr>
          <w:lang w:val="fr-FR"/>
        </w:rPr>
        <w:tab/>
        <w:t xml:space="preserve">Proposition </w:t>
      </w:r>
      <w:r w:rsidRPr="00E6008C">
        <w:t>d</w:t>
      </w:r>
      <w:r w:rsidR="0006343E">
        <w:t>’</w:t>
      </w:r>
      <w:r w:rsidRPr="00E6008C">
        <w:t>évaluation</w:t>
      </w:r>
      <w:r w:rsidRPr="004B2AF9">
        <w:rPr>
          <w:lang w:val="fr-FR"/>
        </w:rPr>
        <w:t xml:space="preserve"> pour l</w:t>
      </w:r>
      <w:r w:rsidR="0006343E">
        <w:rPr>
          <w:lang w:val="fr-FR"/>
        </w:rPr>
        <w:t>’</w:t>
      </w:r>
      <w:r w:rsidRPr="004B2AF9">
        <w:rPr>
          <w:lang w:val="fr-FR"/>
        </w:rPr>
        <w:t>exercice biennal 2016-2017</w:t>
      </w:r>
    </w:p>
    <w:tbl>
      <w:tblPr>
        <w:tblW w:w="7370" w:type="dxa"/>
        <w:tblInd w:w="1134" w:type="dxa"/>
        <w:tblLayout w:type="fixed"/>
        <w:tblCellMar>
          <w:left w:w="0" w:type="dxa"/>
          <w:right w:w="0" w:type="dxa"/>
        </w:tblCellMar>
        <w:tblLook w:val="01E0" w:firstRow="1" w:lastRow="1" w:firstColumn="1" w:lastColumn="1" w:noHBand="0" w:noVBand="0"/>
      </w:tblPr>
      <w:tblGrid>
        <w:gridCol w:w="1418"/>
        <w:gridCol w:w="2460"/>
        <w:gridCol w:w="3492"/>
      </w:tblGrid>
      <w:tr w:rsidR="006E4548" w:rsidRPr="00E6008C" w:rsidTr="00C42B98">
        <w:trPr>
          <w:tblHeader/>
        </w:trPr>
        <w:tc>
          <w:tcPr>
            <w:tcW w:w="1418" w:type="dxa"/>
            <w:tcBorders>
              <w:top w:val="single" w:sz="4" w:space="0" w:color="auto"/>
              <w:bottom w:val="single" w:sz="12" w:space="0" w:color="auto"/>
            </w:tcBorders>
            <w:shd w:val="clear" w:color="auto" w:fill="auto"/>
            <w:vAlign w:val="bottom"/>
          </w:tcPr>
          <w:p w:rsidR="00E6008C" w:rsidRPr="00E6008C" w:rsidRDefault="00E6008C" w:rsidP="00E6008C">
            <w:pPr>
              <w:spacing w:before="80" w:after="80" w:line="200" w:lineRule="exact"/>
              <w:ind w:right="113"/>
              <w:rPr>
                <w:i/>
                <w:sz w:val="16"/>
                <w:lang w:val="fr-FR"/>
              </w:rPr>
            </w:pPr>
            <w:r w:rsidRPr="00E6008C">
              <w:rPr>
                <w:i/>
                <w:sz w:val="16"/>
                <w:lang w:val="fr-FR"/>
              </w:rPr>
              <w:br w:type="page"/>
            </w:r>
            <w:r w:rsidRPr="00E6008C">
              <w:rPr>
                <w:i/>
                <w:sz w:val="16"/>
                <w:lang w:val="fr-FR"/>
              </w:rPr>
              <w:br w:type="page"/>
            </w:r>
            <w:r w:rsidRPr="00E6008C">
              <w:rPr>
                <w:i/>
                <w:sz w:val="16"/>
                <w:lang w:val="fr-FR"/>
              </w:rPr>
              <w:br w:type="page"/>
              <w:t>Groupe d</w:t>
            </w:r>
            <w:r w:rsidR="0006343E">
              <w:rPr>
                <w:i/>
                <w:sz w:val="16"/>
                <w:lang w:val="fr-FR"/>
              </w:rPr>
              <w:t>’</w:t>
            </w:r>
            <w:r w:rsidRPr="00E6008C">
              <w:rPr>
                <w:i/>
                <w:sz w:val="16"/>
                <w:lang w:val="fr-FR"/>
              </w:rPr>
              <w:t>activité</w:t>
            </w:r>
          </w:p>
        </w:tc>
        <w:tc>
          <w:tcPr>
            <w:tcW w:w="2460" w:type="dxa"/>
            <w:tcBorders>
              <w:top w:val="single" w:sz="4" w:space="0" w:color="auto"/>
              <w:bottom w:val="single" w:sz="12" w:space="0" w:color="auto"/>
            </w:tcBorders>
            <w:shd w:val="clear" w:color="auto" w:fill="auto"/>
            <w:vAlign w:val="bottom"/>
          </w:tcPr>
          <w:p w:rsidR="00E6008C" w:rsidRPr="00E6008C" w:rsidRDefault="00E6008C" w:rsidP="00E6008C">
            <w:pPr>
              <w:spacing w:before="80" w:after="80" w:line="200" w:lineRule="exact"/>
              <w:ind w:right="113"/>
              <w:rPr>
                <w:i/>
                <w:sz w:val="16"/>
                <w:lang w:val="fr-FR"/>
              </w:rPr>
            </w:pPr>
            <w:r w:rsidRPr="00E6008C">
              <w:rPr>
                <w:i/>
                <w:sz w:val="16"/>
                <w:lang w:val="fr-FR"/>
              </w:rPr>
              <w:t>Réalisations escomptées</w:t>
            </w:r>
          </w:p>
        </w:tc>
        <w:tc>
          <w:tcPr>
            <w:tcW w:w="3492" w:type="dxa"/>
            <w:tcBorders>
              <w:top w:val="single" w:sz="4" w:space="0" w:color="auto"/>
              <w:bottom w:val="single" w:sz="12" w:space="0" w:color="auto"/>
            </w:tcBorders>
            <w:shd w:val="clear" w:color="auto" w:fill="auto"/>
            <w:vAlign w:val="bottom"/>
          </w:tcPr>
          <w:p w:rsidR="00E6008C" w:rsidRPr="00E6008C" w:rsidRDefault="00E6008C" w:rsidP="00E6008C">
            <w:pPr>
              <w:spacing w:before="80" w:after="80" w:line="200" w:lineRule="exact"/>
              <w:rPr>
                <w:i/>
                <w:sz w:val="16"/>
                <w:lang w:val="fr-FR"/>
              </w:rPr>
            </w:pPr>
            <w:r w:rsidRPr="00E6008C">
              <w:rPr>
                <w:i/>
                <w:sz w:val="16"/>
                <w:lang w:val="fr-FR"/>
              </w:rPr>
              <w:t>Indicateurs de succès</w:t>
            </w:r>
          </w:p>
        </w:tc>
      </w:tr>
      <w:tr w:rsidR="00E6008C" w:rsidRPr="00E6008C" w:rsidTr="00C42B98">
        <w:trPr>
          <w:trHeight w:hRule="exact" w:val="113"/>
          <w:tblHeader/>
        </w:trPr>
        <w:tc>
          <w:tcPr>
            <w:tcW w:w="1418" w:type="dxa"/>
            <w:tcBorders>
              <w:top w:val="single" w:sz="12" w:space="0" w:color="auto"/>
            </w:tcBorders>
            <w:shd w:val="clear" w:color="auto" w:fill="auto"/>
          </w:tcPr>
          <w:p w:rsidR="00E6008C" w:rsidRPr="00E6008C" w:rsidRDefault="00E6008C" w:rsidP="00E6008C">
            <w:pPr>
              <w:spacing w:before="40" w:after="120"/>
              <w:ind w:right="113"/>
              <w:rPr>
                <w:lang w:val="fr-FR"/>
              </w:rPr>
            </w:pPr>
          </w:p>
        </w:tc>
        <w:tc>
          <w:tcPr>
            <w:tcW w:w="2460" w:type="dxa"/>
            <w:tcBorders>
              <w:top w:val="single" w:sz="12" w:space="0" w:color="auto"/>
            </w:tcBorders>
            <w:shd w:val="clear" w:color="auto" w:fill="auto"/>
          </w:tcPr>
          <w:p w:rsidR="00E6008C" w:rsidRPr="00E6008C" w:rsidRDefault="00E6008C" w:rsidP="00E6008C">
            <w:pPr>
              <w:spacing w:before="40" w:after="120"/>
              <w:ind w:right="113"/>
              <w:rPr>
                <w:lang w:val="fr-FR"/>
              </w:rPr>
            </w:pPr>
          </w:p>
        </w:tc>
        <w:tc>
          <w:tcPr>
            <w:tcW w:w="3492" w:type="dxa"/>
            <w:tcBorders>
              <w:top w:val="single" w:sz="12" w:space="0" w:color="auto"/>
            </w:tcBorders>
            <w:shd w:val="clear" w:color="auto" w:fill="auto"/>
          </w:tcPr>
          <w:p w:rsidR="00E6008C" w:rsidRPr="00E6008C" w:rsidRDefault="00E6008C" w:rsidP="00E6008C">
            <w:pPr>
              <w:spacing w:before="40" w:after="120"/>
              <w:rPr>
                <w:lang w:val="fr-FR"/>
              </w:rPr>
            </w:pPr>
          </w:p>
        </w:tc>
      </w:tr>
      <w:tr w:rsidR="006E4548" w:rsidRPr="00E6008C" w:rsidTr="00C42B98">
        <w:tc>
          <w:tcPr>
            <w:tcW w:w="1418" w:type="dxa"/>
            <w:shd w:val="clear" w:color="auto" w:fill="auto"/>
          </w:tcPr>
          <w:p w:rsidR="00E6008C" w:rsidRPr="00E6008C" w:rsidRDefault="00E6008C" w:rsidP="00E6008C">
            <w:pPr>
              <w:spacing w:before="40" w:after="120"/>
              <w:ind w:right="113"/>
              <w:rPr>
                <w:lang w:val="fr-FR"/>
              </w:rPr>
            </w:pPr>
            <w:r w:rsidRPr="00E6008C">
              <w:rPr>
                <w:lang w:val="fr-FR"/>
              </w:rPr>
              <w:t>Transport de denrées périssables</w:t>
            </w:r>
          </w:p>
        </w:tc>
        <w:tc>
          <w:tcPr>
            <w:tcW w:w="2460" w:type="dxa"/>
            <w:shd w:val="clear" w:color="auto" w:fill="auto"/>
          </w:tcPr>
          <w:p w:rsidR="00E6008C" w:rsidRPr="00E6008C" w:rsidRDefault="00E6008C" w:rsidP="006E4548">
            <w:pPr>
              <w:spacing w:before="40" w:after="120"/>
              <w:ind w:right="113"/>
              <w:rPr>
                <w:lang w:val="fr-FR"/>
              </w:rPr>
            </w:pPr>
            <w:r w:rsidRPr="00E6008C">
              <w:rPr>
                <w:lang w:val="fr-FR"/>
              </w:rPr>
              <w:t>Renforcement et mise à jour des prescriptions régissant le</w:t>
            </w:r>
            <w:r w:rsidR="006E4548">
              <w:rPr>
                <w:lang w:val="fr-FR"/>
              </w:rPr>
              <w:t> </w:t>
            </w:r>
            <w:r w:rsidRPr="00E6008C">
              <w:rPr>
                <w:lang w:val="fr-FR"/>
              </w:rPr>
              <w:t>transport international des</w:t>
            </w:r>
            <w:r w:rsidR="006E4548">
              <w:rPr>
                <w:lang w:val="fr-FR"/>
              </w:rPr>
              <w:t> </w:t>
            </w:r>
            <w:r w:rsidRPr="00E6008C">
              <w:rPr>
                <w:lang w:val="fr-FR"/>
              </w:rPr>
              <w:t>denrées périssables</w:t>
            </w:r>
          </w:p>
        </w:tc>
        <w:tc>
          <w:tcPr>
            <w:tcW w:w="3492" w:type="dxa"/>
            <w:shd w:val="clear" w:color="auto" w:fill="auto"/>
          </w:tcPr>
          <w:p w:rsidR="00E6008C" w:rsidRPr="00E6008C" w:rsidRDefault="00E6008C" w:rsidP="00E30975">
            <w:pPr>
              <w:spacing w:before="40" w:after="120"/>
              <w:rPr>
                <w:lang w:val="fr-FR"/>
              </w:rPr>
            </w:pPr>
            <w:r w:rsidRPr="00E6008C">
              <w:rPr>
                <w:lang w:val="fr-FR"/>
              </w:rPr>
              <w:t>a)</w:t>
            </w:r>
            <w:r w:rsidRPr="00E6008C">
              <w:rPr>
                <w:lang w:val="fr-FR"/>
              </w:rPr>
              <w:tab/>
              <w:t>Pourcentage des propositions d</w:t>
            </w:r>
            <w:r w:rsidR="0006343E">
              <w:rPr>
                <w:lang w:val="fr-FR"/>
              </w:rPr>
              <w:t>’</w:t>
            </w:r>
            <w:r w:rsidRPr="00E6008C">
              <w:rPr>
                <w:lang w:val="fr-FR"/>
              </w:rPr>
              <w:t>amendement autres que</w:t>
            </w:r>
            <w:r>
              <w:rPr>
                <w:lang w:val="fr-FR"/>
              </w:rPr>
              <w:t xml:space="preserve"> </w:t>
            </w:r>
            <w:r w:rsidRPr="00E6008C">
              <w:rPr>
                <w:lang w:val="fr-FR"/>
              </w:rPr>
              <w:t>rédactionnelles par rapport au</w:t>
            </w:r>
            <w:r>
              <w:rPr>
                <w:lang w:val="fr-FR"/>
              </w:rPr>
              <w:t xml:space="preserve"> </w:t>
            </w:r>
            <w:r w:rsidRPr="00E6008C">
              <w:rPr>
                <w:lang w:val="fr-FR"/>
              </w:rPr>
              <w:t>nombre total de propositions d</w:t>
            </w:r>
            <w:r w:rsidR="0006343E">
              <w:rPr>
                <w:lang w:val="fr-FR"/>
              </w:rPr>
              <w:t>’</w:t>
            </w:r>
            <w:r w:rsidRPr="00E6008C">
              <w:rPr>
                <w:lang w:val="fr-FR"/>
              </w:rPr>
              <w:t>amendement adoptées par</w:t>
            </w:r>
            <w:r>
              <w:rPr>
                <w:lang w:val="fr-FR"/>
              </w:rPr>
              <w:t xml:space="preserve"> </w:t>
            </w:r>
            <w:r w:rsidRPr="00E6008C">
              <w:rPr>
                <w:lang w:val="fr-FR"/>
              </w:rPr>
              <w:t>le</w:t>
            </w:r>
            <w:r>
              <w:rPr>
                <w:lang w:val="fr-FR"/>
              </w:rPr>
              <w:t xml:space="preserve"> </w:t>
            </w:r>
            <w:r w:rsidRPr="00E6008C">
              <w:rPr>
                <w:lang w:val="fr-FR"/>
              </w:rPr>
              <w:t>WP.11</w:t>
            </w:r>
          </w:p>
        </w:tc>
      </w:tr>
      <w:tr w:rsidR="00E30975" w:rsidRPr="00E6008C" w:rsidTr="00C42B98">
        <w:tc>
          <w:tcPr>
            <w:tcW w:w="1418" w:type="dxa"/>
            <w:shd w:val="clear" w:color="auto" w:fill="auto"/>
          </w:tcPr>
          <w:p w:rsidR="00E30975" w:rsidRPr="00E6008C" w:rsidRDefault="00E30975" w:rsidP="00E6008C">
            <w:pPr>
              <w:spacing w:before="40" w:after="120"/>
              <w:ind w:right="113"/>
              <w:rPr>
                <w:lang w:val="fr-FR"/>
              </w:rPr>
            </w:pPr>
          </w:p>
        </w:tc>
        <w:tc>
          <w:tcPr>
            <w:tcW w:w="2460" w:type="dxa"/>
            <w:shd w:val="clear" w:color="auto" w:fill="auto"/>
          </w:tcPr>
          <w:p w:rsidR="00E30975" w:rsidRPr="00E6008C" w:rsidRDefault="00E30975" w:rsidP="006E4548">
            <w:pPr>
              <w:spacing w:before="40" w:after="120"/>
              <w:ind w:right="113"/>
              <w:rPr>
                <w:lang w:val="fr-FR"/>
              </w:rPr>
            </w:pPr>
          </w:p>
        </w:tc>
        <w:tc>
          <w:tcPr>
            <w:tcW w:w="3492" w:type="dxa"/>
            <w:shd w:val="clear" w:color="auto" w:fill="auto"/>
          </w:tcPr>
          <w:p w:rsidR="00E30975" w:rsidRPr="00E6008C" w:rsidRDefault="00E30975" w:rsidP="00965642">
            <w:pPr>
              <w:spacing w:before="40" w:after="120"/>
              <w:rPr>
                <w:lang w:val="fr-FR"/>
              </w:rPr>
            </w:pPr>
            <w:r w:rsidRPr="00E6008C">
              <w:rPr>
                <w:lang w:val="fr-FR"/>
              </w:rPr>
              <w:t>Mesures des résultats</w:t>
            </w:r>
            <w:r>
              <w:rPr>
                <w:lang w:val="fr-FR"/>
              </w:rPr>
              <w:t> </w:t>
            </w:r>
            <w:r w:rsidRPr="00E6008C">
              <w:rPr>
                <w:lang w:val="fr-FR"/>
              </w:rPr>
              <w:t>:</w:t>
            </w:r>
            <w:r w:rsidR="00965642">
              <w:rPr>
                <w:lang w:val="fr-FR"/>
              </w:rPr>
              <w:t xml:space="preserve"> </w:t>
            </w:r>
            <w:r w:rsidR="00965642">
              <w:rPr>
                <w:lang w:val="fr-FR"/>
              </w:rPr>
              <w:br/>
            </w:r>
            <w:r w:rsidRPr="00E6008C">
              <w:rPr>
                <w:lang w:val="fr-FR"/>
              </w:rPr>
              <w:t>Estimation</w:t>
            </w:r>
            <w:r>
              <w:rPr>
                <w:lang w:val="fr-FR"/>
              </w:rPr>
              <w:t> </w:t>
            </w:r>
            <w:r w:rsidRPr="00E6008C">
              <w:rPr>
                <w:lang w:val="fr-FR"/>
              </w:rPr>
              <w:t>: 2014-2015</w:t>
            </w:r>
            <w:r>
              <w:rPr>
                <w:lang w:val="fr-FR"/>
              </w:rPr>
              <w:t> </w:t>
            </w:r>
            <w:r w:rsidRPr="00E6008C">
              <w:rPr>
                <w:lang w:val="fr-FR"/>
              </w:rPr>
              <w:t>: 50</w:t>
            </w:r>
            <w:r>
              <w:rPr>
                <w:lang w:val="fr-FR"/>
              </w:rPr>
              <w:t> </w:t>
            </w:r>
            <w:r w:rsidRPr="00E6008C">
              <w:rPr>
                <w:lang w:val="fr-FR"/>
              </w:rPr>
              <w:t>%</w:t>
            </w:r>
            <w:r>
              <w:rPr>
                <w:lang w:val="fr-FR"/>
              </w:rPr>
              <w:t xml:space="preserve"> </w:t>
            </w:r>
            <w:r>
              <w:rPr>
                <w:lang w:val="fr-FR"/>
              </w:rPr>
              <w:br/>
            </w:r>
            <w:r w:rsidRPr="00E6008C">
              <w:rPr>
                <w:lang w:val="fr-FR"/>
              </w:rPr>
              <w:t>Objectif</w:t>
            </w:r>
            <w:r>
              <w:rPr>
                <w:lang w:val="fr-FR"/>
              </w:rPr>
              <w:t> </w:t>
            </w:r>
            <w:r w:rsidRPr="00E6008C">
              <w:rPr>
                <w:lang w:val="fr-FR"/>
              </w:rPr>
              <w:t>: 2016-2017</w:t>
            </w:r>
            <w:r>
              <w:rPr>
                <w:lang w:val="fr-FR"/>
              </w:rPr>
              <w:t> </w:t>
            </w:r>
            <w:r w:rsidRPr="00E6008C">
              <w:rPr>
                <w:lang w:val="fr-FR"/>
              </w:rPr>
              <w:t>: 60</w:t>
            </w:r>
            <w:r>
              <w:rPr>
                <w:lang w:val="fr-FR"/>
              </w:rPr>
              <w:t> </w:t>
            </w:r>
            <w:r w:rsidRPr="00E6008C">
              <w:rPr>
                <w:lang w:val="fr-FR"/>
              </w:rPr>
              <w:t>%</w:t>
            </w:r>
          </w:p>
        </w:tc>
      </w:tr>
      <w:tr w:rsidR="00C42B98" w:rsidRPr="00E6008C" w:rsidTr="00C42B98">
        <w:tc>
          <w:tcPr>
            <w:tcW w:w="1418" w:type="dxa"/>
            <w:shd w:val="clear" w:color="auto" w:fill="auto"/>
          </w:tcPr>
          <w:p w:rsidR="00E6008C" w:rsidRPr="00E6008C" w:rsidRDefault="00E6008C" w:rsidP="00E6008C">
            <w:pPr>
              <w:spacing w:before="40" w:after="120"/>
              <w:ind w:right="113"/>
              <w:rPr>
                <w:lang w:val="fr-FR"/>
              </w:rPr>
            </w:pPr>
          </w:p>
        </w:tc>
        <w:tc>
          <w:tcPr>
            <w:tcW w:w="2460" w:type="dxa"/>
            <w:shd w:val="clear" w:color="auto" w:fill="auto"/>
          </w:tcPr>
          <w:p w:rsidR="00E6008C" w:rsidRPr="00E6008C" w:rsidRDefault="00E6008C" w:rsidP="00E6008C">
            <w:pPr>
              <w:spacing w:before="40" w:after="120"/>
              <w:ind w:right="113"/>
              <w:rPr>
                <w:lang w:val="fr-FR"/>
              </w:rPr>
            </w:pPr>
          </w:p>
        </w:tc>
        <w:tc>
          <w:tcPr>
            <w:tcW w:w="3492" w:type="dxa"/>
            <w:shd w:val="clear" w:color="auto" w:fill="auto"/>
          </w:tcPr>
          <w:p w:rsidR="00E6008C" w:rsidRPr="00E6008C" w:rsidRDefault="00E6008C" w:rsidP="00E6008C">
            <w:pPr>
              <w:spacing w:before="40" w:after="120"/>
              <w:rPr>
                <w:lang w:val="fr-FR"/>
              </w:rPr>
            </w:pPr>
            <w:r w:rsidRPr="00E6008C">
              <w:rPr>
                <w:lang w:val="fr-FR"/>
              </w:rPr>
              <w:t>b)</w:t>
            </w:r>
            <w:r w:rsidRPr="00E6008C">
              <w:rPr>
                <w:lang w:val="fr-FR"/>
              </w:rPr>
              <w:tab/>
              <w:t>Nombre total de Parties contractantes à l</w:t>
            </w:r>
            <w:r w:rsidR="0006343E">
              <w:rPr>
                <w:lang w:val="fr-FR"/>
              </w:rPr>
              <w:t>’</w:t>
            </w:r>
            <w:r w:rsidRPr="00E6008C">
              <w:rPr>
                <w:lang w:val="fr-FR"/>
              </w:rPr>
              <w:t>ATP</w:t>
            </w:r>
          </w:p>
        </w:tc>
      </w:tr>
      <w:tr w:rsidR="00C42B98" w:rsidRPr="00E6008C" w:rsidTr="00C42B98">
        <w:tc>
          <w:tcPr>
            <w:tcW w:w="1418" w:type="dxa"/>
            <w:shd w:val="clear" w:color="auto" w:fill="auto"/>
          </w:tcPr>
          <w:p w:rsidR="00E6008C" w:rsidRPr="00E6008C" w:rsidRDefault="00E6008C" w:rsidP="00E6008C">
            <w:pPr>
              <w:spacing w:before="40" w:after="120"/>
              <w:ind w:right="113"/>
              <w:rPr>
                <w:lang w:val="fr-FR"/>
              </w:rPr>
            </w:pPr>
          </w:p>
        </w:tc>
        <w:tc>
          <w:tcPr>
            <w:tcW w:w="2460" w:type="dxa"/>
            <w:shd w:val="clear" w:color="auto" w:fill="auto"/>
          </w:tcPr>
          <w:p w:rsidR="00E6008C" w:rsidRPr="00E6008C" w:rsidRDefault="00E6008C" w:rsidP="00E6008C">
            <w:pPr>
              <w:spacing w:before="40" w:after="120"/>
              <w:ind w:right="113"/>
              <w:rPr>
                <w:lang w:val="fr-FR"/>
              </w:rPr>
            </w:pPr>
          </w:p>
        </w:tc>
        <w:tc>
          <w:tcPr>
            <w:tcW w:w="3492" w:type="dxa"/>
            <w:shd w:val="clear" w:color="auto" w:fill="auto"/>
          </w:tcPr>
          <w:p w:rsidR="00E6008C" w:rsidRPr="00E6008C" w:rsidRDefault="00E6008C" w:rsidP="00965642">
            <w:pPr>
              <w:spacing w:before="40" w:after="120"/>
              <w:rPr>
                <w:lang w:val="fr-FR"/>
              </w:rPr>
            </w:pPr>
            <w:r w:rsidRPr="00E6008C">
              <w:rPr>
                <w:lang w:val="fr-FR"/>
              </w:rPr>
              <w:t>Mesures des résultats</w:t>
            </w:r>
            <w:r w:rsidR="00965642">
              <w:rPr>
                <w:lang w:val="fr-FR"/>
              </w:rPr>
              <w:t> </w:t>
            </w:r>
            <w:r w:rsidRPr="00E6008C">
              <w:rPr>
                <w:lang w:val="fr-FR"/>
              </w:rPr>
              <w:t>:</w:t>
            </w:r>
            <w:r w:rsidR="00965642">
              <w:rPr>
                <w:lang w:val="fr-FR"/>
              </w:rPr>
              <w:t xml:space="preserve"> </w:t>
            </w:r>
            <w:r w:rsidR="00965642">
              <w:rPr>
                <w:lang w:val="fr-FR"/>
              </w:rPr>
              <w:br/>
            </w:r>
            <w:r w:rsidRPr="00E6008C">
              <w:rPr>
                <w:lang w:val="fr-FR"/>
              </w:rPr>
              <w:t>Estimation</w:t>
            </w:r>
            <w:r w:rsidR="008F669E">
              <w:rPr>
                <w:lang w:val="fr-FR"/>
              </w:rPr>
              <w:t> </w:t>
            </w:r>
            <w:r w:rsidRPr="00E6008C">
              <w:rPr>
                <w:lang w:val="fr-FR"/>
              </w:rPr>
              <w:t>: 2014-2015: 49</w:t>
            </w:r>
            <w:r w:rsidR="0057283D">
              <w:rPr>
                <w:lang w:val="fr-FR"/>
              </w:rPr>
              <w:t xml:space="preserve"> </w:t>
            </w:r>
            <w:r w:rsidRPr="00E6008C">
              <w:rPr>
                <w:lang w:val="fr-FR"/>
              </w:rPr>
              <w:br/>
              <w:t>Objectif</w:t>
            </w:r>
            <w:r w:rsidR="008F669E">
              <w:rPr>
                <w:lang w:val="fr-FR"/>
              </w:rPr>
              <w:t> </w:t>
            </w:r>
            <w:r w:rsidRPr="00E6008C">
              <w:rPr>
                <w:lang w:val="fr-FR"/>
              </w:rPr>
              <w:t>: 2016-2017</w:t>
            </w:r>
            <w:r w:rsidR="00C42B98">
              <w:rPr>
                <w:lang w:val="fr-FR"/>
              </w:rPr>
              <w:t> </w:t>
            </w:r>
            <w:r w:rsidRPr="00E6008C">
              <w:rPr>
                <w:lang w:val="fr-FR"/>
              </w:rPr>
              <w:t>: 51</w:t>
            </w:r>
          </w:p>
        </w:tc>
      </w:tr>
      <w:tr w:rsidR="00C42B98" w:rsidRPr="00E6008C" w:rsidTr="00C42B98">
        <w:tc>
          <w:tcPr>
            <w:tcW w:w="1418" w:type="dxa"/>
            <w:shd w:val="clear" w:color="auto" w:fill="auto"/>
          </w:tcPr>
          <w:p w:rsidR="00E6008C" w:rsidRPr="00E6008C" w:rsidRDefault="00E6008C" w:rsidP="00E6008C">
            <w:pPr>
              <w:spacing w:before="40" w:after="120"/>
              <w:ind w:right="113"/>
              <w:rPr>
                <w:lang w:val="fr-FR"/>
              </w:rPr>
            </w:pPr>
          </w:p>
        </w:tc>
        <w:tc>
          <w:tcPr>
            <w:tcW w:w="2460" w:type="dxa"/>
            <w:shd w:val="clear" w:color="auto" w:fill="auto"/>
          </w:tcPr>
          <w:p w:rsidR="00E6008C" w:rsidRPr="00E6008C" w:rsidRDefault="00E6008C" w:rsidP="00E6008C">
            <w:pPr>
              <w:spacing w:before="40" w:after="120"/>
              <w:ind w:right="113"/>
              <w:rPr>
                <w:lang w:val="fr-FR"/>
              </w:rPr>
            </w:pPr>
          </w:p>
        </w:tc>
        <w:tc>
          <w:tcPr>
            <w:tcW w:w="3492" w:type="dxa"/>
            <w:shd w:val="clear" w:color="auto" w:fill="auto"/>
          </w:tcPr>
          <w:p w:rsidR="00E6008C" w:rsidRPr="00E6008C" w:rsidRDefault="00E6008C" w:rsidP="00E6008C">
            <w:pPr>
              <w:spacing w:before="40" w:after="120"/>
              <w:rPr>
                <w:lang w:val="fr-FR"/>
              </w:rPr>
            </w:pPr>
            <w:r w:rsidRPr="00E6008C">
              <w:rPr>
                <w:lang w:val="fr-FR"/>
              </w:rPr>
              <w:t>c)</w:t>
            </w:r>
            <w:r w:rsidRPr="00E6008C">
              <w:rPr>
                <w:lang w:val="fr-FR"/>
              </w:rPr>
              <w:tab/>
              <w:t>Nombre de pays ayant répondu au questionnaire sur la mise en</w:t>
            </w:r>
            <w:r>
              <w:rPr>
                <w:lang w:val="fr-FR"/>
              </w:rPr>
              <w:t xml:space="preserve"> </w:t>
            </w:r>
            <w:r w:rsidRPr="00E6008C">
              <w:rPr>
                <w:lang w:val="fr-FR"/>
              </w:rPr>
              <w:t>œuvre de l</w:t>
            </w:r>
            <w:r w:rsidR="0006343E">
              <w:rPr>
                <w:lang w:val="fr-FR"/>
              </w:rPr>
              <w:t>’</w:t>
            </w:r>
            <w:r w:rsidRPr="00E6008C">
              <w:rPr>
                <w:lang w:val="fr-FR"/>
              </w:rPr>
              <w:t>ATP</w:t>
            </w:r>
          </w:p>
        </w:tc>
      </w:tr>
      <w:tr w:rsidR="006E4548" w:rsidRPr="00E6008C" w:rsidTr="00C42B98">
        <w:tc>
          <w:tcPr>
            <w:tcW w:w="1418" w:type="dxa"/>
            <w:tcBorders>
              <w:bottom w:val="single" w:sz="12" w:space="0" w:color="auto"/>
            </w:tcBorders>
            <w:shd w:val="clear" w:color="auto" w:fill="auto"/>
          </w:tcPr>
          <w:p w:rsidR="00E6008C" w:rsidRPr="00E6008C" w:rsidRDefault="00E6008C" w:rsidP="00E6008C">
            <w:pPr>
              <w:spacing w:before="40" w:after="120"/>
              <w:ind w:right="113"/>
              <w:rPr>
                <w:lang w:val="fr-FR"/>
              </w:rPr>
            </w:pPr>
          </w:p>
        </w:tc>
        <w:tc>
          <w:tcPr>
            <w:tcW w:w="2460" w:type="dxa"/>
            <w:tcBorders>
              <w:bottom w:val="single" w:sz="12" w:space="0" w:color="auto"/>
            </w:tcBorders>
            <w:shd w:val="clear" w:color="auto" w:fill="auto"/>
          </w:tcPr>
          <w:p w:rsidR="00E6008C" w:rsidRPr="00E6008C" w:rsidRDefault="00E6008C" w:rsidP="00E6008C">
            <w:pPr>
              <w:spacing w:before="40" w:after="120"/>
              <w:ind w:right="113"/>
              <w:rPr>
                <w:lang w:val="fr-FR"/>
              </w:rPr>
            </w:pPr>
          </w:p>
        </w:tc>
        <w:tc>
          <w:tcPr>
            <w:tcW w:w="3492" w:type="dxa"/>
            <w:tcBorders>
              <w:bottom w:val="single" w:sz="12" w:space="0" w:color="auto"/>
            </w:tcBorders>
            <w:shd w:val="clear" w:color="auto" w:fill="auto"/>
          </w:tcPr>
          <w:p w:rsidR="00E6008C" w:rsidRPr="00E6008C" w:rsidRDefault="00E6008C" w:rsidP="00965642">
            <w:pPr>
              <w:spacing w:before="40" w:after="120"/>
              <w:rPr>
                <w:lang w:val="fr-FR"/>
              </w:rPr>
            </w:pPr>
            <w:r w:rsidRPr="00E6008C">
              <w:rPr>
                <w:lang w:val="fr-FR"/>
              </w:rPr>
              <w:t>Mesures des résultats</w:t>
            </w:r>
            <w:r w:rsidR="00C42B98">
              <w:rPr>
                <w:lang w:val="fr-FR"/>
              </w:rPr>
              <w:t> </w:t>
            </w:r>
            <w:r w:rsidRPr="00E6008C">
              <w:rPr>
                <w:lang w:val="fr-FR"/>
              </w:rPr>
              <w:t>:</w:t>
            </w:r>
            <w:r w:rsidR="00965642">
              <w:rPr>
                <w:lang w:val="fr-FR"/>
              </w:rPr>
              <w:t xml:space="preserve"> </w:t>
            </w:r>
            <w:r w:rsidR="00965642">
              <w:rPr>
                <w:lang w:val="fr-FR"/>
              </w:rPr>
              <w:br/>
            </w:r>
            <w:r w:rsidRPr="00E6008C">
              <w:rPr>
                <w:lang w:val="fr-FR"/>
              </w:rPr>
              <w:t>Estimation</w:t>
            </w:r>
            <w:r w:rsidR="00C42B98">
              <w:rPr>
                <w:lang w:val="fr-FR"/>
              </w:rPr>
              <w:t> </w:t>
            </w:r>
            <w:r w:rsidRPr="00E6008C">
              <w:rPr>
                <w:lang w:val="fr-FR"/>
              </w:rPr>
              <w:t>: 2014-2015</w:t>
            </w:r>
            <w:r w:rsidR="00C42B98">
              <w:rPr>
                <w:lang w:val="fr-FR"/>
              </w:rPr>
              <w:t> </w:t>
            </w:r>
            <w:r w:rsidRPr="00E6008C">
              <w:rPr>
                <w:lang w:val="fr-FR"/>
              </w:rPr>
              <w:t>: 21</w:t>
            </w:r>
            <w:r w:rsidR="00C42B98">
              <w:rPr>
                <w:lang w:val="fr-FR"/>
              </w:rPr>
              <w:t xml:space="preserve"> </w:t>
            </w:r>
            <w:r w:rsidRPr="00E6008C">
              <w:rPr>
                <w:lang w:val="fr-FR"/>
              </w:rPr>
              <w:t>Objectif</w:t>
            </w:r>
            <w:r w:rsidR="00C42B98">
              <w:rPr>
                <w:lang w:val="fr-FR"/>
              </w:rPr>
              <w:t> </w:t>
            </w:r>
            <w:r w:rsidRPr="00E6008C">
              <w:rPr>
                <w:lang w:val="fr-FR"/>
              </w:rPr>
              <w:t>:</w:t>
            </w:r>
            <w:r w:rsidR="00C42B98">
              <w:rPr>
                <w:lang w:val="fr-FR"/>
              </w:rPr>
              <w:t> </w:t>
            </w:r>
            <w:r w:rsidRPr="00E6008C">
              <w:rPr>
                <w:lang w:val="fr-FR"/>
              </w:rPr>
              <w:t>2016-2017</w:t>
            </w:r>
            <w:r w:rsidR="00C42B98">
              <w:rPr>
                <w:lang w:val="fr-FR"/>
              </w:rPr>
              <w:t> </w:t>
            </w:r>
            <w:r w:rsidRPr="00E6008C">
              <w:rPr>
                <w:lang w:val="fr-FR"/>
              </w:rPr>
              <w:t>: 24</w:t>
            </w:r>
          </w:p>
        </w:tc>
      </w:tr>
    </w:tbl>
    <w:p w:rsidR="0032644E" w:rsidRPr="0032644E" w:rsidRDefault="0032644E" w:rsidP="0032644E">
      <w:pPr>
        <w:pStyle w:val="HChG"/>
      </w:pPr>
      <w:r>
        <w:br w:type="page"/>
      </w:r>
      <w:bookmarkStart w:id="141" w:name="_Toc432670221"/>
      <w:r w:rsidRPr="004B2AF9">
        <w:rPr>
          <w:lang w:val="fr-FR"/>
        </w:rPr>
        <w:t>Annexe VI</w:t>
      </w:r>
      <w:bookmarkEnd w:id="141"/>
    </w:p>
    <w:p w:rsidR="0032644E" w:rsidRPr="0032644E" w:rsidRDefault="0032644E" w:rsidP="0032644E">
      <w:pPr>
        <w:pStyle w:val="HChG"/>
      </w:pPr>
      <w:bookmarkStart w:id="142" w:name="_Toc401568285"/>
      <w:bookmarkStart w:id="143" w:name="_Toc401568690"/>
      <w:r w:rsidRPr="004B2AF9">
        <w:rPr>
          <w:lang w:val="fr-FR"/>
        </w:rPr>
        <w:tab/>
      </w:r>
      <w:r w:rsidRPr="004B2AF9">
        <w:rPr>
          <w:lang w:val="fr-FR"/>
        </w:rPr>
        <w:tab/>
      </w:r>
      <w:bookmarkStart w:id="144" w:name="_Toc432670222"/>
      <w:r w:rsidRPr="004B2AF9">
        <w:rPr>
          <w:lang w:val="fr-FR"/>
        </w:rPr>
        <w:t>Projet de plan de travail pour 2016-2020</w:t>
      </w:r>
      <w:bookmarkEnd w:id="142"/>
      <w:bookmarkEnd w:id="143"/>
      <w:bookmarkEnd w:id="144"/>
    </w:p>
    <w:p w:rsidR="0032644E" w:rsidRPr="004B2AF9" w:rsidRDefault="0032644E" w:rsidP="0032644E">
      <w:pPr>
        <w:pStyle w:val="H23G"/>
        <w:rPr>
          <w:lang w:val="fr-FR"/>
        </w:rPr>
      </w:pPr>
      <w:r>
        <w:rPr>
          <w:lang w:val="fr-FR"/>
        </w:rPr>
        <w:tab/>
      </w:r>
      <w:r>
        <w:rPr>
          <w:lang w:val="fr-FR"/>
        </w:rPr>
        <w:tab/>
      </w:r>
      <w:r w:rsidRPr="004B2AF9">
        <w:rPr>
          <w:lang w:val="fr-FR"/>
        </w:rPr>
        <w:t>Activité 02.11 : TRANSPORT DES DENRÉES PÉRISSABLES</w:t>
      </w:r>
    </w:p>
    <w:tbl>
      <w:tblPr>
        <w:tblW w:w="7370" w:type="dxa"/>
        <w:tblInd w:w="1134" w:type="dxa"/>
        <w:tblLayout w:type="fixed"/>
        <w:tblCellMar>
          <w:left w:w="0" w:type="dxa"/>
          <w:right w:w="0" w:type="dxa"/>
        </w:tblCellMar>
        <w:tblLook w:val="01E0" w:firstRow="1" w:lastRow="1" w:firstColumn="1" w:lastColumn="1" w:noHBand="0" w:noVBand="0"/>
      </w:tblPr>
      <w:tblGrid>
        <w:gridCol w:w="6237"/>
        <w:gridCol w:w="1133"/>
      </w:tblGrid>
      <w:tr w:rsidR="0032644E" w:rsidRPr="0032644E" w:rsidTr="00E357DD">
        <w:tc>
          <w:tcPr>
            <w:tcW w:w="6237" w:type="dxa"/>
            <w:shd w:val="clear" w:color="auto" w:fill="auto"/>
          </w:tcPr>
          <w:p w:rsidR="0032644E" w:rsidRPr="0057283D" w:rsidRDefault="0032644E" w:rsidP="0032644E">
            <w:pPr>
              <w:spacing w:before="40" w:after="120"/>
              <w:ind w:right="113"/>
              <w:rPr>
                <w:u w:val="single"/>
                <w:lang w:val="fr-FR"/>
              </w:rPr>
            </w:pPr>
            <w:r w:rsidRPr="0057283D">
              <w:rPr>
                <w:u w:val="single"/>
                <w:lang w:val="fr-FR"/>
              </w:rPr>
              <w:t>Harmonisation des règlements et des normes concernant le transport international de denrées périssables et facilitation de son fonctionnement</w:t>
            </w:r>
          </w:p>
        </w:tc>
        <w:tc>
          <w:tcPr>
            <w:tcW w:w="1133" w:type="dxa"/>
            <w:shd w:val="clear" w:color="auto" w:fill="auto"/>
          </w:tcPr>
          <w:p w:rsidR="0032644E" w:rsidRPr="0032644E" w:rsidRDefault="0032644E" w:rsidP="00E357DD">
            <w:pPr>
              <w:spacing w:before="40" w:after="120"/>
              <w:ind w:right="113"/>
              <w:rPr>
                <w:lang w:val="fr-FR"/>
              </w:rPr>
            </w:pPr>
            <w:r w:rsidRPr="0032644E">
              <w:rPr>
                <w:lang w:val="fr-FR"/>
              </w:rPr>
              <w:t>Priorité</w:t>
            </w:r>
            <w:r>
              <w:rPr>
                <w:lang w:val="fr-FR"/>
              </w:rPr>
              <w:t> </w:t>
            </w:r>
            <w:r w:rsidRPr="0032644E">
              <w:rPr>
                <w:lang w:val="fr-FR"/>
              </w:rPr>
              <w:t>: 2</w:t>
            </w:r>
          </w:p>
        </w:tc>
      </w:tr>
      <w:tr w:rsidR="0032644E" w:rsidRPr="0032644E" w:rsidTr="0032644E">
        <w:tc>
          <w:tcPr>
            <w:tcW w:w="6237" w:type="dxa"/>
            <w:shd w:val="clear" w:color="auto" w:fill="auto"/>
          </w:tcPr>
          <w:p w:rsidR="0032644E" w:rsidRPr="0032644E" w:rsidRDefault="0032644E" w:rsidP="0032644E">
            <w:pPr>
              <w:spacing w:before="40" w:after="120"/>
              <w:ind w:right="113"/>
              <w:rPr>
                <w:lang w:val="fr-FR"/>
              </w:rPr>
            </w:pPr>
            <w:r w:rsidRPr="0057283D">
              <w:rPr>
                <w:u w:val="single"/>
                <w:lang w:val="fr-FR"/>
              </w:rPr>
              <w:t>Exposé succinct</w:t>
            </w:r>
            <w:r w:rsidR="0057283D" w:rsidRPr="0057283D">
              <w:rPr>
                <w:lang w:val="fr-FR"/>
              </w:rPr>
              <w:t> </w:t>
            </w:r>
            <w:r w:rsidRPr="0032644E">
              <w:rPr>
                <w:lang w:val="fr-FR"/>
              </w:rPr>
              <w:t>: Examen de l</w:t>
            </w:r>
            <w:r w:rsidR="0006343E">
              <w:rPr>
                <w:lang w:val="fr-FR"/>
              </w:rPr>
              <w:t>’</w:t>
            </w:r>
            <w:r w:rsidRPr="0032644E">
              <w:rPr>
                <w:lang w:val="fr-FR"/>
              </w:rPr>
              <w:t>harmonisation et de la facilitation du transport international des denrées périssables régies par l</w:t>
            </w:r>
            <w:r w:rsidR="0006343E">
              <w:rPr>
                <w:lang w:val="fr-FR"/>
              </w:rPr>
              <w:t>’</w:t>
            </w:r>
            <w:r w:rsidRPr="0032644E">
              <w:rPr>
                <w:lang w:val="fr-FR"/>
              </w:rPr>
              <w:t>Accord ATP et actualisation de ce dernier de manière à suivre les évolutions techniques et écologiques en tenant compte des normes de sûreté et de qualité.</w:t>
            </w:r>
          </w:p>
        </w:tc>
        <w:tc>
          <w:tcPr>
            <w:tcW w:w="1133" w:type="dxa"/>
            <w:shd w:val="clear" w:color="auto" w:fill="auto"/>
          </w:tcPr>
          <w:p w:rsidR="0032644E" w:rsidRPr="0032644E" w:rsidRDefault="0032644E" w:rsidP="0032644E">
            <w:pPr>
              <w:spacing w:before="40" w:after="120"/>
              <w:ind w:right="113"/>
              <w:rPr>
                <w:lang w:val="fr-FR"/>
              </w:rPr>
            </w:pPr>
          </w:p>
        </w:tc>
      </w:tr>
    </w:tbl>
    <w:p w:rsidR="0032644E" w:rsidRPr="004B2AF9" w:rsidRDefault="0032644E" w:rsidP="00E357DD">
      <w:pPr>
        <w:pStyle w:val="SingleTxtG"/>
        <w:rPr>
          <w:lang w:val="fr-FR"/>
        </w:rPr>
      </w:pPr>
      <w:r w:rsidRPr="004B2AF9">
        <w:rPr>
          <w:lang w:val="fr-FR"/>
        </w:rPr>
        <w:t>Tâches à accomplir</w:t>
      </w:r>
      <w:r w:rsidR="00E357DD">
        <w:rPr>
          <w:lang w:val="fr-FR"/>
        </w:rPr>
        <w:t> </w:t>
      </w:r>
      <w:r w:rsidRPr="004B2AF9">
        <w:rPr>
          <w:lang w:val="fr-FR"/>
        </w:rPr>
        <w:t>:</w:t>
      </w:r>
    </w:p>
    <w:p w:rsidR="0032644E" w:rsidRPr="004B2AF9" w:rsidRDefault="0032644E" w:rsidP="00E357DD">
      <w:pPr>
        <w:pStyle w:val="H23G"/>
        <w:rPr>
          <w:lang w:val="fr-FR"/>
        </w:rPr>
      </w:pPr>
      <w:r w:rsidRPr="004B2AF9">
        <w:rPr>
          <w:lang w:val="fr-FR"/>
        </w:rPr>
        <w:tab/>
      </w:r>
      <w:r w:rsidRPr="004B2AF9">
        <w:rPr>
          <w:lang w:val="fr-FR"/>
        </w:rPr>
        <w:tab/>
        <w:t>Activités permanentes</w:t>
      </w:r>
    </w:p>
    <w:tbl>
      <w:tblPr>
        <w:tblW w:w="7370" w:type="dxa"/>
        <w:tblInd w:w="1134" w:type="dxa"/>
        <w:tblLayout w:type="fixed"/>
        <w:tblCellMar>
          <w:left w:w="0" w:type="dxa"/>
          <w:right w:w="0" w:type="dxa"/>
        </w:tblCellMar>
        <w:tblLook w:val="01E0" w:firstRow="1" w:lastRow="1" w:firstColumn="1" w:lastColumn="1" w:noHBand="0" w:noVBand="0"/>
      </w:tblPr>
      <w:tblGrid>
        <w:gridCol w:w="6237"/>
        <w:gridCol w:w="1133"/>
      </w:tblGrid>
      <w:tr w:rsidR="00E357DD" w:rsidRPr="00E357DD" w:rsidTr="00E357DD">
        <w:tc>
          <w:tcPr>
            <w:tcW w:w="6237" w:type="dxa"/>
            <w:shd w:val="clear" w:color="auto" w:fill="auto"/>
            <w:vAlign w:val="bottom"/>
          </w:tcPr>
          <w:p w:rsidR="00E357DD" w:rsidRPr="00E357DD" w:rsidRDefault="00E357DD" w:rsidP="00E357DD">
            <w:pPr>
              <w:spacing w:before="40" w:after="120"/>
              <w:ind w:right="113" w:firstLine="567"/>
              <w:rPr>
                <w:lang w:val="fr-FR"/>
              </w:rPr>
            </w:pPr>
            <w:r w:rsidRPr="00E357DD">
              <w:rPr>
                <w:lang w:val="fr-FR"/>
              </w:rPr>
              <w:t>a)</w:t>
            </w:r>
            <w:r w:rsidRPr="00E357DD">
              <w:rPr>
                <w:lang w:val="fr-FR"/>
              </w:rPr>
              <w:tab/>
              <w:t>Examen des propositions d</w:t>
            </w:r>
            <w:r w:rsidR="0006343E">
              <w:rPr>
                <w:lang w:val="fr-FR"/>
              </w:rPr>
              <w:t>’</w:t>
            </w:r>
            <w:r w:rsidRPr="00E357DD">
              <w:rPr>
                <w:lang w:val="fr-FR"/>
              </w:rPr>
              <w:t>amendement à l</w:t>
            </w:r>
            <w:r w:rsidR="0006343E">
              <w:rPr>
                <w:lang w:val="fr-FR"/>
              </w:rPr>
              <w:t>’</w:t>
            </w:r>
            <w:r w:rsidRPr="00E357DD">
              <w:rPr>
                <w:lang w:val="fr-FR"/>
              </w:rPr>
              <w:t>ATP de manière à l</w:t>
            </w:r>
            <w:r w:rsidR="0006343E">
              <w:rPr>
                <w:lang w:val="fr-FR"/>
              </w:rPr>
              <w:t>’</w:t>
            </w:r>
            <w:r w:rsidRPr="00E357DD">
              <w:rPr>
                <w:lang w:val="fr-FR"/>
              </w:rPr>
              <w:t>actualiser en adéquation avec le progrès technique</w:t>
            </w:r>
          </w:p>
        </w:tc>
        <w:tc>
          <w:tcPr>
            <w:tcW w:w="1133" w:type="dxa"/>
            <w:shd w:val="clear" w:color="auto" w:fill="auto"/>
          </w:tcPr>
          <w:p w:rsidR="00E357DD" w:rsidRPr="00E357DD" w:rsidRDefault="00E357DD" w:rsidP="00E357DD">
            <w:pPr>
              <w:spacing w:before="40" w:after="120"/>
              <w:ind w:right="113"/>
              <w:rPr>
                <w:lang w:val="fr-FR"/>
              </w:rPr>
            </w:pPr>
            <w:r w:rsidRPr="00E357DD">
              <w:rPr>
                <w:lang w:val="fr-FR"/>
              </w:rPr>
              <w:t>Priorité</w:t>
            </w:r>
            <w:r>
              <w:rPr>
                <w:lang w:val="fr-FR"/>
              </w:rPr>
              <w:t> </w:t>
            </w:r>
            <w:r w:rsidRPr="00E357DD">
              <w:rPr>
                <w:lang w:val="fr-FR"/>
              </w:rPr>
              <w:t>: 1</w:t>
            </w:r>
          </w:p>
        </w:tc>
      </w:tr>
      <w:tr w:rsidR="00E357DD" w:rsidRPr="00E357DD" w:rsidTr="00E357DD">
        <w:tc>
          <w:tcPr>
            <w:tcW w:w="6237" w:type="dxa"/>
            <w:shd w:val="clear" w:color="auto" w:fill="auto"/>
          </w:tcPr>
          <w:p w:rsidR="00E357DD" w:rsidRPr="00E357DD" w:rsidRDefault="00E357DD" w:rsidP="00E357DD">
            <w:pPr>
              <w:spacing w:before="40" w:after="120"/>
              <w:ind w:right="113"/>
              <w:rPr>
                <w:u w:val="single"/>
                <w:lang w:val="fr-FR"/>
              </w:rPr>
            </w:pPr>
            <w:r w:rsidRPr="00E357DD">
              <w:rPr>
                <w:u w:val="single"/>
                <w:lang w:val="fr-FR"/>
              </w:rPr>
              <w:t>Résultats escomptés d</w:t>
            </w:r>
            <w:r w:rsidR="0006343E">
              <w:rPr>
                <w:u w:val="single"/>
                <w:lang w:val="fr-FR"/>
              </w:rPr>
              <w:t>’</w:t>
            </w:r>
            <w:r w:rsidRPr="00E357DD">
              <w:rPr>
                <w:u w:val="single"/>
                <w:lang w:val="fr-FR"/>
              </w:rPr>
              <w:t xml:space="preserve">ici à la fin de </w:t>
            </w:r>
            <w:r w:rsidRPr="00E357DD">
              <w:rPr>
                <w:b/>
                <w:u w:val="single"/>
                <w:lang w:val="fr-FR"/>
              </w:rPr>
              <w:t>2017</w:t>
            </w:r>
            <w:r w:rsidRPr="00E357DD">
              <w:rPr>
                <w:b/>
                <w:lang w:val="fr-FR"/>
              </w:rPr>
              <w:t> </w:t>
            </w:r>
            <w:r w:rsidRPr="00E357DD">
              <w:rPr>
                <w:lang w:val="fr-FR"/>
              </w:rPr>
              <w:t>: Entrée en vigueur des amendements aux annexes de l</w:t>
            </w:r>
            <w:r w:rsidR="0006343E">
              <w:rPr>
                <w:lang w:val="fr-FR"/>
              </w:rPr>
              <w:t>’</w:t>
            </w:r>
            <w:r w:rsidRPr="00E357DD">
              <w:rPr>
                <w:lang w:val="fr-FR"/>
              </w:rPr>
              <w:t>ATP et parution de la version récapitulative de l</w:t>
            </w:r>
            <w:r w:rsidR="0006343E">
              <w:rPr>
                <w:lang w:val="fr-FR"/>
              </w:rPr>
              <w:t>’</w:t>
            </w:r>
            <w:r w:rsidRPr="00E357DD">
              <w:rPr>
                <w:lang w:val="fr-FR"/>
              </w:rPr>
              <w:t>ATP à titre de publication de l</w:t>
            </w:r>
            <w:r w:rsidR="0006343E">
              <w:rPr>
                <w:lang w:val="fr-FR"/>
              </w:rPr>
              <w:t>’</w:t>
            </w:r>
            <w:r w:rsidRPr="00E357DD">
              <w:rPr>
                <w:lang w:val="fr-FR"/>
              </w:rPr>
              <w:t>ONU destinée à la vente.</w:t>
            </w:r>
          </w:p>
        </w:tc>
        <w:tc>
          <w:tcPr>
            <w:tcW w:w="1133" w:type="dxa"/>
            <w:shd w:val="clear" w:color="auto" w:fill="auto"/>
          </w:tcPr>
          <w:p w:rsidR="00E357DD" w:rsidRPr="00E357DD" w:rsidRDefault="00E357DD" w:rsidP="00E357DD">
            <w:pPr>
              <w:spacing w:before="40" w:after="120"/>
              <w:ind w:right="113"/>
              <w:rPr>
                <w:szCs w:val="22"/>
                <w:u w:val="single"/>
                <w:lang w:val="fr-FR"/>
              </w:rPr>
            </w:pPr>
          </w:p>
        </w:tc>
      </w:tr>
      <w:tr w:rsidR="0032644E" w:rsidRPr="00E357DD" w:rsidTr="00E357DD">
        <w:tc>
          <w:tcPr>
            <w:tcW w:w="6237" w:type="dxa"/>
            <w:shd w:val="clear" w:color="auto" w:fill="auto"/>
          </w:tcPr>
          <w:p w:rsidR="0032644E" w:rsidRPr="00E357DD" w:rsidRDefault="0032644E" w:rsidP="00E357DD">
            <w:pPr>
              <w:spacing w:before="40" w:after="120"/>
              <w:ind w:right="113" w:firstLine="567"/>
              <w:rPr>
                <w:szCs w:val="22"/>
                <w:lang w:val="fr-FR"/>
              </w:rPr>
            </w:pPr>
            <w:r w:rsidRPr="00E357DD">
              <w:rPr>
                <w:szCs w:val="22"/>
                <w:lang w:val="fr-FR"/>
              </w:rPr>
              <w:t>b)</w:t>
            </w:r>
            <w:r w:rsidRPr="00E357DD">
              <w:rPr>
                <w:szCs w:val="22"/>
                <w:lang w:val="fr-FR"/>
              </w:rPr>
              <w:tab/>
              <w:t>Échange d</w:t>
            </w:r>
            <w:r w:rsidR="0006343E">
              <w:rPr>
                <w:szCs w:val="22"/>
                <w:lang w:val="fr-FR"/>
              </w:rPr>
              <w:t>’</w:t>
            </w:r>
            <w:r w:rsidRPr="00E357DD">
              <w:rPr>
                <w:szCs w:val="22"/>
                <w:lang w:val="fr-FR"/>
              </w:rPr>
              <w:t>informations sur l</w:t>
            </w:r>
            <w:r w:rsidR="0006343E">
              <w:rPr>
                <w:szCs w:val="22"/>
                <w:lang w:val="fr-FR"/>
              </w:rPr>
              <w:t>’</w:t>
            </w:r>
            <w:r w:rsidRPr="00E357DD">
              <w:rPr>
                <w:szCs w:val="22"/>
                <w:lang w:val="fr-FR"/>
              </w:rPr>
              <w:t>application de l</w:t>
            </w:r>
            <w:r w:rsidR="0006343E">
              <w:rPr>
                <w:szCs w:val="22"/>
                <w:lang w:val="fr-FR"/>
              </w:rPr>
              <w:t>’</w:t>
            </w:r>
            <w:r w:rsidRPr="00E357DD">
              <w:rPr>
                <w:szCs w:val="22"/>
                <w:lang w:val="fr-FR"/>
              </w:rPr>
              <w:t>ATP, en vertu de l</w:t>
            </w:r>
            <w:r w:rsidR="0006343E">
              <w:rPr>
                <w:szCs w:val="22"/>
                <w:lang w:val="fr-FR"/>
              </w:rPr>
              <w:t>’</w:t>
            </w:r>
            <w:r w:rsidRPr="00E357DD">
              <w:rPr>
                <w:szCs w:val="22"/>
                <w:lang w:val="fr-FR"/>
              </w:rPr>
              <w:t>article 6</w:t>
            </w:r>
          </w:p>
        </w:tc>
        <w:tc>
          <w:tcPr>
            <w:tcW w:w="1133" w:type="dxa"/>
            <w:shd w:val="clear" w:color="auto" w:fill="auto"/>
          </w:tcPr>
          <w:p w:rsidR="0032644E" w:rsidRPr="00E357DD" w:rsidRDefault="0032644E" w:rsidP="00E357DD">
            <w:pPr>
              <w:spacing w:before="40" w:after="120"/>
              <w:ind w:right="113"/>
              <w:rPr>
                <w:szCs w:val="22"/>
                <w:lang w:val="fr-FR"/>
              </w:rPr>
            </w:pPr>
            <w:r w:rsidRPr="00E357DD">
              <w:rPr>
                <w:szCs w:val="22"/>
                <w:lang w:val="fr-FR"/>
              </w:rPr>
              <w:t>Priorité</w:t>
            </w:r>
            <w:r w:rsidR="00E357DD">
              <w:rPr>
                <w:szCs w:val="22"/>
                <w:lang w:val="fr-FR"/>
              </w:rPr>
              <w:t> </w:t>
            </w:r>
            <w:r w:rsidRPr="00E357DD">
              <w:rPr>
                <w:szCs w:val="22"/>
                <w:lang w:val="fr-FR"/>
              </w:rPr>
              <w:t>: 1</w:t>
            </w:r>
          </w:p>
        </w:tc>
      </w:tr>
      <w:tr w:rsidR="0032644E" w:rsidRPr="00E357DD" w:rsidTr="00E357DD">
        <w:tc>
          <w:tcPr>
            <w:tcW w:w="6237" w:type="dxa"/>
            <w:shd w:val="clear" w:color="auto" w:fill="auto"/>
          </w:tcPr>
          <w:p w:rsidR="0032644E" w:rsidRPr="00E357DD" w:rsidRDefault="0032644E" w:rsidP="00E357DD">
            <w:pPr>
              <w:spacing w:before="40" w:after="120"/>
              <w:ind w:right="113"/>
              <w:rPr>
                <w:szCs w:val="22"/>
                <w:lang w:val="fr-FR"/>
              </w:rPr>
            </w:pPr>
            <w:r w:rsidRPr="00E357DD">
              <w:rPr>
                <w:szCs w:val="22"/>
                <w:u w:val="single"/>
                <w:lang w:val="fr-FR"/>
              </w:rPr>
              <w:t>Résultats escomptés d</w:t>
            </w:r>
            <w:r w:rsidR="0006343E">
              <w:rPr>
                <w:szCs w:val="22"/>
                <w:u w:val="single"/>
                <w:lang w:val="fr-FR"/>
              </w:rPr>
              <w:t>’</w:t>
            </w:r>
            <w:r w:rsidRPr="00E357DD">
              <w:rPr>
                <w:szCs w:val="22"/>
                <w:u w:val="single"/>
                <w:lang w:val="fr-FR"/>
              </w:rPr>
              <w:t xml:space="preserve">ici à la fin de </w:t>
            </w:r>
            <w:r w:rsidRPr="00E357DD">
              <w:rPr>
                <w:b/>
                <w:szCs w:val="22"/>
                <w:u w:val="single"/>
                <w:lang w:val="fr-FR"/>
              </w:rPr>
              <w:t>2016</w:t>
            </w:r>
            <w:r w:rsidR="00E357DD">
              <w:rPr>
                <w:szCs w:val="22"/>
                <w:lang w:val="fr-FR"/>
              </w:rPr>
              <w:t xml:space="preserve"> :</w:t>
            </w:r>
            <w:r w:rsidRPr="00E357DD">
              <w:rPr>
                <w:szCs w:val="22"/>
                <w:lang w:val="fr-FR"/>
              </w:rPr>
              <w:t xml:space="preserve"> </w:t>
            </w:r>
            <w:r w:rsidRPr="00E357DD">
              <w:rPr>
                <w:lang w:val="fr-FR"/>
              </w:rPr>
              <w:t>Augmentation du nombre de réponses aux questionnaires sur l</w:t>
            </w:r>
            <w:r w:rsidR="0006343E">
              <w:rPr>
                <w:lang w:val="fr-FR"/>
              </w:rPr>
              <w:t>’</w:t>
            </w:r>
            <w:r w:rsidRPr="00E357DD">
              <w:rPr>
                <w:lang w:val="fr-FR"/>
              </w:rPr>
              <w:t>application de l</w:t>
            </w:r>
            <w:r w:rsidR="0006343E">
              <w:rPr>
                <w:lang w:val="fr-FR"/>
              </w:rPr>
              <w:t>’</w:t>
            </w:r>
            <w:r w:rsidRPr="00E357DD">
              <w:rPr>
                <w:lang w:val="fr-FR"/>
              </w:rPr>
              <w:t>ATP</w:t>
            </w:r>
            <w:r w:rsidRPr="00E357DD">
              <w:rPr>
                <w:szCs w:val="22"/>
                <w:lang w:val="fr-FR"/>
              </w:rPr>
              <w:t>.</w:t>
            </w:r>
          </w:p>
        </w:tc>
        <w:tc>
          <w:tcPr>
            <w:tcW w:w="1133" w:type="dxa"/>
            <w:shd w:val="clear" w:color="auto" w:fill="auto"/>
          </w:tcPr>
          <w:p w:rsidR="0032644E" w:rsidRPr="00E357DD" w:rsidRDefault="0032644E" w:rsidP="00E357DD">
            <w:pPr>
              <w:spacing w:before="40" w:after="120"/>
              <w:ind w:right="113"/>
              <w:rPr>
                <w:szCs w:val="22"/>
                <w:u w:val="single"/>
                <w:lang w:val="fr-FR"/>
              </w:rPr>
            </w:pPr>
          </w:p>
        </w:tc>
      </w:tr>
      <w:tr w:rsidR="0032644E" w:rsidRPr="00E357DD" w:rsidTr="00E357DD">
        <w:tc>
          <w:tcPr>
            <w:tcW w:w="6237" w:type="dxa"/>
            <w:shd w:val="clear" w:color="auto" w:fill="auto"/>
          </w:tcPr>
          <w:p w:rsidR="0032644E" w:rsidRPr="00E357DD" w:rsidRDefault="0032644E" w:rsidP="00E357DD">
            <w:pPr>
              <w:spacing w:before="40" w:after="120"/>
              <w:ind w:right="113" w:firstLine="567"/>
              <w:rPr>
                <w:szCs w:val="22"/>
                <w:lang w:val="fr-FR"/>
              </w:rPr>
            </w:pPr>
            <w:r w:rsidRPr="00E357DD">
              <w:rPr>
                <w:szCs w:val="22"/>
                <w:lang w:val="fr-FR"/>
              </w:rPr>
              <w:t>c)</w:t>
            </w:r>
            <w:r w:rsidRPr="00E357DD">
              <w:rPr>
                <w:szCs w:val="22"/>
                <w:lang w:val="fr-FR"/>
              </w:rPr>
              <w:tab/>
            </w:r>
            <w:r w:rsidRPr="00E357DD">
              <w:rPr>
                <w:lang w:val="fr-FR"/>
              </w:rPr>
              <w:t>Suivi de l</w:t>
            </w:r>
            <w:r w:rsidR="0006343E">
              <w:rPr>
                <w:lang w:val="fr-FR"/>
              </w:rPr>
              <w:t>’</w:t>
            </w:r>
            <w:r w:rsidRPr="00E357DD">
              <w:rPr>
                <w:lang w:val="fr-FR"/>
              </w:rPr>
              <w:t>avancée de l</w:t>
            </w:r>
            <w:r w:rsidR="0006343E">
              <w:rPr>
                <w:lang w:val="fr-FR"/>
              </w:rPr>
              <w:t>’</w:t>
            </w:r>
            <w:r w:rsidRPr="00E357DD">
              <w:rPr>
                <w:lang w:val="fr-FR"/>
              </w:rPr>
              <w:t>élaboration de normes en ce qui concerne les questions relevant de l</w:t>
            </w:r>
            <w:r w:rsidR="0006343E">
              <w:rPr>
                <w:lang w:val="fr-FR"/>
              </w:rPr>
              <w:t>’</w:t>
            </w:r>
            <w:r w:rsidRPr="00E357DD">
              <w:rPr>
                <w:lang w:val="fr-FR"/>
              </w:rPr>
              <w:t>ATP</w:t>
            </w:r>
          </w:p>
        </w:tc>
        <w:tc>
          <w:tcPr>
            <w:tcW w:w="1133" w:type="dxa"/>
            <w:shd w:val="clear" w:color="auto" w:fill="auto"/>
          </w:tcPr>
          <w:p w:rsidR="0032644E" w:rsidRPr="00E357DD" w:rsidRDefault="0032644E" w:rsidP="00E357DD">
            <w:pPr>
              <w:spacing w:before="40" w:after="120"/>
              <w:ind w:right="113"/>
              <w:rPr>
                <w:szCs w:val="22"/>
                <w:lang w:val="fr-FR"/>
              </w:rPr>
            </w:pPr>
            <w:r w:rsidRPr="00E357DD">
              <w:rPr>
                <w:szCs w:val="22"/>
                <w:lang w:val="fr-FR"/>
              </w:rPr>
              <w:t>Priorité</w:t>
            </w:r>
            <w:r w:rsidR="00E357DD">
              <w:rPr>
                <w:szCs w:val="22"/>
                <w:lang w:val="fr-FR"/>
              </w:rPr>
              <w:t> </w:t>
            </w:r>
            <w:r w:rsidRPr="00E357DD">
              <w:rPr>
                <w:szCs w:val="22"/>
                <w:lang w:val="fr-FR"/>
              </w:rPr>
              <w:t>: 2</w:t>
            </w:r>
          </w:p>
        </w:tc>
      </w:tr>
      <w:tr w:rsidR="0032644E" w:rsidRPr="00E357DD" w:rsidTr="00E357DD">
        <w:tc>
          <w:tcPr>
            <w:tcW w:w="6237" w:type="dxa"/>
            <w:shd w:val="clear" w:color="auto" w:fill="auto"/>
          </w:tcPr>
          <w:p w:rsidR="0032644E" w:rsidRPr="00E357DD" w:rsidRDefault="0032644E" w:rsidP="00E357DD">
            <w:pPr>
              <w:spacing w:before="40" w:after="120"/>
              <w:ind w:right="113"/>
              <w:rPr>
                <w:szCs w:val="22"/>
                <w:lang w:val="fr-FR"/>
              </w:rPr>
            </w:pPr>
            <w:r w:rsidRPr="00E357DD">
              <w:rPr>
                <w:szCs w:val="22"/>
                <w:u w:val="single"/>
                <w:lang w:val="fr-FR"/>
              </w:rPr>
              <w:t>Résultats escomptés d</w:t>
            </w:r>
            <w:r w:rsidR="0006343E">
              <w:rPr>
                <w:szCs w:val="22"/>
                <w:u w:val="single"/>
                <w:lang w:val="fr-FR"/>
              </w:rPr>
              <w:t>’</w:t>
            </w:r>
            <w:r w:rsidRPr="00E357DD">
              <w:rPr>
                <w:szCs w:val="22"/>
                <w:u w:val="single"/>
                <w:lang w:val="fr-FR"/>
              </w:rPr>
              <w:t xml:space="preserve">ici à la fin de </w:t>
            </w:r>
            <w:r w:rsidRPr="00E357DD">
              <w:rPr>
                <w:b/>
                <w:szCs w:val="22"/>
                <w:u w:val="single"/>
                <w:lang w:val="fr-FR"/>
              </w:rPr>
              <w:t>2016</w:t>
            </w:r>
            <w:r w:rsidR="00E357DD">
              <w:rPr>
                <w:szCs w:val="22"/>
                <w:lang w:val="fr-FR"/>
              </w:rPr>
              <w:t xml:space="preserve"> : </w:t>
            </w:r>
            <w:r w:rsidRPr="00E357DD">
              <w:rPr>
                <w:lang w:val="fr-FR"/>
              </w:rPr>
              <w:t>Compréhension de l</w:t>
            </w:r>
            <w:r w:rsidR="0006343E">
              <w:rPr>
                <w:lang w:val="fr-FR"/>
              </w:rPr>
              <w:t>’</w:t>
            </w:r>
            <w:r w:rsidRPr="00E357DD">
              <w:rPr>
                <w:lang w:val="fr-FR"/>
              </w:rPr>
              <w:t>incidence des nouvelles normes sur l</w:t>
            </w:r>
            <w:r w:rsidR="0006343E">
              <w:rPr>
                <w:lang w:val="fr-FR"/>
              </w:rPr>
              <w:t>’</w:t>
            </w:r>
            <w:r w:rsidRPr="00E357DD">
              <w:rPr>
                <w:lang w:val="fr-FR"/>
              </w:rPr>
              <w:t>ATP et des avantages qu</w:t>
            </w:r>
            <w:r w:rsidR="0006343E">
              <w:rPr>
                <w:lang w:val="fr-FR"/>
              </w:rPr>
              <w:t>’</w:t>
            </w:r>
            <w:r w:rsidRPr="00E357DD">
              <w:rPr>
                <w:lang w:val="fr-FR"/>
              </w:rPr>
              <w:t>elles pourraient présenter pour celui-ci</w:t>
            </w:r>
            <w:r w:rsidRPr="00E357DD">
              <w:rPr>
                <w:szCs w:val="22"/>
                <w:lang w:val="fr-FR"/>
              </w:rPr>
              <w:t>.</w:t>
            </w:r>
          </w:p>
        </w:tc>
        <w:tc>
          <w:tcPr>
            <w:tcW w:w="1133" w:type="dxa"/>
            <w:shd w:val="clear" w:color="auto" w:fill="auto"/>
          </w:tcPr>
          <w:p w:rsidR="0032644E" w:rsidRPr="00E357DD" w:rsidRDefault="0032644E" w:rsidP="00E357DD">
            <w:pPr>
              <w:spacing w:before="40" w:after="120"/>
              <w:ind w:right="113"/>
              <w:rPr>
                <w:szCs w:val="22"/>
                <w:u w:val="single"/>
                <w:lang w:val="fr-FR"/>
              </w:rPr>
            </w:pPr>
          </w:p>
        </w:tc>
      </w:tr>
      <w:tr w:rsidR="0032644E" w:rsidRPr="00E357DD" w:rsidTr="00E357DD">
        <w:tc>
          <w:tcPr>
            <w:tcW w:w="6237" w:type="dxa"/>
            <w:shd w:val="clear" w:color="auto" w:fill="auto"/>
          </w:tcPr>
          <w:p w:rsidR="0032644E" w:rsidRPr="00E357DD" w:rsidRDefault="0032644E" w:rsidP="00E357DD">
            <w:pPr>
              <w:spacing w:before="40" w:after="120"/>
              <w:ind w:right="113" w:firstLine="567"/>
              <w:rPr>
                <w:szCs w:val="22"/>
                <w:lang w:val="fr-FR"/>
              </w:rPr>
            </w:pPr>
            <w:r w:rsidRPr="00E357DD">
              <w:rPr>
                <w:szCs w:val="22"/>
                <w:lang w:val="fr-FR"/>
              </w:rPr>
              <w:t>d)</w:t>
            </w:r>
            <w:r w:rsidRPr="00E357DD">
              <w:rPr>
                <w:szCs w:val="22"/>
                <w:lang w:val="fr-FR"/>
              </w:rPr>
              <w:tab/>
            </w:r>
            <w:r w:rsidRPr="00E357DD">
              <w:rPr>
                <w:lang w:val="fr-FR"/>
              </w:rPr>
              <w:t>Examen des faits nouveaux concernant les nouveaux systèmes réfrigérants et matériaux isolants utilisés pour le transport de denrées périssables</w:t>
            </w:r>
          </w:p>
        </w:tc>
        <w:tc>
          <w:tcPr>
            <w:tcW w:w="1133" w:type="dxa"/>
            <w:shd w:val="clear" w:color="auto" w:fill="auto"/>
          </w:tcPr>
          <w:p w:rsidR="0032644E" w:rsidRPr="00E357DD" w:rsidRDefault="0032644E" w:rsidP="00E357DD">
            <w:pPr>
              <w:spacing w:before="40" w:after="120"/>
              <w:ind w:right="113"/>
              <w:rPr>
                <w:szCs w:val="22"/>
                <w:u w:val="single"/>
                <w:lang w:val="fr-FR"/>
              </w:rPr>
            </w:pPr>
            <w:r w:rsidRPr="00E357DD">
              <w:rPr>
                <w:szCs w:val="22"/>
                <w:lang w:val="fr-FR"/>
              </w:rPr>
              <w:t>Priorité</w:t>
            </w:r>
            <w:r w:rsidR="00E357DD">
              <w:rPr>
                <w:szCs w:val="22"/>
                <w:lang w:val="fr-FR"/>
              </w:rPr>
              <w:t> </w:t>
            </w:r>
            <w:r w:rsidRPr="00E357DD">
              <w:rPr>
                <w:szCs w:val="22"/>
                <w:lang w:val="fr-FR"/>
              </w:rPr>
              <w:t>: 2</w:t>
            </w:r>
          </w:p>
        </w:tc>
      </w:tr>
      <w:tr w:rsidR="0032644E" w:rsidRPr="00E357DD" w:rsidTr="00E357DD">
        <w:tc>
          <w:tcPr>
            <w:tcW w:w="6237" w:type="dxa"/>
            <w:shd w:val="clear" w:color="auto" w:fill="auto"/>
          </w:tcPr>
          <w:p w:rsidR="0032644E" w:rsidRPr="00E357DD" w:rsidRDefault="0032644E" w:rsidP="00E357DD">
            <w:pPr>
              <w:spacing w:before="40" w:after="120"/>
              <w:ind w:right="113"/>
              <w:rPr>
                <w:szCs w:val="22"/>
                <w:lang w:val="fr-FR"/>
              </w:rPr>
            </w:pPr>
            <w:r w:rsidRPr="00E357DD">
              <w:rPr>
                <w:szCs w:val="22"/>
                <w:u w:val="single"/>
                <w:lang w:val="fr-FR"/>
              </w:rPr>
              <w:t>Résultats escomptés d</w:t>
            </w:r>
            <w:r w:rsidR="0006343E">
              <w:rPr>
                <w:szCs w:val="22"/>
                <w:u w:val="single"/>
                <w:lang w:val="fr-FR"/>
              </w:rPr>
              <w:t>’</w:t>
            </w:r>
            <w:r w:rsidRPr="00E357DD">
              <w:rPr>
                <w:szCs w:val="22"/>
                <w:u w:val="single"/>
                <w:lang w:val="fr-FR"/>
              </w:rPr>
              <w:t xml:space="preserve">ici à la fin de </w:t>
            </w:r>
            <w:r w:rsidRPr="00E357DD">
              <w:rPr>
                <w:b/>
                <w:szCs w:val="22"/>
                <w:u w:val="single"/>
                <w:lang w:val="fr-FR"/>
              </w:rPr>
              <w:t>2018</w:t>
            </w:r>
            <w:r w:rsidR="00E357DD">
              <w:rPr>
                <w:szCs w:val="22"/>
                <w:lang w:val="fr-FR"/>
              </w:rPr>
              <w:t> :</w:t>
            </w:r>
            <w:r w:rsidR="0057283D">
              <w:rPr>
                <w:szCs w:val="22"/>
                <w:lang w:val="fr-FR"/>
              </w:rPr>
              <w:t xml:space="preserve"> </w:t>
            </w:r>
            <w:r w:rsidRPr="00E357DD">
              <w:rPr>
                <w:lang w:val="fr-FR"/>
              </w:rPr>
              <w:t>Contribution à l</w:t>
            </w:r>
            <w:r w:rsidR="0006343E">
              <w:rPr>
                <w:lang w:val="fr-FR"/>
              </w:rPr>
              <w:t>’</w:t>
            </w:r>
            <w:r w:rsidRPr="00E357DD">
              <w:rPr>
                <w:lang w:val="fr-FR"/>
              </w:rPr>
              <w:t>échange de renseignements sur les moyens de réduire les incidences</w:t>
            </w:r>
            <w:r w:rsidRPr="00E357DD">
              <w:t xml:space="preserve"> </w:t>
            </w:r>
            <w:r w:rsidRPr="00E357DD">
              <w:rPr>
                <w:lang w:val="fr-FR"/>
              </w:rPr>
              <w:t>sur l</w:t>
            </w:r>
            <w:r w:rsidR="0006343E">
              <w:rPr>
                <w:lang w:val="fr-FR"/>
              </w:rPr>
              <w:t>’</w:t>
            </w:r>
            <w:r w:rsidRPr="00E357DD">
              <w:rPr>
                <w:lang w:val="fr-FR"/>
              </w:rPr>
              <w:t>environnement des engins relevant de l</w:t>
            </w:r>
            <w:r w:rsidR="0006343E">
              <w:rPr>
                <w:lang w:val="fr-FR"/>
              </w:rPr>
              <w:t>’</w:t>
            </w:r>
            <w:r w:rsidRPr="00E357DD">
              <w:rPr>
                <w:lang w:val="fr-FR"/>
              </w:rPr>
              <w:t>ATP</w:t>
            </w:r>
            <w:r w:rsidRPr="00E357DD">
              <w:rPr>
                <w:szCs w:val="22"/>
                <w:lang w:val="fr-FR"/>
              </w:rPr>
              <w:t>.</w:t>
            </w:r>
          </w:p>
        </w:tc>
        <w:tc>
          <w:tcPr>
            <w:tcW w:w="1133" w:type="dxa"/>
            <w:shd w:val="clear" w:color="auto" w:fill="auto"/>
          </w:tcPr>
          <w:p w:rsidR="0032644E" w:rsidRPr="00E357DD" w:rsidRDefault="0032644E" w:rsidP="00E357DD">
            <w:pPr>
              <w:spacing w:before="40" w:after="120"/>
              <w:ind w:right="113"/>
              <w:rPr>
                <w:szCs w:val="22"/>
                <w:u w:val="single"/>
                <w:lang w:val="fr-FR"/>
              </w:rPr>
            </w:pPr>
          </w:p>
        </w:tc>
      </w:tr>
      <w:tr w:rsidR="0032644E" w:rsidRPr="00E357DD" w:rsidTr="00E357DD">
        <w:tc>
          <w:tcPr>
            <w:tcW w:w="6237" w:type="dxa"/>
            <w:shd w:val="clear" w:color="auto" w:fill="auto"/>
          </w:tcPr>
          <w:p w:rsidR="0032644E" w:rsidRPr="00E357DD" w:rsidRDefault="0032644E" w:rsidP="00E357DD">
            <w:pPr>
              <w:spacing w:before="40" w:after="120"/>
              <w:ind w:right="113" w:firstLine="567"/>
              <w:rPr>
                <w:szCs w:val="22"/>
                <w:lang w:val="fr-FR"/>
              </w:rPr>
            </w:pPr>
            <w:r w:rsidRPr="00E357DD">
              <w:rPr>
                <w:szCs w:val="22"/>
                <w:lang w:val="fr-FR"/>
              </w:rPr>
              <w:t>e)</w:t>
            </w:r>
            <w:r w:rsidRPr="00E357DD">
              <w:rPr>
                <w:szCs w:val="22"/>
                <w:lang w:val="fr-FR"/>
              </w:rPr>
              <w:tab/>
            </w:r>
            <w:r w:rsidRPr="00E357DD">
              <w:rPr>
                <w:lang w:val="fr-FR"/>
              </w:rPr>
              <w:t>Examen des travaux de la sous-commission du transport réfrigéré de l</w:t>
            </w:r>
            <w:r w:rsidR="0006343E">
              <w:rPr>
                <w:lang w:val="fr-FR"/>
              </w:rPr>
              <w:t>’</w:t>
            </w:r>
            <w:r w:rsidRPr="00E357DD">
              <w:rPr>
                <w:lang w:val="fr-FR"/>
              </w:rPr>
              <w:t>IIF</w:t>
            </w:r>
          </w:p>
        </w:tc>
        <w:tc>
          <w:tcPr>
            <w:tcW w:w="1133" w:type="dxa"/>
            <w:shd w:val="clear" w:color="auto" w:fill="auto"/>
          </w:tcPr>
          <w:p w:rsidR="0032644E" w:rsidRPr="00E357DD" w:rsidRDefault="0032644E" w:rsidP="00E357DD">
            <w:pPr>
              <w:spacing w:before="40" w:after="120"/>
              <w:ind w:right="113"/>
              <w:rPr>
                <w:szCs w:val="22"/>
                <w:u w:val="single"/>
                <w:lang w:val="fr-FR"/>
              </w:rPr>
            </w:pPr>
            <w:r w:rsidRPr="00E357DD">
              <w:rPr>
                <w:szCs w:val="22"/>
                <w:lang w:val="fr-FR"/>
              </w:rPr>
              <w:t>Priorité</w:t>
            </w:r>
            <w:r w:rsidR="00E357DD">
              <w:rPr>
                <w:szCs w:val="22"/>
                <w:lang w:val="fr-FR"/>
              </w:rPr>
              <w:t> </w:t>
            </w:r>
            <w:r w:rsidRPr="00E357DD">
              <w:rPr>
                <w:szCs w:val="22"/>
                <w:lang w:val="fr-FR"/>
              </w:rPr>
              <w:t>: 1</w:t>
            </w:r>
          </w:p>
        </w:tc>
      </w:tr>
      <w:tr w:rsidR="0032644E" w:rsidRPr="00E357DD" w:rsidTr="00E357DD">
        <w:tc>
          <w:tcPr>
            <w:tcW w:w="6237" w:type="dxa"/>
            <w:shd w:val="clear" w:color="auto" w:fill="auto"/>
          </w:tcPr>
          <w:p w:rsidR="0032644E" w:rsidRPr="00E357DD" w:rsidRDefault="0032644E" w:rsidP="00FC25B2">
            <w:pPr>
              <w:spacing w:before="40" w:after="120"/>
              <w:ind w:right="113"/>
              <w:rPr>
                <w:szCs w:val="22"/>
                <w:lang w:val="fr-FR"/>
              </w:rPr>
            </w:pPr>
            <w:r w:rsidRPr="00E357DD">
              <w:rPr>
                <w:szCs w:val="22"/>
                <w:u w:val="single"/>
                <w:lang w:val="fr-FR"/>
              </w:rPr>
              <w:t>Résultats escomptés d</w:t>
            </w:r>
            <w:r w:rsidR="0006343E">
              <w:rPr>
                <w:szCs w:val="22"/>
                <w:u w:val="single"/>
                <w:lang w:val="fr-FR"/>
              </w:rPr>
              <w:t>’</w:t>
            </w:r>
            <w:r w:rsidRPr="00E357DD">
              <w:rPr>
                <w:szCs w:val="22"/>
                <w:u w:val="single"/>
                <w:lang w:val="fr-FR"/>
              </w:rPr>
              <w:t xml:space="preserve">ici à la fin de </w:t>
            </w:r>
            <w:r w:rsidRPr="00E357DD">
              <w:rPr>
                <w:b/>
                <w:szCs w:val="22"/>
                <w:u w:val="single"/>
                <w:lang w:val="fr-FR"/>
              </w:rPr>
              <w:t>2016</w:t>
            </w:r>
            <w:r w:rsidR="00E357DD">
              <w:rPr>
                <w:szCs w:val="22"/>
                <w:lang w:val="fr-FR"/>
              </w:rPr>
              <w:t> :</w:t>
            </w:r>
            <w:r w:rsidRPr="00E357DD">
              <w:rPr>
                <w:szCs w:val="22"/>
                <w:lang w:val="fr-FR"/>
              </w:rPr>
              <w:t xml:space="preserve"> </w:t>
            </w:r>
            <w:r w:rsidRPr="00E357DD">
              <w:rPr>
                <w:lang w:val="fr-FR"/>
              </w:rPr>
              <w:t>Apporter un appui au travail fait par la sous-</w:t>
            </w:r>
            <w:r w:rsidR="00FC25B2">
              <w:rPr>
                <w:lang w:val="fr-FR"/>
              </w:rPr>
              <w:t>c</w:t>
            </w:r>
            <w:r w:rsidRPr="00E357DD">
              <w:rPr>
                <w:lang w:val="fr-FR"/>
              </w:rPr>
              <w:t>ommission et tirer parti de l</w:t>
            </w:r>
            <w:r w:rsidR="0006343E">
              <w:rPr>
                <w:lang w:val="fr-FR"/>
              </w:rPr>
              <w:t>’</w:t>
            </w:r>
            <w:r w:rsidRPr="00E357DD">
              <w:rPr>
                <w:lang w:val="fr-FR"/>
              </w:rPr>
              <w:t>examen préalable par celle-ci des propositions techniques soumises au</w:t>
            </w:r>
            <w:r w:rsidRPr="00E357DD">
              <w:rPr>
                <w:szCs w:val="22"/>
                <w:lang w:val="fr-FR"/>
              </w:rPr>
              <w:t xml:space="preserve"> Groupe de travail.</w:t>
            </w:r>
          </w:p>
        </w:tc>
        <w:tc>
          <w:tcPr>
            <w:tcW w:w="1133" w:type="dxa"/>
            <w:shd w:val="clear" w:color="auto" w:fill="auto"/>
          </w:tcPr>
          <w:p w:rsidR="0032644E" w:rsidRPr="00E357DD" w:rsidRDefault="0032644E" w:rsidP="00E357DD">
            <w:pPr>
              <w:spacing w:before="40" w:after="120"/>
              <w:ind w:right="113"/>
              <w:rPr>
                <w:szCs w:val="22"/>
                <w:u w:val="single"/>
                <w:lang w:val="fr-FR"/>
              </w:rPr>
            </w:pPr>
          </w:p>
        </w:tc>
      </w:tr>
      <w:tr w:rsidR="0032644E" w:rsidRPr="00E357DD" w:rsidTr="00E357DD">
        <w:tc>
          <w:tcPr>
            <w:tcW w:w="6237" w:type="dxa"/>
            <w:shd w:val="clear" w:color="auto" w:fill="auto"/>
          </w:tcPr>
          <w:p w:rsidR="0032644E" w:rsidRPr="00E357DD" w:rsidRDefault="0032644E" w:rsidP="00510DC3">
            <w:pPr>
              <w:keepNext/>
              <w:spacing w:before="40" w:after="120"/>
              <w:ind w:right="113" w:firstLine="567"/>
              <w:rPr>
                <w:szCs w:val="22"/>
                <w:u w:val="single"/>
                <w:lang w:val="fr-FR"/>
              </w:rPr>
            </w:pPr>
            <w:r w:rsidRPr="00E357DD">
              <w:rPr>
                <w:szCs w:val="22"/>
                <w:lang w:val="fr-FR"/>
              </w:rPr>
              <w:t>f)</w:t>
            </w:r>
            <w:r w:rsidRPr="00E357DD">
              <w:rPr>
                <w:szCs w:val="22"/>
                <w:lang w:val="fr-FR"/>
              </w:rPr>
              <w:tab/>
            </w:r>
            <w:r w:rsidRPr="00E357DD">
              <w:rPr>
                <w:lang w:val="fr-FR"/>
              </w:rPr>
              <w:t>Mise à jour du Manuel ATP</w:t>
            </w:r>
          </w:p>
        </w:tc>
        <w:tc>
          <w:tcPr>
            <w:tcW w:w="1133" w:type="dxa"/>
            <w:shd w:val="clear" w:color="auto" w:fill="auto"/>
          </w:tcPr>
          <w:p w:rsidR="0032644E" w:rsidRPr="00E357DD" w:rsidRDefault="0032644E" w:rsidP="00510DC3">
            <w:pPr>
              <w:keepNext/>
              <w:spacing w:before="40" w:after="120"/>
              <w:ind w:right="113"/>
              <w:rPr>
                <w:szCs w:val="22"/>
                <w:u w:val="single"/>
                <w:lang w:val="fr-FR"/>
              </w:rPr>
            </w:pPr>
            <w:r w:rsidRPr="00E357DD">
              <w:rPr>
                <w:szCs w:val="22"/>
                <w:lang w:val="fr-FR"/>
              </w:rPr>
              <w:t>Priorité</w:t>
            </w:r>
            <w:r w:rsidR="00E357DD">
              <w:rPr>
                <w:szCs w:val="22"/>
                <w:lang w:val="fr-FR"/>
              </w:rPr>
              <w:t> </w:t>
            </w:r>
            <w:r w:rsidRPr="00E357DD">
              <w:rPr>
                <w:szCs w:val="22"/>
                <w:lang w:val="fr-FR"/>
              </w:rPr>
              <w:t>: 1</w:t>
            </w:r>
          </w:p>
        </w:tc>
      </w:tr>
      <w:tr w:rsidR="0032644E" w:rsidRPr="00E357DD" w:rsidTr="00E357DD">
        <w:tc>
          <w:tcPr>
            <w:tcW w:w="6237" w:type="dxa"/>
            <w:shd w:val="clear" w:color="auto" w:fill="auto"/>
          </w:tcPr>
          <w:p w:rsidR="0032644E" w:rsidRPr="00E357DD" w:rsidRDefault="0032644E" w:rsidP="00490A08">
            <w:pPr>
              <w:keepNext/>
              <w:spacing w:before="40" w:after="120"/>
              <w:ind w:right="113"/>
              <w:rPr>
                <w:szCs w:val="22"/>
                <w:lang w:val="fr-FR"/>
              </w:rPr>
            </w:pPr>
            <w:r w:rsidRPr="00E357DD">
              <w:rPr>
                <w:szCs w:val="22"/>
                <w:u w:val="single"/>
                <w:lang w:val="fr-FR"/>
              </w:rPr>
              <w:t>Résultats escomptés d</w:t>
            </w:r>
            <w:r w:rsidR="0006343E">
              <w:rPr>
                <w:szCs w:val="22"/>
                <w:u w:val="single"/>
                <w:lang w:val="fr-FR"/>
              </w:rPr>
              <w:t>’</w:t>
            </w:r>
            <w:r w:rsidRPr="00E357DD">
              <w:rPr>
                <w:szCs w:val="22"/>
                <w:u w:val="single"/>
                <w:lang w:val="fr-FR"/>
              </w:rPr>
              <w:t xml:space="preserve">ici à la fin de </w:t>
            </w:r>
            <w:r w:rsidRPr="00E357DD">
              <w:rPr>
                <w:b/>
                <w:szCs w:val="22"/>
                <w:u w:val="single"/>
                <w:lang w:val="fr-FR"/>
              </w:rPr>
              <w:t>2016</w:t>
            </w:r>
            <w:r w:rsidR="00E357DD">
              <w:rPr>
                <w:szCs w:val="22"/>
                <w:lang w:val="fr-FR"/>
              </w:rPr>
              <w:t> :</w:t>
            </w:r>
            <w:r w:rsidRPr="00E357DD">
              <w:rPr>
                <w:szCs w:val="22"/>
                <w:lang w:val="fr-FR"/>
              </w:rPr>
              <w:t xml:space="preserve"> </w:t>
            </w:r>
            <w:r w:rsidRPr="00E357DD">
              <w:rPr>
                <w:lang w:val="fr-FR"/>
              </w:rPr>
              <w:t>Mise à jour régulière du Manuel en vue de faciliter l</w:t>
            </w:r>
            <w:r w:rsidR="0006343E">
              <w:rPr>
                <w:lang w:val="fr-FR"/>
              </w:rPr>
              <w:t>’</w:t>
            </w:r>
            <w:r w:rsidRPr="00E357DD">
              <w:rPr>
                <w:lang w:val="fr-FR"/>
              </w:rPr>
              <w:t>interprétation, l</w:t>
            </w:r>
            <w:r w:rsidR="0006343E">
              <w:rPr>
                <w:lang w:val="fr-FR"/>
              </w:rPr>
              <w:t>’</w:t>
            </w:r>
            <w:r w:rsidRPr="00E357DD">
              <w:rPr>
                <w:lang w:val="fr-FR"/>
              </w:rPr>
              <w:t>harmonisation et l</w:t>
            </w:r>
            <w:r w:rsidR="0006343E">
              <w:rPr>
                <w:lang w:val="fr-FR"/>
              </w:rPr>
              <w:t>’</w:t>
            </w:r>
            <w:r w:rsidRPr="00E357DD">
              <w:rPr>
                <w:lang w:val="fr-FR"/>
              </w:rPr>
              <w:t>application de l</w:t>
            </w:r>
            <w:r w:rsidR="0006343E">
              <w:rPr>
                <w:lang w:val="fr-FR"/>
              </w:rPr>
              <w:t>’</w:t>
            </w:r>
            <w:r w:rsidRPr="00E357DD">
              <w:rPr>
                <w:lang w:val="fr-FR"/>
              </w:rPr>
              <w:t>ATP</w:t>
            </w:r>
            <w:r w:rsidRPr="00E357DD">
              <w:rPr>
                <w:szCs w:val="22"/>
                <w:lang w:val="fr-FR"/>
              </w:rPr>
              <w:t>.</w:t>
            </w:r>
          </w:p>
        </w:tc>
        <w:tc>
          <w:tcPr>
            <w:tcW w:w="1133" w:type="dxa"/>
            <w:shd w:val="clear" w:color="auto" w:fill="auto"/>
          </w:tcPr>
          <w:p w:rsidR="0032644E" w:rsidRPr="00E357DD" w:rsidRDefault="0032644E" w:rsidP="00490A08">
            <w:pPr>
              <w:keepNext/>
              <w:spacing w:before="40" w:after="120"/>
              <w:ind w:right="113"/>
              <w:rPr>
                <w:szCs w:val="22"/>
                <w:lang w:val="fr-FR"/>
              </w:rPr>
            </w:pPr>
          </w:p>
        </w:tc>
      </w:tr>
      <w:tr w:rsidR="0032644E" w:rsidRPr="00E357DD" w:rsidTr="00E357DD">
        <w:tc>
          <w:tcPr>
            <w:tcW w:w="6237" w:type="dxa"/>
            <w:shd w:val="clear" w:color="auto" w:fill="auto"/>
          </w:tcPr>
          <w:p w:rsidR="0032644E" w:rsidRPr="00E357DD" w:rsidRDefault="0032644E" w:rsidP="00E357DD">
            <w:pPr>
              <w:spacing w:before="40" w:after="120"/>
              <w:ind w:right="113" w:firstLine="567"/>
              <w:rPr>
                <w:szCs w:val="22"/>
                <w:lang w:val="fr-FR"/>
              </w:rPr>
            </w:pPr>
            <w:r w:rsidRPr="00E357DD">
              <w:rPr>
                <w:szCs w:val="22"/>
                <w:lang w:val="fr-FR"/>
              </w:rPr>
              <w:t>g)</w:t>
            </w:r>
            <w:r w:rsidRPr="00E357DD">
              <w:rPr>
                <w:szCs w:val="22"/>
                <w:lang w:val="fr-FR"/>
              </w:rPr>
              <w:tab/>
            </w:r>
            <w:r w:rsidRPr="00E357DD">
              <w:rPr>
                <w:lang w:val="fr-FR"/>
              </w:rPr>
              <w:t>Coopération avec les organisations d</w:t>
            </w:r>
            <w:r w:rsidR="0006343E">
              <w:rPr>
                <w:lang w:val="fr-FR"/>
              </w:rPr>
              <w:t>’</w:t>
            </w:r>
            <w:r w:rsidRPr="00E357DD">
              <w:rPr>
                <w:lang w:val="fr-FR"/>
              </w:rPr>
              <w:t>intégration économique régionales sur les questions ayant trait à l</w:t>
            </w:r>
            <w:r w:rsidR="0006343E">
              <w:rPr>
                <w:lang w:val="fr-FR"/>
              </w:rPr>
              <w:t>’</w:t>
            </w:r>
            <w:r w:rsidRPr="00E357DD">
              <w:rPr>
                <w:lang w:val="fr-FR"/>
              </w:rPr>
              <w:t>AT</w:t>
            </w:r>
            <w:r w:rsidR="008F669E">
              <w:rPr>
                <w:lang w:val="fr-FR"/>
              </w:rPr>
              <w:t>P</w:t>
            </w:r>
          </w:p>
        </w:tc>
        <w:tc>
          <w:tcPr>
            <w:tcW w:w="1133" w:type="dxa"/>
            <w:shd w:val="clear" w:color="auto" w:fill="auto"/>
          </w:tcPr>
          <w:p w:rsidR="0032644E" w:rsidRPr="00E357DD" w:rsidRDefault="0032644E" w:rsidP="00E357DD">
            <w:pPr>
              <w:spacing w:before="40" w:after="120"/>
              <w:ind w:right="113"/>
              <w:rPr>
                <w:szCs w:val="22"/>
                <w:lang w:val="fr-FR"/>
              </w:rPr>
            </w:pPr>
            <w:r w:rsidRPr="00E357DD">
              <w:rPr>
                <w:szCs w:val="22"/>
                <w:lang w:val="fr-FR"/>
              </w:rPr>
              <w:t>Priorité</w:t>
            </w:r>
            <w:r w:rsidR="00E357DD">
              <w:rPr>
                <w:szCs w:val="22"/>
                <w:lang w:val="fr-FR"/>
              </w:rPr>
              <w:t> </w:t>
            </w:r>
            <w:r w:rsidRPr="00E357DD">
              <w:rPr>
                <w:szCs w:val="22"/>
                <w:lang w:val="fr-FR"/>
              </w:rPr>
              <w:t>: 2</w:t>
            </w:r>
          </w:p>
        </w:tc>
      </w:tr>
      <w:tr w:rsidR="0032644E" w:rsidRPr="00E357DD" w:rsidTr="00E357DD">
        <w:tc>
          <w:tcPr>
            <w:tcW w:w="6237" w:type="dxa"/>
            <w:shd w:val="clear" w:color="auto" w:fill="auto"/>
          </w:tcPr>
          <w:p w:rsidR="0032644E" w:rsidRPr="00E357DD" w:rsidRDefault="0032644E" w:rsidP="00E357DD">
            <w:pPr>
              <w:spacing w:before="40" w:after="120"/>
              <w:ind w:right="113"/>
              <w:rPr>
                <w:szCs w:val="22"/>
                <w:lang w:val="fr-FR"/>
              </w:rPr>
            </w:pPr>
            <w:r w:rsidRPr="00E357DD">
              <w:rPr>
                <w:szCs w:val="22"/>
                <w:u w:val="single"/>
                <w:lang w:val="fr-FR"/>
              </w:rPr>
              <w:t>Résultats escomptés d</w:t>
            </w:r>
            <w:r w:rsidR="0006343E">
              <w:rPr>
                <w:szCs w:val="22"/>
                <w:u w:val="single"/>
                <w:lang w:val="fr-FR"/>
              </w:rPr>
              <w:t>’</w:t>
            </w:r>
            <w:r w:rsidRPr="00E357DD">
              <w:rPr>
                <w:szCs w:val="22"/>
                <w:u w:val="single"/>
                <w:lang w:val="fr-FR"/>
              </w:rPr>
              <w:t xml:space="preserve">ici à la fin de </w:t>
            </w:r>
            <w:r w:rsidRPr="00E357DD">
              <w:rPr>
                <w:b/>
                <w:szCs w:val="22"/>
                <w:u w:val="single"/>
                <w:lang w:val="fr-FR"/>
              </w:rPr>
              <w:t>2017</w:t>
            </w:r>
            <w:r w:rsidR="00E357DD">
              <w:rPr>
                <w:szCs w:val="22"/>
                <w:lang w:val="fr-FR"/>
              </w:rPr>
              <w:t xml:space="preserve"> : </w:t>
            </w:r>
            <w:r w:rsidRPr="00E357DD">
              <w:rPr>
                <w:lang w:val="fr-FR"/>
              </w:rPr>
              <w:t>Établissement de contacts avec les organisations d</w:t>
            </w:r>
            <w:r w:rsidR="0006343E">
              <w:rPr>
                <w:lang w:val="fr-FR"/>
              </w:rPr>
              <w:t>’</w:t>
            </w:r>
            <w:r w:rsidRPr="00E357DD">
              <w:rPr>
                <w:lang w:val="fr-FR"/>
              </w:rPr>
              <w:t>intégration économique régionales dans les domaines ayant trait à l</w:t>
            </w:r>
            <w:r w:rsidR="0006343E">
              <w:rPr>
                <w:lang w:val="fr-FR"/>
              </w:rPr>
              <w:t>’</w:t>
            </w:r>
            <w:r w:rsidRPr="00E357DD">
              <w:rPr>
                <w:lang w:val="fr-FR"/>
              </w:rPr>
              <w:t>ATP</w:t>
            </w:r>
            <w:r w:rsidRPr="00E357DD">
              <w:rPr>
                <w:szCs w:val="22"/>
                <w:lang w:val="fr-FR"/>
              </w:rPr>
              <w:t>.</w:t>
            </w:r>
          </w:p>
        </w:tc>
        <w:tc>
          <w:tcPr>
            <w:tcW w:w="1133" w:type="dxa"/>
            <w:shd w:val="clear" w:color="auto" w:fill="auto"/>
          </w:tcPr>
          <w:p w:rsidR="0032644E" w:rsidRPr="00E357DD" w:rsidRDefault="0032644E" w:rsidP="00E357DD">
            <w:pPr>
              <w:spacing w:before="40" w:after="120"/>
              <w:ind w:right="113"/>
              <w:rPr>
                <w:szCs w:val="22"/>
                <w:lang w:val="fr-FR"/>
              </w:rPr>
            </w:pPr>
          </w:p>
        </w:tc>
      </w:tr>
      <w:tr w:rsidR="0032644E" w:rsidRPr="00E357DD" w:rsidTr="00E357DD">
        <w:tc>
          <w:tcPr>
            <w:tcW w:w="6237" w:type="dxa"/>
            <w:shd w:val="clear" w:color="auto" w:fill="auto"/>
          </w:tcPr>
          <w:p w:rsidR="0032644E" w:rsidRPr="00E357DD" w:rsidRDefault="0032644E" w:rsidP="00E357DD">
            <w:pPr>
              <w:spacing w:before="40" w:after="120"/>
              <w:ind w:right="113" w:firstLine="567"/>
              <w:rPr>
                <w:szCs w:val="22"/>
                <w:lang w:val="fr-FR"/>
              </w:rPr>
            </w:pPr>
            <w:r w:rsidRPr="00E357DD">
              <w:rPr>
                <w:szCs w:val="22"/>
                <w:lang w:val="fr-FR"/>
              </w:rPr>
              <w:t>h)</w:t>
            </w:r>
            <w:r w:rsidRPr="00E357DD">
              <w:rPr>
                <w:szCs w:val="22"/>
                <w:lang w:val="fr-FR"/>
              </w:rPr>
              <w:tab/>
            </w:r>
            <w:r w:rsidRPr="00E357DD">
              <w:rPr>
                <w:lang w:val="fr-FR"/>
              </w:rPr>
              <w:t>Examen des activités relatives au transport des denrées périssable</w:t>
            </w:r>
            <w:r w:rsidR="008F669E">
              <w:rPr>
                <w:lang w:val="fr-FR"/>
              </w:rPr>
              <w:t>s</w:t>
            </w:r>
          </w:p>
        </w:tc>
        <w:tc>
          <w:tcPr>
            <w:tcW w:w="1133" w:type="dxa"/>
            <w:shd w:val="clear" w:color="auto" w:fill="auto"/>
          </w:tcPr>
          <w:p w:rsidR="0032644E" w:rsidRPr="00E357DD" w:rsidRDefault="0032644E" w:rsidP="00E357DD">
            <w:pPr>
              <w:spacing w:before="40" w:after="120"/>
              <w:ind w:right="113"/>
              <w:rPr>
                <w:szCs w:val="22"/>
                <w:lang w:val="fr-FR"/>
              </w:rPr>
            </w:pPr>
            <w:r w:rsidRPr="00E357DD">
              <w:rPr>
                <w:szCs w:val="22"/>
                <w:lang w:val="fr-FR"/>
              </w:rPr>
              <w:t>Priorité</w:t>
            </w:r>
            <w:r w:rsidR="00E357DD">
              <w:rPr>
                <w:szCs w:val="22"/>
                <w:lang w:val="fr-FR"/>
              </w:rPr>
              <w:t> </w:t>
            </w:r>
            <w:r w:rsidRPr="00E357DD">
              <w:rPr>
                <w:szCs w:val="22"/>
                <w:lang w:val="fr-FR"/>
              </w:rPr>
              <w:t>: 2</w:t>
            </w:r>
          </w:p>
        </w:tc>
      </w:tr>
      <w:tr w:rsidR="0032644E" w:rsidRPr="00E357DD" w:rsidTr="00E357DD">
        <w:tc>
          <w:tcPr>
            <w:tcW w:w="6237" w:type="dxa"/>
            <w:shd w:val="clear" w:color="auto" w:fill="auto"/>
          </w:tcPr>
          <w:p w:rsidR="0032644E" w:rsidRPr="00E357DD" w:rsidRDefault="0032644E" w:rsidP="00E357DD">
            <w:pPr>
              <w:spacing w:before="40" w:after="120"/>
              <w:ind w:right="113"/>
              <w:rPr>
                <w:szCs w:val="22"/>
                <w:lang w:val="fr-FR"/>
              </w:rPr>
            </w:pPr>
            <w:r w:rsidRPr="00E357DD">
              <w:rPr>
                <w:szCs w:val="22"/>
                <w:u w:val="single"/>
                <w:lang w:val="fr-FR"/>
              </w:rPr>
              <w:t>Résultats escomptés d</w:t>
            </w:r>
            <w:r w:rsidR="0006343E">
              <w:rPr>
                <w:szCs w:val="22"/>
                <w:u w:val="single"/>
                <w:lang w:val="fr-FR"/>
              </w:rPr>
              <w:t>’</w:t>
            </w:r>
            <w:r w:rsidRPr="00E357DD">
              <w:rPr>
                <w:szCs w:val="22"/>
                <w:u w:val="single"/>
                <w:lang w:val="fr-FR"/>
              </w:rPr>
              <w:t xml:space="preserve">ici à la fin de </w:t>
            </w:r>
            <w:r w:rsidRPr="00E357DD">
              <w:rPr>
                <w:b/>
                <w:szCs w:val="22"/>
                <w:u w:val="single"/>
                <w:lang w:val="fr-FR"/>
              </w:rPr>
              <w:t>2016</w:t>
            </w:r>
            <w:r w:rsidR="00E357DD">
              <w:rPr>
                <w:szCs w:val="22"/>
                <w:lang w:val="fr-FR"/>
              </w:rPr>
              <w:t> : </w:t>
            </w:r>
            <w:r w:rsidRPr="00E357DD">
              <w:rPr>
                <w:lang w:val="fr-FR"/>
              </w:rPr>
              <w:t>Utilisation de l</w:t>
            </w:r>
            <w:r w:rsidR="0006343E">
              <w:rPr>
                <w:lang w:val="fr-FR"/>
              </w:rPr>
              <w:t>’</w:t>
            </w:r>
            <w:r w:rsidRPr="00E357DD">
              <w:rPr>
                <w:lang w:val="fr-FR"/>
              </w:rPr>
              <w:t>évaluation bisannuelle pour déterminer les domaines dans lesquels il est possible d</w:t>
            </w:r>
            <w:r w:rsidR="0006343E">
              <w:rPr>
                <w:lang w:val="fr-FR"/>
              </w:rPr>
              <w:t>’</w:t>
            </w:r>
            <w:r w:rsidRPr="00E357DD">
              <w:rPr>
                <w:lang w:val="fr-FR"/>
              </w:rPr>
              <w:t>apporter des améliorations aux travaux du</w:t>
            </w:r>
            <w:r w:rsidRPr="00E357DD">
              <w:rPr>
                <w:szCs w:val="22"/>
                <w:lang w:val="fr-FR"/>
              </w:rPr>
              <w:t xml:space="preserve"> Groupe de travail</w:t>
            </w:r>
            <w:r w:rsidR="00F93AD2">
              <w:rPr>
                <w:szCs w:val="22"/>
                <w:lang w:val="fr-FR"/>
              </w:rPr>
              <w:t>.</w:t>
            </w:r>
          </w:p>
        </w:tc>
        <w:tc>
          <w:tcPr>
            <w:tcW w:w="1133" w:type="dxa"/>
            <w:shd w:val="clear" w:color="auto" w:fill="auto"/>
          </w:tcPr>
          <w:p w:rsidR="0032644E" w:rsidRPr="00E357DD" w:rsidRDefault="0032644E" w:rsidP="00E357DD">
            <w:pPr>
              <w:spacing w:before="40" w:after="120"/>
              <w:ind w:right="113"/>
              <w:rPr>
                <w:szCs w:val="22"/>
                <w:u w:val="single"/>
                <w:lang w:val="fr-FR"/>
              </w:rPr>
            </w:pPr>
          </w:p>
        </w:tc>
      </w:tr>
      <w:tr w:rsidR="0032644E" w:rsidRPr="00E357DD" w:rsidTr="00F93AD2">
        <w:tc>
          <w:tcPr>
            <w:tcW w:w="6237" w:type="dxa"/>
            <w:shd w:val="clear" w:color="auto" w:fill="auto"/>
          </w:tcPr>
          <w:p w:rsidR="0032644E" w:rsidRPr="00E357DD" w:rsidRDefault="0032644E" w:rsidP="00E357DD">
            <w:pPr>
              <w:spacing w:before="40" w:after="120"/>
              <w:ind w:right="113" w:firstLine="567"/>
              <w:rPr>
                <w:szCs w:val="22"/>
                <w:lang w:val="fr-FR"/>
              </w:rPr>
            </w:pPr>
            <w:r w:rsidRPr="00E357DD">
              <w:rPr>
                <w:szCs w:val="22"/>
                <w:lang w:val="fr-FR"/>
              </w:rPr>
              <w:t>i)</w:t>
            </w:r>
            <w:r w:rsidRPr="00E357DD">
              <w:rPr>
                <w:szCs w:val="22"/>
                <w:lang w:val="fr-FR"/>
              </w:rPr>
              <w:tab/>
            </w:r>
            <w:r w:rsidRPr="00E357DD">
              <w:rPr>
                <w:lang w:val="fr-FR"/>
              </w:rPr>
              <w:t>Promotion de l</w:t>
            </w:r>
            <w:r w:rsidR="0006343E">
              <w:rPr>
                <w:lang w:val="fr-FR"/>
              </w:rPr>
              <w:t>’</w:t>
            </w:r>
            <w:r w:rsidRPr="00E357DD">
              <w:rPr>
                <w:lang w:val="fr-FR"/>
              </w:rPr>
              <w:t xml:space="preserve">ATP auprès des pays qui ne sont pas encore Parties contractantes dans la région de la CEE et en dehors de celle-ci, </w:t>
            </w:r>
            <w:r w:rsidR="008F669E">
              <w:rPr>
                <w:lang w:val="fr-FR"/>
              </w:rPr>
              <w:br/>
            </w:r>
            <w:r w:rsidRPr="00E357DD">
              <w:rPr>
                <w:lang w:val="fr-FR"/>
              </w:rPr>
              <w:t>en vue de promouvoir la sûreté du commerce international des denrées périssables</w:t>
            </w:r>
          </w:p>
        </w:tc>
        <w:tc>
          <w:tcPr>
            <w:tcW w:w="1133" w:type="dxa"/>
            <w:shd w:val="clear" w:color="auto" w:fill="auto"/>
          </w:tcPr>
          <w:p w:rsidR="0032644E" w:rsidRPr="00E357DD" w:rsidRDefault="0032644E" w:rsidP="00E357DD">
            <w:pPr>
              <w:spacing w:before="40" w:after="120"/>
              <w:ind w:right="113"/>
              <w:rPr>
                <w:szCs w:val="22"/>
                <w:lang w:val="fr-FR"/>
              </w:rPr>
            </w:pPr>
            <w:r w:rsidRPr="00E357DD">
              <w:rPr>
                <w:szCs w:val="22"/>
                <w:lang w:val="fr-FR"/>
              </w:rPr>
              <w:t>Priorité</w:t>
            </w:r>
            <w:r w:rsidR="00E357DD">
              <w:rPr>
                <w:szCs w:val="22"/>
                <w:lang w:val="fr-FR"/>
              </w:rPr>
              <w:t> </w:t>
            </w:r>
            <w:r w:rsidRPr="00E357DD">
              <w:rPr>
                <w:szCs w:val="22"/>
                <w:lang w:val="fr-FR"/>
              </w:rPr>
              <w:t>: 2</w:t>
            </w:r>
          </w:p>
        </w:tc>
      </w:tr>
      <w:tr w:rsidR="0032644E" w:rsidRPr="00E357DD" w:rsidTr="00F93AD2">
        <w:tc>
          <w:tcPr>
            <w:tcW w:w="6237" w:type="dxa"/>
            <w:shd w:val="clear" w:color="auto" w:fill="auto"/>
          </w:tcPr>
          <w:p w:rsidR="0032644E" w:rsidRPr="00E357DD" w:rsidRDefault="0032644E" w:rsidP="00E357DD">
            <w:pPr>
              <w:spacing w:before="40" w:after="120"/>
              <w:ind w:right="113"/>
              <w:rPr>
                <w:szCs w:val="22"/>
                <w:u w:val="single"/>
                <w:lang w:val="fr-FR"/>
              </w:rPr>
            </w:pPr>
            <w:r w:rsidRPr="00E357DD">
              <w:rPr>
                <w:szCs w:val="22"/>
                <w:u w:val="single"/>
                <w:lang w:val="fr-FR"/>
              </w:rPr>
              <w:t>Résultats escomptés d</w:t>
            </w:r>
            <w:r w:rsidR="0006343E">
              <w:rPr>
                <w:szCs w:val="22"/>
                <w:u w:val="single"/>
                <w:lang w:val="fr-FR"/>
              </w:rPr>
              <w:t>’</w:t>
            </w:r>
            <w:r w:rsidRPr="00E357DD">
              <w:rPr>
                <w:szCs w:val="22"/>
                <w:u w:val="single"/>
                <w:lang w:val="fr-FR"/>
              </w:rPr>
              <w:t xml:space="preserve">ici à la fin de </w:t>
            </w:r>
            <w:r w:rsidRPr="00E357DD">
              <w:rPr>
                <w:b/>
                <w:szCs w:val="22"/>
                <w:u w:val="single"/>
                <w:lang w:val="fr-FR"/>
              </w:rPr>
              <w:t>2016</w:t>
            </w:r>
            <w:r w:rsidR="00E357DD">
              <w:rPr>
                <w:szCs w:val="22"/>
                <w:lang w:val="fr-FR"/>
              </w:rPr>
              <w:t> : </w:t>
            </w:r>
            <w:r w:rsidRPr="00E357DD">
              <w:rPr>
                <w:lang w:val="fr-FR"/>
              </w:rPr>
              <w:t>Faire mieux connaître les avantages de l</w:t>
            </w:r>
            <w:r w:rsidR="0006343E">
              <w:rPr>
                <w:lang w:val="fr-FR"/>
              </w:rPr>
              <w:t>’</w:t>
            </w:r>
            <w:r w:rsidRPr="00E357DD">
              <w:rPr>
                <w:lang w:val="fr-FR"/>
              </w:rPr>
              <w:t>ATP et attirer de nouvelles Parties contractantes</w:t>
            </w:r>
            <w:r w:rsidRPr="00E357DD">
              <w:rPr>
                <w:szCs w:val="22"/>
                <w:lang w:val="fr-FR"/>
              </w:rPr>
              <w:t>.</w:t>
            </w:r>
          </w:p>
        </w:tc>
        <w:tc>
          <w:tcPr>
            <w:tcW w:w="1133" w:type="dxa"/>
            <w:shd w:val="clear" w:color="auto" w:fill="auto"/>
          </w:tcPr>
          <w:p w:rsidR="0032644E" w:rsidRPr="00E357DD" w:rsidRDefault="0032644E" w:rsidP="00E357DD">
            <w:pPr>
              <w:spacing w:before="40" w:after="120"/>
              <w:ind w:right="113"/>
              <w:rPr>
                <w:szCs w:val="22"/>
                <w:u w:val="single"/>
                <w:lang w:val="fr-FR"/>
              </w:rPr>
            </w:pPr>
          </w:p>
        </w:tc>
      </w:tr>
    </w:tbl>
    <w:p w:rsidR="0032644E" w:rsidRPr="004B2AF9" w:rsidRDefault="0032644E" w:rsidP="00F93AD2">
      <w:pPr>
        <w:pStyle w:val="H23G"/>
        <w:rPr>
          <w:lang w:val="fr-FR"/>
        </w:rPr>
      </w:pPr>
      <w:r w:rsidRPr="004B2AF9">
        <w:rPr>
          <w:lang w:val="fr-FR"/>
        </w:rPr>
        <w:tab/>
      </w:r>
      <w:r w:rsidRPr="004B2AF9">
        <w:rPr>
          <w:lang w:val="fr-FR"/>
        </w:rPr>
        <w:tab/>
        <w:t>Activités de durée limitée</w:t>
      </w:r>
    </w:p>
    <w:tbl>
      <w:tblPr>
        <w:tblW w:w="7370" w:type="dxa"/>
        <w:tblInd w:w="1134" w:type="dxa"/>
        <w:tblLayout w:type="fixed"/>
        <w:tblCellMar>
          <w:left w:w="0" w:type="dxa"/>
          <w:right w:w="0" w:type="dxa"/>
        </w:tblCellMar>
        <w:tblLook w:val="01E0" w:firstRow="1" w:lastRow="1" w:firstColumn="1" w:lastColumn="1" w:noHBand="0" w:noVBand="0"/>
      </w:tblPr>
      <w:tblGrid>
        <w:gridCol w:w="6243"/>
        <w:gridCol w:w="1127"/>
      </w:tblGrid>
      <w:tr w:rsidR="00F93AD2" w:rsidRPr="00F93AD2" w:rsidTr="00C4113A">
        <w:tc>
          <w:tcPr>
            <w:tcW w:w="6243" w:type="dxa"/>
            <w:shd w:val="clear" w:color="auto" w:fill="auto"/>
            <w:vAlign w:val="bottom"/>
          </w:tcPr>
          <w:p w:rsidR="00F93AD2" w:rsidRPr="00F93AD2" w:rsidRDefault="00F93AD2" w:rsidP="00F93AD2">
            <w:pPr>
              <w:spacing w:before="40" w:after="120"/>
              <w:ind w:right="113" w:firstLine="567"/>
              <w:rPr>
                <w:lang w:val="fr-FR"/>
              </w:rPr>
            </w:pPr>
            <w:r w:rsidRPr="00F93AD2">
              <w:rPr>
                <w:lang w:val="fr-FR"/>
              </w:rPr>
              <w:t>j)</w:t>
            </w:r>
            <w:r w:rsidRPr="00F93AD2">
              <w:rPr>
                <w:lang w:val="fr-FR"/>
              </w:rPr>
              <w:tab/>
              <w:t>Examen de l</w:t>
            </w:r>
            <w:r w:rsidR="0006343E">
              <w:rPr>
                <w:lang w:val="fr-FR"/>
              </w:rPr>
              <w:t>’</w:t>
            </w:r>
            <w:r w:rsidRPr="00F93AD2">
              <w:rPr>
                <w:lang w:val="fr-FR"/>
              </w:rPr>
              <w:t>introduction d</w:t>
            </w:r>
            <w:r w:rsidR="0006343E">
              <w:rPr>
                <w:lang w:val="fr-FR"/>
              </w:rPr>
              <w:t>’</w:t>
            </w:r>
            <w:r w:rsidRPr="00F93AD2">
              <w:rPr>
                <w:lang w:val="fr-FR"/>
              </w:rPr>
              <w:t>une définition des denrées périssables dans l</w:t>
            </w:r>
            <w:r w:rsidR="0006343E">
              <w:rPr>
                <w:lang w:val="fr-FR"/>
              </w:rPr>
              <w:t>’</w:t>
            </w:r>
            <w:r w:rsidRPr="00F93AD2">
              <w:rPr>
                <w:lang w:val="fr-FR"/>
              </w:rPr>
              <w:t>ATP</w:t>
            </w:r>
          </w:p>
        </w:tc>
        <w:tc>
          <w:tcPr>
            <w:tcW w:w="1127" w:type="dxa"/>
            <w:shd w:val="clear" w:color="auto" w:fill="auto"/>
          </w:tcPr>
          <w:p w:rsidR="00F93AD2" w:rsidRPr="00F93AD2" w:rsidRDefault="00F93AD2" w:rsidP="00F93AD2">
            <w:pPr>
              <w:spacing w:before="40" w:after="120"/>
              <w:ind w:right="113"/>
              <w:rPr>
                <w:lang w:val="fr-FR"/>
              </w:rPr>
            </w:pPr>
            <w:r w:rsidRPr="00F93AD2">
              <w:rPr>
                <w:lang w:val="fr-FR"/>
              </w:rPr>
              <w:t>Priorité</w:t>
            </w:r>
            <w:r w:rsidR="00B92668">
              <w:rPr>
                <w:lang w:val="fr-FR"/>
              </w:rPr>
              <w:t> </w:t>
            </w:r>
            <w:r w:rsidRPr="00F93AD2">
              <w:rPr>
                <w:lang w:val="fr-FR"/>
              </w:rPr>
              <w:t>: 1</w:t>
            </w:r>
          </w:p>
        </w:tc>
      </w:tr>
      <w:tr w:rsidR="00F93AD2" w:rsidRPr="00F93AD2" w:rsidTr="00C4113A">
        <w:tc>
          <w:tcPr>
            <w:tcW w:w="6243" w:type="dxa"/>
            <w:shd w:val="clear" w:color="auto" w:fill="auto"/>
          </w:tcPr>
          <w:p w:rsidR="00F93AD2" w:rsidRPr="00F93AD2" w:rsidRDefault="00F93AD2" w:rsidP="00B92668">
            <w:pPr>
              <w:spacing w:before="40" w:after="120"/>
              <w:ind w:right="113"/>
              <w:rPr>
                <w:u w:val="single"/>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2016</w:t>
            </w:r>
            <w:r w:rsidR="00B92668">
              <w:rPr>
                <w:lang w:val="fr-FR"/>
              </w:rPr>
              <w:t xml:space="preserve"> : </w:t>
            </w:r>
            <w:r w:rsidRPr="00F93AD2">
              <w:rPr>
                <w:lang w:val="fr-FR"/>
              </w:rPr>
              <w:t>Consensus sur une telle définition.</w:t>
            </w:r>
          </w:p>
        </w:tc>
        <w:tc>
          <w:tcPr>
            <w:tcW w:w="1127" w:type="dxa"/>
            <w:shd w:val="clear" w:color="auto" w:fill="auto"/>
          </w:tcPr>
          <w:p w:rsidR="00F93AD2" w:rsidRPr="00F93AD2" w:rsidRDefault="00F93AD2" w:rsidP="00F93AD2">
            <w:pPr>
              <w:spacing w:before="40" w:after="120"/>
              <w:ind w:right="113"/>
              <w:rPr>
                <w:u w:val="single"/>
                <w:lang w:val="fr-FR"/>
              </w:rPr>
            </w:pPr>
          </w:p>
        </w:tc>
      </w:tr>
      <w:tr w:rsidR="0032644E" w:rsidRPr="00F93AD2" w:rsidTr="00C4113A">
        <w:tc>
          <w:tcPr>
            <w:tcW w:w="6243" w:type="dxa"/>
            <w:shd w:val="clear" w:color="auto" w:fill="auto"/>
          </w:tcPr>
          <w:p w:rsidR="0032644E" w:rsidRPr="00F93AD2" w:rsidRDefault="0032644E" w:rsidP="002221E7">
            <w:pPr>
              <w:spacing w:before="40" w:after="120"/>
              <w:ind w:right="113" w:firstLine="567"/>
              <w:rPr>
                <w:lang w:val="fr-FR"/>
              </w:rPr>
            </w:pPr>
            <w:r w:rsidRPr="00F93AD2">
              <w:rPr>
                <w:lang w:val="fr-FR"/>
              </w:rPr>
              <w:t>k)</w:t>
            </w:r>
            <w:r w:rsidRPr="00F93AD2">
              <w:rPr>
                <w:lang w:val="fr-FR"/>
              </w:rPr>
              <w:tab/>
              <w:t>Examen de propositions d</w:t>
            </w:r>
            <w:r w:rsidR="0006343E">
              <w:rPr>
                <w:lang w:val="fr-FR"/>
              </w:rPr>
              <w:t>’</w:t>
            </w:r>
            <w:r w:rsidRPr="00F93AD2">
              <w:rPr>
                <w:lang w:val="fr-FR"/>
              </w:rPr>
              <w:t>amendement concernant les engins</w:t>
            </w:r>
            <w:r w:rsidR="002221E7">
              <w:rPr>
                <w:lang w:val="fr-FR"/>
              </w:rPr>
              <w:t xml:space="preserve"> </w:t>
            </w:r>
            <w:r w:rsidRPr="00F93AD2">
              <w:rPr>
                <w:lang w:val="fr-FR"/>
              </w:rPr>
              <w:t>à compartiments et températures multiples</w:t>
            </w:r>
          </w:p>
        </w:tc>
        <w:tc>
          <w:tcPr>
            <w:tcW w:w="1127" w:type="dxa"/>
            <w:shd w:val="clear" w:color="auto" w:fill="auto"/>
          </w:tcPr>
          <w:p w:rsidR="0032644E" w:rsidRPr="00F93AD2" w:rsidRDefault="0032644E" w:rsidP="00F93AD2">
            <w:pPr>
              <w:spacing w:before="40" w:after="120"/>
              <w:ind w:right="113"/>
              <w:rPr>
                <w:lang w:val="fr-FR"/>
              </w:rPr>
            </w:pPr>
            <w:r w:rsidRPr="00F93AD2">
              <w:rPr>
                <w:lang w:val="fr-FR"/>
              </w:rPr>
              <w:t>Priorité</w:t>
            </w:r>
            <w:r w:rsidR="00B92668">
              <w:rPr>
                <w:lang w:val="fr-FR"/>
              </w:rPr>
              <w:t> </w:t>
            </w:r>
            <w:r w:rsidRPr="00F93AD2">
              <w:rPr>
                <w:lang w:val="fr-FR"/>
              </w:rPr>
              <w:t>: 1</w:t>
            </w:r>
          </w:p>
        </w:tc>
      </w:tr>
      <w:tr w:rsidR="0032644E" w:rsidRPr="00F93AD2" w:rsidTr="00C4113A">
        <w:tc>
          <w:tcPr>
            <w:tcW w:w="6243" w:type="dxa"/>
            <w:shd w:val="clear" w:color="auto" w:fill="auto"/>
          </w:tcPr>
          <w:p w:rsidR="0032644E" w:rsidRPr="00F93AD2" w:rsidRDefault="0032644E" w:rsidP="00B92668">
            <w:pPr>
              <w:spacing w:before="40" w:after="120"/>
              <w:ind w:right="113"/>
              <w:rPr>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2016</w:t>
            </w:r>
            <w:r w:rsidR="00B92668">
              <w:rPr>
                <w:lang w:val="fr-FR"/>
              </w:rPr>
              <w:t xml:space="preserve"> : </w:t>
            </w:r>
            <w:r w:rsidRPr="00F93AD2">
              <w:rPr>
                <w:lang w:val="fr-FR"/>
              </w:rPr>
              <w:t>Adoption d</w:t>
            </w:r>
            <w:r w:rsidR="0006343E">
              <w:rPr>
                <w:lang w:val="fr-FR"/>
              </w:rPr>
              <w:t>’</w:t>
            </w:r>
            <w:r w:rsidRPr="00F93AD2">
              <w:rPr>
                <w:lang w:val="fr-FR"/>
              </w:rPr>
              <w:t>une procédure d</w:t>
            </w:r>
            <w:r w:rsidR="0006343E">
              <w:rPr>
                <w:lang w:val="fr-FR"/>
              </w:rPr>
              <w:t>’</w:t>
            </w:r>
            <w:r w:rsidRPr="00F93AD2">
              <w:rPr>
                <w:lang w:val="fr-FR"/>
              </w:rPr>
              <w:t>essai et de marques d</w:t>
            </w:r>
            <w:r w:rsidR="0006343E">
              <w:rPr>
                <w:lang w:val="fr-FR"/>
              </w:rPr>
              <w:t>’</w:t>
            </w:r>
            <w:r w:rsidRPr="00F93AD2">
              <w:rPr>
                <w:lang w:val="fr-FR"/>
              </w:rPr>
              <w:t>identification pour les engins à compartiments et températures multiples en service.</w:t>
            </w:r>
          </w:p>
        </w:tc>
        <w:tc>
          <w:tcPr>
            <w:tcW w:w="1127" w:type="dxa"/>
            <w:shd w:val="clear" w:color="auto" w:fill="auto"/>
          </w:tcPr>
          <w:p w:rsidR="0032644E" w:rsidRPr="00F93AD2" w:rsidRDefault="0032644E" w:rsidP="00F93AD2">
            <w:pPr>
              <w:spacing w:before="40" w:after="120"/>
              <w:ind w:right="113"/>
              <w:rPr>
                <w:u w:val="single"/>
                <w:lang w:val="fr-FR"/>
              </w:rPr>
            </w:pPr>
          </w:p>
        </w:tc>
      </w:tr>
      <w:tr w:rsidR="0032644E" w:rsidRPr="00F93AD2" w:rsidTr="00C4113A">
        <w:tc>
          <w:tcPr>
            <w:tcW w:w="6243" w:type="dxa"/>
            <w:shd w:val="clear" w:color="auto" w:fill="auto"/>
          </w:tcPr>
          <w:p w:rsidR="0032644E" w:rsidRPr="00F93AD2" w:rsidRDefault="0032644E" w:rsidP="00F93AD2">
            <w:pPr>
              <w:spacing w:before="40" w:after="120"/>
              <w:ind w:right="113" w:firstLine="567"/>
              <w:rPr>
                <w:lang w:val="fr-FR"/>
              </w:rPr>
            </w:pPr>
            <w:r w:rsidRPr="00F93AD2">
              <w:rPr>
                <w:lang w:val="fr-FR"/>
              </w:rPr>
              <w:t>l)</w:t>
            </w:r>
            <w:r w:rsidRPr="00F93AD2">
              <w:rPr>
                <w:lang w:val="fr-FR"/>
              </w:rPr>
              <w:tab/>
              <w:t>Révision de l</w:t>
            </w:r>
            <w:r w:rsidR="0006343E">
              <w:rPr>
                <w:lang w:val="fr-FR"/>
              </w:rPr>
              <w:t>’</w:t>
            </w:r>
            <w:r w:rsidRPr="00F93AD2">
              <w:rPr>
                <w:lang w:val="fr-FR"/>
              </w:rPr>
              <w:t>appendice 1 de l</w:t>
            </w:r>
            <w:r w:rsidR="0006343E">
              <w:rPr>
                <w:lang w:val="fr-FR"/>
              </w:rPr>
              <w:t>’</w:t>
            </w:r>
            <w:r w:rsidRPr="00F93AD2">
              <w:rPr>
                <w:lang w:val="fr-FR"/>
              </w:rPr>
              <w:t>annexe 1 de l</w:t>
            </w:r>
            <w:r w:rsidR="0006343E">
              <w:rPr>
                <w:lang w:val="fr-FR"/>
              </w:rPr>
              <w:t>’</w:t>
            </w:r>
            <w:r w:rsidRPr="00F93AD2">
              <w:rPr>
                <w:lang w:val="fr-FR"/>
              </w:rPr>
              <w:t xml:space="preserve">ATP en vue </w:t>
            </w:r>
            <w:r w:rsidR="008F669E">
              <w:rPr>
                <w:lang w:val="fr-FR"/>
              </w:rPr>
              <w:br/>
            </w:r>
            <w:r w:rsidRPr="00F93AD2">
              <w:rPr>
                <w:lang w:val="fr-FR"/>
              </w:rPr>
              <w:t>de la rendre plus logique et plus claire</w:t>
            </w:r>
          </w:p>
        </w:tc>
        <w:tc>
          <w:tcPr>
            <w:tcW w:w="1127" w:type="dxa"/>
            <w:shd w:val="clear" w:color="auto" w:fill="auto"/>
          </w:tcPr>
          <w:p w:rsidR="0032644E" w:rsidRPr="00F93AD2" w:rsidRDefault="0032644E" w:rsidP="00F93AD2">
            <w:pPr>
              <w:spacing w:before="40" w:after="120"/>
              <w:ind w:right="113"/>
              <w:rPr>
                <w:lang w:val="fr-FR"/>
              </w:rPr>
            </w:pPr>
            <w:r w:rsidRPr="00F93AD2">
              <w:rPr>
                <w:lang w:val="fr-FR"/>
              </w:rPr>
              <w:t>Priorité</w:t>
            </w:r>
            <w:r w:rsidR="00B92668">
              <w:rPr>
                <w:lang w:val="fr-FR"/>
              </w:rPr>
              <w:t> </w:t>
            </w:r>
            <w:r w:rsidRPr="00F93AD2">
              <w:rPr>
                <w:lang w:val="fr-FR"/>
              </w:rPr>
              <w:t>: 1</w:t>
            </w:r>
          </w:p>
        </w:tc>
      </w:tr>
      <w:tr w:rsidR="0032644E" w:rsidRPr="00F93AD2" w:rsidTr="00C4113A">
        <w:tc>
          <w:tcPr>
            <w:tcW w:w="6243" w:type="dxa"/>
            <w:shd w:val="clear" w:color="auto" w:fill="auto"/>
          </w:tcPr>
          <w:p w:rsidR="0032644E" w:rsidRPr="00F93AD2" w:rsidRDefault="0032644E" w:rsidP="00B92668">
            <w:pPr>
              <w:spacing w:before="40" w:after="120"/>
              <w:ind w:right="113"/>
              <w:rPr>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2018</w:t>
            </w:r>
            <w:r w:rsidR="00B92668">
              <w:rPr>
                <w:lang w:val="fr-FR"/>
              </w:rPr>
              <w:t> : </w:t>
            </w:r>
            <w:r w:rsidRPr="00F93AD2">
              <w:rPr>
                <w:lang w:val="fr-FR"/>
              </w:rPr>
              <w:t>Accord sur la révision de l</w:t>
            </w:r>
            <w:r w:rsidR="0006343E">
              <w:rPr>
                <w:lang w:val="fr-FR"/>
              </w:rPr>
              <w:t>’</w:t>
            </w:r>
            <w:r w:rsidRPr="00F93AD2">
              <w:rPr>
                <w:lang w:val="fr-FR"/>
              </w:rPr>
              <w:t>appendice 1 de l</w:t>
            </w:r>
            <w:r w:rsidR="0006343E">
              <w:rPr>
                <w:lang w:val="fr-FR"/>
              </w:rPr>
              <w:t>’</w:t>
            </w:r>
            <w:r w:rsidRPr="00F93AD2">
              <w:rPr>
                <w:lang w:val="fr-FR"/>
              </w:rPr>
              <w:t>annexe 1.</w:t>
            </w:r>
          </w:p>
        </w:tc>
        <w:tc>
          <w:tcPr>
            <w:tcW w:w="1127" w:type="dxa"/>
            <w:shd w:val="clear" w:color="auto" w:fill="auto"/>
          </w:tcPr>
          <w:p w:rsidR="0032644E" w:rsidRPr="00F93AD2" w:rsidRDefault="0032644E" w:rsidP="00F93AD2">
            <w:pPr>
              <w:spacing w:before="40" w:after="120"/>
              <w:ind w:right="113"/>
              <w:rPr>
                <w:strike/>
                <w:u w:val="single"/>
                <w:lang w:val="fr-FR"/>
              </w:rPr>
            </w:pPr>
          </w:p>
        </w:tc>
      </w:tr>
      <w:tr w:rsidR="0032644E" w:rsidRPr="00F93AD2" w:rsidTr="00C4113A">
        <w:tc>
          <w:tcPr>
            <w:tcW w:w="6243" w:type="dxa"/>
            <w:shd w:val="clear" w:color="auto" w:fill="auto"/>
          </w:tcPr>
          <w:p w:rsidR="0032644E" w:rsidRPr="00F93AD2" w:rsidRDefault="0032644E" w:rsidP="00F93AD2">
            <w:pPr>
              <w:spacing w:before="40" w:after="120"/>
              <w:ind w:right="113" w:firstLine="567"/>
              <w:rPr>
                <w:lang w:val="fr-FR"/>
              </w:rPr>
            </w:pPr>
            <w:r w:rsidRPr="00F93AD2">
              <w:rPr>
                <w:lang w:val="fr-FR"/>
              </w:rPr>
              <w:t>m)</w:t>
            </w:r>
            <w:r w:rsidRPr="00F93AD2">
              <w:rPr>
                <w:lang w:val="fr-FR"/>
              </w:rPr>
              <w:tab/>
              <w:t>Exclusion des caisses à rideaux latéraux de l</w:t>
            </w:r>
            <w:r w:rsidR="0006343E">
              <w:rPr>
                <w:lang w:val="fr-FR"/>
              </w:rPr>
              <w:t>’</w:t>
            </w:r>
            <w:r w:rsidRPr="00F93AD2">
              <w:rPr>
                <w:lang w:val="fr-FR"/>
              </w:rPr>
              <w:t>ATP</w:t>
            </w:r>
          </w:p>
        </w:tc>
        <w:tc>
          <w:tcPr>
            <w:tcW w:w="1127" w:type="dxa"/>
            <w:shd w:val="clear" w:color="auto" w:fill="auto"/>
          </w:tcPr>
          <w:p w:rsidR="0032644E" w:rsidRPr="00F93AD2" w:rsidRDefault="0032644E" w:rsidP="00F93AD2">
            <w:pPr>
              <w:spacing w:before="40" w:after="120"/>
              <w:ind w:right="113"/>
              <w:rPr>
                <w:lang w:val="fr-FR"/>
              </w:rPr>
            </w:pPr>
            <w:r w:rsidRPr="00F93AD2">
              <w:rPr>
                <w:lang w:val="fr-FR"/>
              </w:rPr>
              <w:t>Priorité</w:t>
            </w:r>
            <w:r w:rsidR="00B92668">
              <w:rPr>
                <w:lang w:val="fr-FR"/>
              </w:rPr>
              <w:t> </w:t>
            </w:r>
            <w:r w:rsidRPr="00F93AD2">
              <w:rPr>
                <w:lang w:val="fr-FR"/>
              </w:rPr>
              <w:t>: 1</w:t>
            </w:r>
          </w:p>
        </w:tc>
      </w:tr>
      <w:tr w:rsidR="0032644E" w:rsidRPr="00F93AD2" w:rsidTr="00C4113A">
        <w:tc>
          <w:tcPr>
            <w:tcW w:w="6243" w:type="dxa"/>
            <w:shd w:val="clear" w:color="auto" w:fill="auto"/>
          </w:tcPr>
          <w:p w:rsidR="0032644E" w:rsidRPr="00F93AD2" w:rsidRDefault="0032644E" w:rsidP="00B92668">
            <w:pPr>
              <w:spacing w:before="40" w:after="120"/>
              <w:ind w:right="113"/>
              <w:rPr>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2016</w:t>
            </w:r>
            <w:r w:rsidR="00B92668">
              <w:rPr>
                <w:lang w:val="fr-FR"/>
              </w:rPr>
              <w:t xml:space="preserve"> : </w:t>
            </w:r>
            <w:r w:rsidRPr="00F93AD2">
              <w:rPr>
                <w:lang w:val="fr-FR"/>
              </w:rPr>
              <w:t>Entrée en vigueur de dispositions interdisant de tels engins et de mesures transitoires en vue de leur élimination progressive.</w:t>
            </w:r>
          </w:p>
        </w:tc>
        <w:tc>
          <w:tcPr>
            <w:tcW w:w="1127" w:type="dxa"/>
            <w:shd w:val="clear" w:color="auto" w:fill="auto"/>
          </w:tcPr>
          <w:p w:rsidR="0032644E" w:rsidRPr="00F93AD2" w:rsidRDefault="0032644E" w:rsidP="00F93AD2">
            <w:pPr>
              <w:spacing w:before="40" w:after="120"/>
              <w:ind w:right="113"/>
              <w:rPr>
                <w:u w:val="single"/>
                <w:lang w:val="fr-FR"/>
              </w:rPr>
            </w:pPr>
          </w:p>
        </w:tc>
      </w:tr>
      <w:tr w:rsidR="0032644E" w:rsidRPr="00F93AD2" w:rsidTr="00C4113A">
        <w:tc>
          <w:tcPr>
            <w:tcW w:w="6243" w:type="dxa"/>
            <w:shd w:val="clear" w:color="auto" w:fill="auto"/>
          </w:tcPr>
          <w:p w:rsidR="0032644E" w:rsidRPr="00F93AD2" w:rsidRDefault="0032644E" w:rsidP="0045069B">
            <w:pPr>
              <w:spacing w:before="40" w:after="120"/>
              <w:ind w:right="113" w:firstLine="567"/>
              <w:rPr>
                <w:lang w:val="fr-FR"/>
              </w:rPr>
            </w:pPr>
            <w:r w:rsidRPr="00F93AD2">
              <w:rPr>
                <w:lang w:val="fr-FR"/>
              </w:rPr>
              <w:t>n)</w:t>
            </w:r>
            <w:r w:rsidRPr="00F93AD2">
              <w:rPr>
                <w:lang w:val="fr-FR"/>
              </w:rPr>
              <w:tab/>
              <w:t>Débat concernant les coefficients K indiqués dans l</w:t>
            </w:r>
            <w:r w:rsidR="0006343E">
              <w:rPr>
                <w:lang w:val="fr-FR"/>
              </w:rPr>
              <w:t>’</w:t>
            </w:r>
            <w:r w:rsidRPr="00F93AD2">
              <w:rPr>
                <w:lang w:val="fr-FR"/>
              </w:rPr>
              <w:t>ATP pour les engins en service et l</w:t>
            </w:r>
            <w:r w:rsidR="0006343E">
              <w:rPr>
                <w:lang w:val="fr-FR"/>
              </w:rPr>
              <w:t>’</w:t>
            </w:r>
            <w:r w:rsidRPr="00F93AD2">
              <w:rPr>
                <w:lang w:val="fr-FR"/>
              </w:rPr>
              <w:t>influence du vieillissement sur ces coefficients</w:t>
            </w:r>
          </w:p>
        </w:tc>
        <w:tc>
          <w:tcPr>
            <w:tcW w:w="1127" w:type="dxa"/>
            <w:shd w:val="clear" w:color="auto" w:fill="auto"/>
          </w:tcPr>
          <w:p w:rsidR="0032644E" w:rsidRPr="00F93AD2" w:rsidRDefault="0032644E" w:rsidP="0045069B">
            <w:pPr>
              <w:spacing w:before="40" w:after="120"/>
              <w:ind w:right="113"/>
              <w:rPr>
                <w:lang w:val="fr-FR"/>
              </w:rPr>
            </w:pPr>
            <w:r w:rsidRPr="00F93AD2">
              <w:rPr>
                <w:lang w:val="fr-FR"/>
              </w:rPr>
              <w:t>Priorité</w:t>
            </w:r>
            <w:r w:rsidR="00B92668">
              <w:rPr>
                <w:lang w:val="fr-FR"/>
              </w:rPr>
              <w:t> </w:t>
            </w:r>
            <w:r w:rsidRPr="00F93AD2">
              <w:rPr>
                <w:lang w:val="fr-FR"/>
              </w:rPr>
              <w:t>: 2</w:t>
            </w:r>
          </w:p>
        </w:tc>
      </w:tr>
      <w:tr w:rsidR="0032644E" w:rsidRPr="00F93AD2" w:rsidTr="00C4113A">
        <w:tc>
          <w:tcPr>
            <w:tcW w:w="6243" w:type="dxa"/>
            <w:shd w:val="clear" w:color="auto" w:fill="auto"/>
          </w:tcPr>
          <w:p w:rsidR="0032644E" w:rsidRPr="00F93AD2" w:rsidRDefault="0032644E" w:rsidP="0057283D">
            <w:pPr>
              <w:keepNext/>
              <w:spacing w:before="40" w:after="120"/>
              <w:ind w:right="113"/>
              <w:rPr>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2018</w:t>
            </w:r>
            <w:r w:rsidR="00B92668">
              <w:rPr>
                <w:lang w:val="fr-FR"/>
              </w:rPr>
              <w:t xml:space="preserve"> : </w:t>
            </w:r>
            <w:r w:rsidRPr="00F93AD2">
              <w:rPr>
                <w:lang w:val="fr-FR"/>
              </w:rPr>
              <w:t xml:space="preserve">Consensus sur la possibilité </w:t>
            </w:r>
            <w:r w:rsidR="0057283D">
              <w:rPr>
                <w:lang w:val="fr-FR"/>
              </w:rPr>
              <w:br/>
            </w:r>
            <w:r w:rsidRPr="00F93AD2">
              <w:rPr>
                <w:lang w:val="fr-FR"/>
              </w:rPr>
              <w:t>d</w:t>
            </w:r>
            <w:r w:rsidR="0006343E">
              <w:rPr>
                <w:lang w:val="fr-FR"/>
              </w:rPr>
              <w:t>’</w:t>
            </w:r>
            <w:r w:rsidRPr="00F93AD2">
              <w:rPr>
                <w:lang w:val="fr-FR"/>
              </w:rPr>
              <w:t>un compromis entre les différents points de vue sur le sujet.</w:t>
            </w:r>
          </w:p>
        </w:tc>
        <w:tc>
          <w:tcPr>
            <w:tcW w:w="1127" w:type="dxa"/>
            <w:shd w:val="clear" w:color="auto" w:fill="auto"/>
          </w:tcPr>
          <w:p w:rsidR="0032644E" w:rsidRPr="00F93AD2" w:rsidRDefault="0032644E" w:rsidP="0057283D">
            <w:pPr>
              <w:keepNext/>
              <w:spacing w:before="40" w:after="120"/>
              <w:ind w:right="113"/>
              <w:rPr>
                <w:u w:val="single"/>
                <w:lang w:val="fr-FR"/>
              </w:rPr>
            </w:pPr>
          </w:p>
        </w:tc>
      </w:tr>
      <w:tr w:rsidR="0032644E" w:rsidRPr="00F93AD2" w:rsidTr="00C4113A">
        <w:tc>
          <w:tcPr>
            <w:tcW w:w="6243" w:type="dxa"/>
            <w:shd w:val="clear" w:color="auto" w:fill="auto"/>
          </w:tcPr>
          <w:p w:rsidR="0032644E" w:rsidRPr="00F93AD2" w:rsidRDefault="0032644E" w:rsidP="00F93AD2">
            <w:pPr>
              <w:spacing w:before="40" w:after="120"/>
              <w:ind w:right="113" w:firstLine="567"/>
              <w:rPr>
                <w:lang w:val="fr-FR"/>
              </w:rPr>
            </w:pPr>
            <w:r w:rsidRPr="00F93AD2">
              <w:rPr>
                <w:lang w:val="fr-FR"/>
              </w:rPr>
              <w:t>o)</w:t>
            </w:r>
            <w:r w:rsidRPr="00F93AD2">
              <w:rPr>
                <w:lang w:val="fr-FR"/>
              </w:rPr>
              <w:tab/>
              <w:t>Examen de la possibilité d</w:t>
            </w:r>
            <w:r w:rsidR="0006343E">
              <w:rPr>
                <w:lang w:val="fr-FR"/>
              </w:rPr>
              <w:t>’</w:t>
            </w:r>
            <w:r w:rsidRPr="00F93AD2">
              <w:rPr>
                <w:lang w:val="fr-FR"/>
              </w:rPr>
              <w:t>étendre le contrôle de la température de l</w:t>
            </w:r>
            <w:r w:rsidR="0006343E">
              <w:rPr>
                <w:lang w:val="fr-FR"/>
              </w:rPr>
              <w:t>’</w:t>
            </w:r>
            <w:r w:rsidRPr="00F93AD2">
              <w:rPr>
                <w:lang w:val="fr-FR"/>
              </w:rPr>
              <w:t>air au transport des denrées réfrigérées</w:t>
            </w:r>
          </w:p>
        </w:tc>
        <w:tc>
          <w:tcPr>
            <w:tcW w:w="1127" w:type="dxa"/>
            <w:shd w:val="clear" w:color="auto" w:fill="auto"/>
          </w:tcPr>
          <w:p w:rsidR="0032644E" w:rsidRPr="00F93AD2" w:rsidRDefault="0032644E" w:rsidP="00F93AD2">
            <w:pPr>
              <w:spacing w:before="40" w:after="120"/>
              <w:ind w:right="113"/>
              <w:rPr>
                <w:lang w:val="fr-FR"/>
              </w:rPr>
            </w:pPr>
            <w:r w:rsidRPr="00F93AD2">
              <w:rPr>
                <w:lang w:val="fr-FR"/>
              </w:rPr>
              <w:t>Priorité</w:t>
            </w:r>
            <w:r w:rsidR="00B92668">
              <w:rPr>
                <w:lang w:val="fr-FR"/>
              </w:rPr>
              <w:t> </w:t>
            </w:r>
            <w:r w:rsidRPr="00F93AD2">
              <w:rPr>
                <w:lang w:val="fr-FR"/>
              </w:rPr>
              <w:t>: 1</w:t>
            </w:r>
          </w:p>
        </w:tc>
      </w:tr>
      <w:tr w:rsidR="0032644E" w:rsidRPr="00F93AD2" w:rsidTr="00C4113A">
        <w:tc>
          <w:tcPr>
            <w:tcW w:w="6243" w:type="dxa"/>
            <w:shd w:val="clear" w:color="auto" w:fill="auto"/>
          </w:tcPr>
          <w:p w:rsidR="0032644E" w:rsidRPr="00F93AD2" w:rsidRDefault="0032644E" w:rsidP="00B92668">
            <w:pPr>
              <w:spacing w:before="40" w:after="120"/>
              <w:ind w:right="113"/>
              <w:rPr>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2016</w:t>
            </w:r>
            <w:r w:rsidR="00B92668">
              <w:rPr>
                <w:lang w:val="fr-FR"/>
              </w:rPr>
              <w:t xml:space="preserve"> : </w:t>
            </w:r>
            <w:r w:rsidRPr="00F93AD2">
              <w:rPr>
                <w:lang w:val="fr-FR"/>
              </w:rPr>
              <w:t>Consensus éventuel sur la proposition.</w:t>
            </w:r>
          </w:p>
        </w:tc>
        <w:tc>
          <w:tcPr>
            <w:tcW w:w="1127" w:type="dxa"/>
            <w:shd w:val="clear" w:color="auto" w:fill="auto"/>
          </w:tcPr>
          <w:p w:rsidR="0032644E" w:rsidRPr="00F93AD2" w:rsidRDefault="0032644E" w:rsidP="00F93AD2">
            <w:pPr>
              <w:spacing w:before="40" w:after="120"/>
              <w:ind w:right="113"/>
              <w:rPr>
                <w:u w:val="single"/>
                <w:lang w:val="fr-FR"/>
              </w:rPr>
            </w:pPr>
          </w:p>
        </w:tc>
      </w:tr>
      <w:tr w:rsidR="0032644E" w:rsidRPr="00F93AD2" w:rsidTr="00C4113A">
        <w:tc>
          <w:tcPr>
            <w:tcW w:w="6243" w:type="dxa"/>
            <w:shd w:val="clear" w:color="auto" w:fill="auto"/>
          </w:tcPr>
          <w:p w:rsidR="0032644E" w:rsidRPr="00F93AD2" w:rsidRDefault="0032644E" w:rsidP="00F93AD2">
            <w:pPr>
              <w:spacing w:before="40" w:after="120"/>
              <w:ind w:right="113" w:firstLine="567"/>
              <w:rPr>
                <w:lang w:val="fr-FR"/>
              </w:rPr>
            </w:pPr>
            <w:r w:rsidRPr="00F93AD2">
              <w:rPr>
                <w:lang w:val="fr-FR"/>
              </w:rPr>
              <w:t>p)</w:t>
            </w:r>
            <w:r w:rsidRPr="00F93AD2">
              <w:rPr>
                <w:lang w:val="fr-FR"/>
              </w:rPr>
              <w:tab/>
              <w:t>Examen de propositions relatives aux essais des engins et dispositifs, y compris les engins non autonomes en service, les engins utilisés à la fois pour la réfrigération et le chauffage et les dispositifs thermiques à gaz liquéfié</w:t>
            </w:r>
          </w:p>
        </w:tc>
        <w:tc>
          <w:tcPr>
            <w:tcW w:w="1127" w:type="dxa"/>
            <w:shd w:val="clear" w:color="auto" w:fill="auto"/>
          </w:tcPr>
          <w:p w:rsidR="0032644E" w:rsidRPr="00F93AD2" w:rsidRDefault="0032644E" w:rsidP="00F93AD2">
            <w:pPr>
              <w:spacing w:before="40" w:after="120"/>
              <w:ind w:right="113"/>
              <w:rPr>
                <w:lang w:val="fr-FR"/>
              </w:rPr>
            </w:pPr>
            <w:r w:rsidRPr="00F93AD2">
              <w:rPr>
                <w:lang w:val="fr-FR"/>
              </w:rPr>
              <w:t>Priorité</w:t>
            </w:r>
            <w:r w:rsidR="00B92668">
              <w:rPr>
                <w:lang w:val="fr-FR"/>
              </w:rPr>
              <w:t> </w:t>
            </w:r>
            <w:r w:rsidRPr="00F93AD2">
              <w:rPr>
                <w:lang w:val="fr-FR"/>
              </w:rPr>
              <w:t>: 1</w:t>
            </w:r>
          </w:p>
        </w:tc>
      </w:tr>
      <w:tr w:rsidR="0032644E" w:rsidRPr="00F93AD2" w:rsidTr="00C4113A">
        <w:tc>
          <w:tcPr>
            <w:tcW w:w="6243" w:type="dxa"/>
            <w:shd w:val="clear" w:color="auto" w:fill="auto"/>
          </w:tcPr>
          <w:p w:rsidR="0032644E" w:rsidRPr="00F93AD2" w:rsidRDefault="0032644E" w:rsidP="00B92668">
            <w:pPr>
              <w:spacing w:before="40" w:after="120"/>
              <w:ind w:right="113"/>
              <w:rPr>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2017</w:t>
            </w:r>
            <w:r w:rsidR="00B92668">
              <w:rPr>
                <w:lang w:val="fr-FR"/>
              </w:rPr>
              <w:t xml:space="preserve"> : </w:t>
            </w:r>
            <w:r w:rsidRPr="00F93AD2">
              <w:rPr>
                <w:lang w:val="fr-FR"/>
              </w:rPr>
              <w:t>Entrée en vigueur d</w:t>
            </w:r>
            <w:r w:rsidR="0006343E">
              <w:rPr>
                <w:lang w:val="fr-FR"/>
              </w:rPr>
              <w:t>’</w:t>
            </w:r>
            <w:r w:rsidRPr="00F93AD2">
              <w:rPr>
                <w:lang w:val="fr-FR"/>
              </w:rPr>
              <w:t>amendements à l</w:t>
            </w:r>
            <w:r w:rsidR="0006343E">
              <w:rPr>
                <w:lang w:val="fr-FR"/>
              </w:rPr>
              <w:t>’</w:t>
            </w:r>
            <w:r w:rsidRPr="00F93AD2">
              <w:rPr>
                <w:lang w:val="fr-FR"/>
              </w:rPr>
              <w:t>ATP.</w:t>
            </w:r>
          </w:p>
        </w:tc>
        <w:tc>
          <w:tcPr>
            <w:tcW w:w="1127" w:type="dxa"/>
            <w:shd w:val="clear" w:color="auto" w:fill="auto"/>
          </w:tcPr>
          <w:p w:rsidR="0032644E" w:rsidRPr="00F93AD2" w:rsidRDefault="0032644E" w:rsidP="00F93AD2">
            <w:pPr>
              <w:spacing w:before="40" w:after="120"/>
              <w:ind w:right="113"/>
              <w:rPr>
                <w:u w:val="single"/>
                <w:lang w:val="fr-FR"/>
              </w:rPr>
            </w:pPr>
          </w:p>
        </w:tc>
      </w:tr>
      <w:tr w:rsidR="0032644E" w:rsidRPr="00F93AD2" w:rsidTr="00C4113A">
        <w:tc>
          <w:tcPr>
            <w:tcW w:w="6243" w:type="dxa"/>
            <w:shd w:val="clear" w:color="auto" w:fill="auto"/>
          </w:tcPr>
          <w:p w:rsidR="0032644E" w:rsidRPr="00F93AD2" w:rsidRDefault="0032644E" w:rsidP="00F93AD2">
            <w:pPr>
              <w:spacing w:before="40" w:after="120"/>
              <w:ind w:right="113" w:firstLine="567"/>
              <w:rPr>
                <w:lang w:val="fr-FR"/>
              </w:rPr>
            </w:pPr>
            <w:r w:rsidRPr="00F93AD2">
              <w:rPr>
                <w:lang w:val="fr-FR"/>
              </w:rPr>
              <w:t>q)</w:t>
            </w:r>
            <w:r w:rsidRPr="00F93AD2">
              <w:rPr>
                <w:lang w:val="fr-FR"/>
              </w:rPr>
              <w:tab/>
              <w:t>Examen de la révision des températures des classes pour les engins relevant de l</w:t>
            </w:r>
            <w:r w:rsidR="0006343E">
              <w:rPr>
                <w:lang w:val="fr-FR"/>
              </w:rPr>
              <w:t>’</w:t>
            </w:r>
            <w:r w:rsidRPr="00F93AD2">
              <w:rPr>
                <w:lang w:val="fr-FR"/>
              </w:rPr>
              <w:t>ATP en tenant compte d</w:t>
            </w:r>
            <w:r w:rsidR="0006343E">
              <w:rPr>
                <w:lang w:val="fr-FR"/>
              </w:rPr>
              <w:t>’</w:t>
            </w:r>
            <w:r w:rsidRPr="00F93AD2">
              <w:rPr>
                <w:lang w:val="fr-FR"/>
              </w:rPr>
              <w:t>autres normes et règlements relatifs aux denrées alimentaires</w:t>
            </w:r>
          </w:p>
        </w:tc>
        <w:tc>
          <w:tcPr>
            <w:tcW w:w="1127" w:type="dxa"/>
            <w:shd w:val="clear" w:color="auto" w:fill="auto"/>
          </w:tcPr>
          <w:p w:rsidR="0032644E" w:rsidRPr="00F93AD2" w:rsidRDefault="0032644E" w:rsidP="00F93AD2">
            <w:pPr>
              <w:spacing w:before="40" w:after="120"/>
              <w:ind w:right="113"/>
              <w:rPr>
                <w:lang w:val="fr-FR"/>
              </w:rPr>
            </w:pPr>
            <w:r w:rsidRPr="00F93AD2">
              <w:rPr>
                <w:lang w:val="fr-FR"/>
              </w:rPr>
              <w:t>Priorité</w:t>
            </w:r>
            <w:r w:rsidR="00B92668">
              <w:rPr>
                <w:lang w:val="fr-FR"/>
              </w:rPr>
              <w:t> </w:t>
            </w:r>
            <w:r w:rsidRPr="00F93AD2">
              <w:rPr>
                <w:lang w:val="fr-FR"/>
              </w:rPr>
              <w:t>: 2</w:t>
            </w:r>
          </w:p>
        </w:tc>
      </w:tr>
      <w:tr w:rsidR="0032644E" w:rsidRPr="00F93AD2" w:rsidTr="00C4113A">
        <w:tc>
          <w:tcPr>
            <w:tcW w:w="6243" w:type="dxa"/>
            <w:shd w:val="clear" w:color="auto" w:fill="auto"/>
          </w:tcPr>
          <w:p w:rsidR="0032644E" w:rsidRPr="00F93AD2" w:rsidRDefault="0032644E" w:rsidP="00B92668">
            <w:pPr>
              <w:spacing w:before="40" w:after="120"/>
              <w:ind w:right="113"/>
              <w:rPr>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2016</w:t>
            </w:r>
            <w:r w:rsidR="00B92668">
              <w:rPr>
                <w:lang w:val="fr-FR"/>
              </w:rPr>
              <w:t xml:space="preserve"> : </w:t>
            </w:r>
            <w:r w:rsidRPr="00F93AD2">
              <w:rPr>
                <w:lang w:val="fr-FR"/>
              </w:rPr>
              <w:t>Adoption éventuelle de nouvelles températures.</w:t>
            </w:r>
          </w:p>
        </w:tc>
        <w:tc>
          <w:tcPr>
            <w:tcW w:w="1127" w:type="dxa"/>
            <w:shd w:val="clear" w:color="auto" w:fill="auto"/>
          </w:tcPr>
          <w:p w:rsidR="0032644E" w:rsidRPr="00F93AD2" w:rsidRDefault="0032644E" w:rsidP="00F93AD2">
            <w:pPr>
              <w:spacing w:before="40" w:after="120"/>
              <w:ind w:right="113"/>
              <w:rPr>
                <w:u w:val="single"/>
                <w:lang w:val="fr-FR"/>
              </w:rPr>
            </w:pPr>
          </w:p>
        </w:tc>
      </w:tr>
      <w:tr w:rsidR="0032644E" w:rsidRPr="00F93AD2" w:rsidTr="00C4113A">
        <w:tc>
          <w:tcPr>
            <w:tcW w:w="6243" w:type="dxa"/>
            <w:shd w:val="clear" w:color="auto" w:fill="auto"/>
          </w:tcPr>
          <w:p w:rsidR="0032644E" w:rsidRPr="00F93AD2" w:rsidRDefault="0032644E" w:rsidP="00F93AD2">
            <w:pPr>
              <w:spacing w:before="40" w:after="120"/>
              <w:ind w:right="113" w:firstLine="567"/>
              <w:rPr>
                <w:lang w:val="fr-FR"/>
              </w:rPr>
            </w:pPr>
            <w:r w:rsidRPr="00F93AD2">
              <w:rPr>
                <w:lang w:val="fr-FR"/>
              </w:rPr>
              <w:t>r)</w:t>
            </w:r>
            <w:r w:rsidRPr="00F93AD2">
              <w:rPr>
                <w:lang w:val="fr-FR"/>
              </w:rPr>
              <w:tab/>
              <w:t>Étude des moyens de mesurer la surface extérieure des fourgons dans le but de normaliser la mesure de leur coefficient K</w:t>
            </w:r>
          </w:p>
        </w:tc>
        <w:tc>
          <w:tcPr>
            <w:tcW w:w="1127" w:type="dxa"/>
            <w:shd w:val="clear" w:color="auto" w:fill="auto"/>
          </w:tcPr>
          <w:p w:rsidR="0032644E" w:rsidRPr="00F93AD2" w:rsidRDefault="0032644E" w:rsidP="00F93AD2">
            <w:pPr>
              <w:spacing w:before="40" w:after="120"/>
              <w:ind w:right="113"/>
              <w:rPr>
                <w:lang w:val="fr-FR"/>
              </w:rPr>
            </w:pPr>
            <w:r w:rsidRPr="00F93AD2">
              <w:rPr>
                <w:lang w:val="fr-FR"/>
              </w:rPr>
              <w:t>Priorité</w:t>
            </w:r>
            <w:r w:rsidR="00B92668">
              <w:rPr>
                <w:lang w:val="fr-FR"/>
              </w:rPr>
              <w:t> </w:t>
            </w:r>
            <w:r w:rsidRPr="00F93AD2">
              <w:rPr>
                <w:lang w:val="fr-FR"/>
              </w:rPr>
              <w:t>: 1</w:t>
            </w:r>
          </w:p>
        </w:tc>
      </w:tr>
      <w:tr w:rsidR="0032644E" w:rsidRPr="00F93AD2" w:rsidTr="00C4113A">
        <w:tc>
          <w:tcPr>
            <w:tcW w:w="6243" w:type="dxa"/>
            <w:shd w:val="clear" w:color="auto" w:fill="auto"/>
          </w:tcPr>
          <w:p w:rsidR="0032644E" w:rsidRPr="00F93AD2" w:rsidRDefault="0032644E" w:rsidP="00B92668">
            <w:pPr>
              <w:spacing w:before="40" w:after="120"/>
              <w:ind w:right="113"/>
              <w:rPr>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2017</w:t>
            </w:r>
            <w:r w:rsidR="00B92668">
              <w:rPr>
                <w:lang w:val="fr-FR"/>
              </w:rPr>
              <w:t> : </w:t>
            </w:r>
            <w:r w:rsidRPr="00F93AD2">
              <w:rPr>
                <w:lang w:val="fr-FR"/>
              </w:rPr>
              <w:t>Entrée en vigueur d</w:t>
            </w:r>
            <w:r w:rsidR="0006343E">
              <w:rPr>
                <w:lang w:val="fr-FR"/>
              </w:rPr>
              <w:t>’</w:t>
            </w:r>
            <w:r w:rsidRPr="00F93AD2">
              <w:rPr>
                <w:lang w:val="fr-FR"/>
              </w:rPr>
              <w:t>un amendement à l</w:t>
            </w:r>
            <w:r w:rsidR="0006343E">
              <w:rPr>
                <w:lang w:val="fr-FR"/>
              </w:rPr>
              <w:t>’</w:t>
            </w:r>
            <w:r w:rsidRPr="00F93AD2">
              <w:rPr>
                <w:lang w:val="fr-FR"/>
              </w:rPr>
              <w:t>ATP.</w:t>
            </w:r>
          </w:p>
        </w:tc>
        <w:tc>
          <w:tcPr>
            <w:tcW w:w="1127" w:type="dxa"/>
            <w:shd w:val="clear" w:color="auto" w:fill="auto"/>
          </w:tcPr>
          <w:p w:rsidR="0032644E" w:rsidRPr="00F93AD2" w:rsidRDefault="0032644E" w:rsidP="00F93AD2">
            <w:pPr>
              <w:spacing w:before="40" w:after="120"/>
              <w:ind w:right="113"/>
              <w:rPr>
                <w:u w:val="single"/>
                <w:lang w:val="fr-FR"/>
              </w:rPr>
            </w:pPr>
          </w:p>
        </w:tc>
      </w:tr>
      <w:tr w:rsidR="0032644E" w:rsidRPr="00F93AD2" w:rsidTr="00C4113A">
        <w:tc>
          <w:tcPr>
            <w:tcW w:w="6243" w:type="dxa"/>
            <w:shd w:val="clear" w:color="auto" w:fill="auto"/>
          </w:tcPr>
          <w:p w:rsidR="0032644E" w:rsidRPr="00F93AD2" w:rsidRDefault="0032644E" w:rsidP="00F93AD2">
            <w:pPr>
              <w:spacing w:before="40" w:after="120"/>
              <w:ind w:right="113" w:firstLine="567"/>
              <w:rPr>
                <w:lang w:val="fr-FR"/>
              </w:rPr>
            </w:pPr>
            <w:r w:rsidRPr="00F93AD2">
              <w:rPr>
                <w:lang w:val="fr-FR"/>
              </w:rPr>
              <w:t>s)</w:t>
            </w:r>
            <w:r w:rsidRPr="00F93AD2">
              <w:rPr>
                <w:lang w:val="fr-FR"/>
              </w:rPr>
              <w:tab/>
              <w:t>Examen d</w:t>
            </w:r>
            <w:r w:rsidR="0006343E">
              <w:rPr>
                <w:lang w:val="fr-FR"/>
              </w:rPr>
              <w:t>’</w:t>
            </w:r>
            <w:r w:rsidRPr="00F93AD2">
              <w:rPr>
                <w:lang w:val="fr-FR"/>
              </w:rPr>
              <w:t xml:space="preserve">une éventuelle révision des procédures de prise </w:t>
            </w:r>
            <w:r w:rsidR="0057283D">
              <w:rPr>
                <w:lang w:val="fr-FR"/>
              </w:rPr>
              <w:br/>
            </w:r>
            <w:r w:rsidRPr="00F93AD2">
              <w:rPr>
                <w:lang w:val="fr-FR"/>
              </w:rPr>
              <w:t>de décision</w:t>
            </w:r>
            <w:r w:rsidR="00B92668">
              <w:rPr>
                <w:lang w:val="fr-FR"/>
              </w:rPr>
              <w:t>s</w:t>
            </w:r>
            <w:r w:rsidRPr="00F93AD2">
              <w:rPr>
                <w:lang w:val="fr-FR"/>
              </w:rPr>
              <w:t xml:space="preserve"> du Groupe de travail</w:t>
            </w:r>
          </w:p>
        </w:tc>
        <w:tc>
          <w:tcPr>
            <w:tcW w:w="1127" w:type="dxa"/>
            <w:shd w:val="clear" w:color="auto" w:fill="auto"/>
          </w:tcPr>
          <w:p w:rsidR="0032644E" w:rsidRPr="00F93AD2" w:rsidRDefault="0032644E" w:rsidP="00F93AD2">
            <w:pPr>
              <w:spacing w:before="40" w:after="120"/>
              <w:ind w:right="113"/>
              <w:rPr>
                <w:lang w:val="fr-FR"/>
              </w:rPr>
            </w:pPr>
            <w:r w:rsidRPr="00F93AD2">
              <w:rPr>
                <w:lang w:val="fr-FR"/>
              </w:rPr>
              <w:t>Priorité</w:t>
            </w:r>
            <w:r w:rsidR="00B92668">
              <w:rPr>
                <w:lang w:val="fr-FR"/>
              </w:rPr>
              <w:t> </w:t>
            </w:r>
            <w:r w:rsidRPr="00F93AD2">
              <w:rPr>
                <w:lang w:val="fr-FR"/>
              </w:rPr>
              <w:t>: 1</w:t>
            </w:r>
          </w:p>
        </w:tc>
      </w:tr>
      <w:tr w:rsidR="0032644E" w:rsidRPr="00F93AD2" w:rsidTr="00C4113A">
        <w:tc>
          <w:tcPr>
            <w:tcW w:w="6243" w:type="dxa"/>
            <w:shd w:val="clear" w:color="auto" w:fill="auto"/>
          </w:tcPr>
          <w:p w:rsidR="0032644E" w:rsidRPr="00F93AD2" w:rsidRDefault="0032644E" w:rsidP="00B92668">
            <w:pPr>
              <w:spacing w:before="40" w:after="120"/>
              <w:ind w:right="113"/>
              <w:rPr>
                <w:u w:val="single"/>
                <w:lang w:val="fr-FR"/>
              </w:rPr>
            </w:pPr>
            <w:r w:rsidRPr="00F93AD2">
              <w:rPr>
                <w:u w:val="single"/>
                <w:lang w:val="fr-FR"/>
              </w:rPr>
              <w:t>Résultats escomptés d</w:t>
            </w:r>
            <w:r w:rsidR="0006343E">
              <w:rPr>
                <w:u w:val="single"/>
                <w:lang w:val="fr-FR"/>
              </w:rPr>
              <w:t>’</w:t>
            </w:r>
            <w:r w:rsidRPr="00F93AD2">
              <w:rPr>
                <w:u w:val="single"/>
                <w:lang w:val="fr-FR"/>
              </w:rPr>
              <w:t xml:space="preserve">ici à la fin de </w:t>
            </w:r>
            <w:r w:rsidRPr="00F93AD2">
              <w:rPr>
                <w:b/>
                <w:u w:val="single"/>
                <w:lang w:val="fr-FR"/>
              </w:rPr>
              <w:t>2016</w:t>
            </w:r>
            <w:r w:rsidR="00B92668">
              <w:rPr>
                <w:lang w:val="fr-FR"/>
              </w:rPr>
              <w:t> : </w:t>
            </w:r>
            <w:r w:rsidRPr="00F93AD2">
              <w:rPr>
                <w:rFonts w:eastAsia="Calibri"/>
                <w:lang w:val="fr-FR"/>
              </w:rPr>
              <w:t xml:space="preserve">Consensus sur la nécessité </w:t>
            </w:r>
            <w:r w:rsidR="0057283D">
              <w:rPr>
                <w:rFonts w:eastAsia="Calibri"/>
                <w:lang w:val="fr-FR"/>
              </w:rPr>
              <w:br/>
            </w:r>
            <w:r w:rsidRPr="00F93AD2">
              <w:rPr>
                <w:rFonts w:eastAsia="Calibri"/>
                <w:lang w:val="fr-FR"/>
              </w:rPr>
              <w:t>de réviser les procédures de prise de décision</w:t>
            </w:r>
            <w:r w:rsidR="00B92668">
              <w:rPr>
                <w:rFonts w:eastAsia="Calibri"/>
                <w:lang w:val="fr-FR"/>
              </w:rPr>
              <w:t>s</w:t>
            </w:r>
            <w:r w:rsidRPr="00F93AD2">
              <w:rPr>
                <w:rFonts w:eastAsia="Calibri"/>
                <w:lang w:val="fr-FR"/>
              </w:rPr>
              <w:t>.</w:t>
            </w:r>
          </w:p>
        </w:tc>
        <w:tc>
          <w:tcPr>
            <w:tcW w:w="1127" w:type="dxa"/>
            <w:shd w:val="clear" w:color="auto" w:fill="auto"/>
          </w:tcPr>
          <w:p w:rsidR="0032644E" w:rsidRPr="00F93AD2" w:rsidRDefault="0032644E" w:rsidP="00F93AD2">
            <w:pPr>
              <w:spacing w:before="40" w:after="120"/>
              <w:ind w:right="113"/>
              <w:rPr>
                <w:u w:val="single"/>
                <w:lang w:val="fr-FR"/>
              </w:rPr>
            </w:pPr>
          </w:p>
        </w:tc>
      </w:tr>
    </w:tbl>
    <w:p w:rsidR="005F05CE" w:rsidRPr="00B92668" w:rsidRDefault="00B92668" w:rsidP="00B92668">
      <w:pPr>
        <w:pStyle w:val="SingleTxtG"/>
        <w:spacing w:before="240" w:after="0"/>
        <w:jc w:val="center"/>
        <w:rPr>
          <w:u w:val="single"/>
        </w:rPr>
      </w:pPr>
      <w:r>
        <w:rPr>
          <w:u w:val="single"/>
        </w:rPr>
        <w:tab/>
      </w:r>
      <w:r>
        <w:rPr>
          <w:u w:val="single"/>
        </w:rPr>
        <w:tab/>
      </w:r>
      <w:r>
        <w:rPr>
          <w:u w:val="single"/>
        </w:rPr>
        <w:tab/>
      </w:r>
    </w:p>
    <w:sectPr w:rsidR="005F05CE" w:rsidRPr="00B92668" w:rsidSect="0082711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3E" w:rsidRDefault="0006343E" w:rsidP="00F95C08">
      <w:pPr>
        <w:spacing w:line="240" w:lineRule="auto"/>
      </w:pPr>
    </w:p>
  </w:endnote>
  <w:endnote w:type="continuationSeparator" w:id="0">
    <w:p w:rsidR="0006343E" w:rsidRPr="00AC3823" w:rsidRDefault="0006343E" w:rsidP="00AC3823"/>
  </w:endnote>
  <w:endnote w:type="continuationNotice" w:id="1">
    <w:p w:rsidR="0006343E" w:rsidRDefault="000634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3E" w:rsidRPr="00827114" w:rsidRDefault="0006343E" w:rsidP="00827114">
    <w:pPr>
      <w:tabs>
        <w:tab w:val="right" w:pos="9638"/>
      </w:tabs>
      <w:rPr>
        <w:sz w:val="16"/>
      </w:rPr>
    </w:pPr>
    <w:r w:rsidRPr="00827114">
      <w:rPr>
        <w:b/>
        <w:sz w:val="18"/>
      </w:rPr>
      <w:fldChar w:fldCharType="begin"/>
    </w:r>
    <w:r w:rsidRPr="00827114">
      <w:rPr>
        <w:b/>
        <w:sz w:val="18"/>
      </w:rPr>
      <w:instrText xml:space="preserve"> PAGE  \* MERGEFORMAT </w:instrText>
    </w:r>
    <w:r w:rsidRPr="00827114">
      <w:rPr>
        <w:b/>
        <w:sz w:val="18"/>
      </w:rPr>
      <w:fldChar w:fldCharType="separate"/>
    </w:r>
    <w:r w:rsidR="006000D1">
      <w:rPr>
        <w:b/>
        <w:noProof/>
        <w:sz w:val="18"/>
      </w:rPr>
      <w:t>2</w:t>
    </w:r>
    <w:r w:rsidRPr="00827114">
      <w:rPr>
        <w:b/>
        <w:sz w:val="18"/>
      </w:rPr>
      <w:fldChar w:fldCharType="end"/>
    </w:r>
    <w:r>
      <w:rPr>
        <w:b/>
        <w:sz w:val="18"/>
      </w:rPr>
      <w:tab/>
    </w:r>
    <w:r>
      <w:t>GE.15-18854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3E" w:rsidRPr="00827114" w:rsidRDefault="0006343E" w:rsidP="00827114">
    <w:pPr>
      <w:tabs>
        <w:tab w:val="right" w:pos="9638"/>
      </w:tabs>
      <w:rPr>
        <w:b/>
        <w:sz w:val="18"/>
      </w:rPr>
    </w:pPr>
    <w:r>
      <w:t>GE.15-18854</w:t>
    </w:r>
    <w:r>
      <w:tab/>
    </w:r>
    <w:r w:rsidRPr="00827114">
      <w:rPr>
        <w:b/>
        <w:sz w:val="18"/>
      </w:rPr>
      <w:fldChar w:fldCharType="begin"/>
    </w:r>
    <w:r w:rsidRPr="00827114">
      <w:rPr>
        <w:b/>
        <w:sz w:val="18"/>
      </w:rPr>
      <w:instrText xml:space="preserve"> PAGE  \* MERGEFORMAT </w:instrText>
    </w:r>
    <w:r w:rsidRPr="00827114">
      <w:rPr>
        <w:b/>
        <w:sz w:val="18"/>
      </w:rPr>
      <w:fldChar w:fldCharType="separate"/>
    </w:r>
    <w:r w:rsidR="006000D1">
      <w:rPr>
        <w:b/>
        <w:noProof/>
        <w:sz w:val="18"/>
      </w:rPr>
      <w:t>21</w:t>
    </w:r>
    <w:r w:rsidRPr="008271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3E" w:rsidRPr="00827114" w:rsidRDefault="0006343E" w:rsidP="00827114">
    <w:pPr>
      <w:spacing w:before="120" w:line="240" w:lineRule="auto"/>
    </w:pPr>
    <w:r>
      <w:t>GE.</w:t>
    </w:r>
    <w:r>
      <w:rPr>
        <w:noProof/>
        <w:lang w:val="en-US"/>
      </w:rPr>
      <w:drawing>
        <wp:anchor distT="0" distB="0" distL="114300" distR="114300" simplePos="0" relativeHeight="251659264" behindDoc="0" locked="0" layoutInCell="1" allowOverlap="0" wp14:anchorId="207A48A5" wp14:editId="0E41A6A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15-18854  (F)    290316    300316</w:t>
    </w:r>
    <w:r>
      <w:br/>
    </w:r>
    <w:r w:rsidRPr="00827114">
      <w:rPr>
        <w:rFonts w:ascii="C39T30Lfz" w:hAnsi="C39T30Lfz"/>
        <w:sz w:val="56"/>
      </w:rPr>
      <w:t></w:t>
    </w:r>
    <w:r w:rsidRPr="00827114">
      <w:rPr>
        <w:rFonts w:ascii="C39T30Lfz" w:hAnsi="C39T30Lfz"/>
        <w:sz w:val="56"/>
      </w:rPr>
      <w:t></w:t>
    </w:r>
    <w:r w:rsidRPr="00827114">
      <w:rPr>
        <w:rFonts w:ascii="C39T30Lfz" w:hAnsi="C39T30Lfz"/>
        <w:sz w:val="56"/>
      </w:rPr>
      <w:t></w:t>
    </w:r>
    <w:r w:rsidRPr="00827114">
      <w:rPr>
        <w:rFonts w:ascii="C39T30Lfz" w:hAnsi="C39T30Lfz"/>
        <w:sz w:val="56"/>
      </w:rPr>
      <w:t></w:t>
    </w:r>
    <w:r w:rsidRPr="00827114">
      <w:rPr>
        <w:rFonts w:ascii="C39T30Lfz" w:hAnsi="C39T30Lfz"/>
        <w:sz w:val="56"/>
      </w:rPr>
      <w:t></w:t>
    </w:r>
    <w:r w:rsidRPr="00827114">
      <w:rPr>
        <w:rFonts w:ascii="C39T30Lfz" w:hAnsi="C39T30Lfz"/>
        <w:sz w:val="56"/>
      </w:rPr>
      <w:t></w:t>
    </w:r>
    <w:r w:rsidRPr="00827114">
      <w:rPr>
        <w:rFonts w:ascii="C39T30Lfz" w:hAnsi="C39T30Lfz"/>
        <w:sz w:val="56"/>
      </w:rPr>
      <w:t></w:t>
    </w:r>
    <w:r w:rsidRPr="00827114">
      <w:rPr>
        <w:rFonts w:ascii="C39T30Lfz" w:hAnsi="C39T30Lfz"/>
        <w:sz w:val="56"/>
      </w:rPr>
      <w:t></w:t>
    </w:r>
    <w:r w:rsidRPr="00827114">
      <w:rPr>
        <w:rFonts w:ascii="C39T30Lfz" w:hAnsi="C39T30Lfz"/>
        <w:sz w:val="56"/>
      </w:rPr>
      <w:t></w:t>
    </w:r>
    <w:r>
      <w:rPr>
        <w:noProof/>
        <w:lang w:val="en-US"/>
      </w:rPr>
      <w:drawing>
        <wp:anchor distT="0" distB="0" distL="114300" distR="114300" simplePos="0" relativeHeight="251660288" behindDoc="0" locked="0" layoutInCell="1" allowOverlap="1" wp14:anchorId="07A31DCD" wp14:editId="17BAFFBE">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3E" w:rsidRPr="00AC3823" w:rsidRDefault="0006343E" w:rsidP="00AC3823">
      <w:pPr>
        <w:tabs>
          <w:tab w:val="right" w:pos="2155"/>
        </w:tabs>
        <w:spacing w:after="80"/>
        <w:ind w:left="680"/>
        <w:rPr>
          <w:u w:val="single"/>
        </w:rPr>
      </w:pPr>
      <w:r>
        <w:rPr>
          <w:u w:val="single"/>
        </w:rPr>
        <w:tab/>
      </w:r>
    </w:p>
  </w:footnote>
  <w:footnote w:type="continuationSeparator" w:id="0">
    <w:p w:rsidR="0006343E" w:rsidRPr="00AC3823" w:rsidRDefault="0006343E" w:rsidP="00AC3823">
      <w:pPr>
        <w:tabs>
          <w:tab w:val="right" w:pos="2155"/>
        </w:tabs>
        <w:spacing w:after="80"/>
        <w:ind w:left="680"/>
        <w:rPr>
          <w:u w:val="single"/>
        </w:rPr>
      </w:pPr>
      <w:r>
        <w:rPr>
          <w:u w:val="single"/>
        </w:rPr>
        <w:tab/>
      </w:r>
    </w:p>
  </w:footnote>
  <w:footnote w:type="continuationNotice" w:id="1">
    <w:p w:rsidR="0006343E" w:rsidRPr="00AC3823" w:rsidRDefault="0006343E">
      <w:pPr>
        <w:spacing w:line="240" w:lineRule="auto"/>
        <w:rPr>
          <w:sz w:val="2"/>
          <w:szCs w:val="2"/>
        </w:rPr>
      </w:pPr>
    </w:p>
  </w:footnote>
  <w:footnote w:id="2">
    <w:p w:rsidR="0006343E" w:rsidRPr="006D05C6" w:rsidRDefault="0006343E" w:rsidP="006D05C6">
      <w:pPr>
        <w:pStyle w:val="FootnoteText"/>
        <w:rPr>
          <w:rFonts w:eastAsiaTheme="minorHAnsi"/>
        </w:rPr>
      </w:pPr>
      <w:r>
        <w:tab/>
      </w:r>
      <w:r>
        <w:rPr>
          <w:rStyle w:val="FootnoteReference"/>
        </w:rPr>
        <w:footnoteRef/>
      </w:r>
      <w:r>
        <w:tab/>
      </w:r>
      <w:r w:rsidRPr="006D05C6">
        <w:rPr>
          <w:rFonts w:eastAsiaTheme="minorHAnsi"/>
        </w:rPr>
        <w:t>Les figures pertinentes se trouvent dans le Manuel ATP à l’adresse électronique suivante</w:t>
      </w:r>
      <w:r>
        <w:rPr>
          <w:rFonts w:eastAsiaTheme="minorHAnsi"/>
        </w:rPr>
        <w:t xml:space="preserve"> : </w:t>
      </w:r>
      <w:r w:rsidRPr="006D05C6">
        <w:rPr>
          <w:rFonts w:eastAsiaTheme="minorHAnsi"/>
        </w:rPr>
        <w:t>http://www.unece.org/trans/main/wp11/atp_handbook.html.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3E" w:rsidRPr="00827114" w:rsidRDefault="0006343E" w:rsidP="00DD290A">
    <w:pPr>
      <w:pStyle w:val="Header"/>
      <w:pBdr>
        <w:bottom w:val="single" w:sz="4" w:space="5" w:color="auto"/>
      </w:pBdr>
    </w:pPr>
    <w:r>
      <w:t>ECE/TRANS/WP.11/233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43E" w:rsidRPr="00827114" w:rsidRDefault="0006343E" w:rsidP="00DD290A">
    <w:pPr>
      <w:pStyle w:val="Header"/>
      <w:jc w:val="right"/>
    </w:pPr>
    <w:r>
      <w:t>ECE/TRANS/WP.11/233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904C4"/>
    <w:multiLevelType w:val="hybridMultilevel"/>
    <w:tmpl w:val="046A8E8E"/>
    <w:lvl w:ilvl="0" w:tplc="E5D2436C">
      <w:start w:val="1"/>
      <w:numFmt w:val="decimal"/>
      <w:lvlText w:val="%1."/>
      <w:lvlJc w:val="left"/>
      <w:pPr>
        <w:ind w:left="2823" w:hanging="555"/>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15:restartNumberingAfterBreak="0">
    <w:nsid w:val="2AFF29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E6D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1C8247C"/>
    <w:multiLevelType w:val="hybridMultilevel"/>
    <w:tmpl w:val="C67C0B4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9" w15:restartNumberingAfterBreak="0">
    <w:nsid w:val="5A9C58C5"/>
    <w:multiLevelType w:val="hybridMultilevel"/>
    <w:tmpl w:val="16A06C92"/>
    <w:lvl w:ilvl="0" w:tplc="E5D2436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427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370E0B"/>
    <w:multiLevelType w:val="hybridMultilevel"/>
    <w:tmpl w:val="E9ECC04E"/>
    <w:lvl w:ilvl="0" w:tplc="E5D2436C">
      <w:start w:val="1"/>
      <w:numFmt w:val="decimal"/>
      <w:lvlText w:val="%1."/>
      <w:lvlJc w:val="left"/>
      <w:pPr>
        <w:ind w:left="1973"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4"/>
  </w:num>
  <w:num w:numId="16">
    <w:abstractNumId w:val="16"/>
  </w:num>
  <w:num w:numId="17">
    <w:abstractNumId w:val="20"/>
  </w:num>
  <w:num w:numId="18">
    <w:abstractNumId w:val="23"/>
  </w:num>
  <w:num w:numId="19">
    <w:abstractNumId w:val="15"/>
  </w:num>
  <w:num w:numId="20">
    <w:abstractNumId w:val="12"/>
  </w:num>
  <w:num w:numId="21">
    <w:abstractNumId w:val="10"/>
  </w:num>
  <w:num w:numId="22">
    <w:abstractNumId w:val="18"/>
  </w:num>
  <w:num w:numId="23">
    <w:abstractNumId w:val="19"/>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9E"/>
    <w:rsid w:val="00017F94"/>
    <w:rsid w:val="00023842"/>
    <w:rsid w:val="000334F9"/>
    <w:rsid w:val="00055DDA"/>
    <w:rsid w:val="00060D40"/>
    <w:rsid w:val="0006343E"/>
    <w:rsid w:val="0007796D"/>
    <w:rsid w:val="000B7790"/>
    <w:rsid w:val="000C566D"/>
    <w:rsid w:val="000C5CF2"/>
    <w:rsid w:val="000E43E4"/>
    <w:rsid w:val="000E4E5A"/>
    <w:rsid w:val="00111F2F"/>
    <w:rsid w:val="0014365E"/>
    <w:rsid w:val="00143C66"/>
    <w:rsid w:val="00166D17"/>
    <w:rsid w:val="00176178"/>
    <w:rsid w:val="001764EA"/>
    <w:rsid w:val="001D640A"/>
    <w:rsid w:val="001F2966"/>
    <w:rsid w:val="001F525A"/>
    <w:rsid w:val="002221E7"/>
    <w:rsid w:val="00223272"/>
    <w:rsid w:val="0024779E"/>
    <w:rsid w:val="00253995"/>
    <w:rsid w:val="00257168"/>
    <w:rsid w:val="002744B8"/>
    <w:rsid w:val="002832AC"/>
    <w:rsid w:val="00297993"/>
    <w:rsid w:val="002A28D1"/>
    <w:rsid w:val="002C53B6"/>
    <w:rsid w:val="002D7C93"/>
    <w:rsid w:val="00305801"/>
    <w:rsid w:val="0031700D"/>
    <w:rsid w:val="0032644E"/>
    <w:rsid w:val="00364EE5"/>
    <w:rsid w:val="003804C0"/>
    <w:rsid w:val="003916DE"/>
    <w:rsid w:val="00394C89"/>
    <w:rsid w:val="003F488F"/>
    <w:rsid w:val="0040110F"/>
    <w:rsid w:val="00424C84"/>
    <w:rsid w:val="00436EC3"/>
    <w:rsid w:val="00441C3B"/>
    <w:rsid w:val="00446FE5"/>
    <w:rsid w:val="0045069B"/>
    <w:rsid w:val="00452396"/>
    <w:rsid w:val="004837D8"/>
    <w:rsid w:val="00490A08"/>
    <w:rsid w:val="004B3B33"/>
    <w:rsid w:val="004B495B"/>
    <w:rsid w:val="004E468C"/>
    <w:rsid w:val="004E7F80"/>
    <w:rsid w:val="00510DC3"/>
    <w:rsid w:val="005505B7"/>
    <w:rsid w:val="00564E44"/>
    <w:rsid w:val="0057283D"/>
    <w:rsid w:val="00573BE5"/>
    <w:rsid w:val="00586ED3"/>
    <w:rsid w:val="00596AA9"/>
    <w:rsid w:val="005F05CE"/>
    <w:rsid w:val="005F0B13"/>
    <w:rsid w:val="006000D1"/>
    <w:rsid w:val="00642A2E"/>
    <w:rsid w:val="00656644"/>
    <w:rsid w:val="00662FDC"/>
    <w:rsid w:val="006652DF"/>
    <w:rsid w:val="006D05C6"/>
    <w:rsid w:val="006E0785"/>
    <w:rsid w:val="006E4548"/>
    <w:rsid w:val="0071601D"/>
    <w:rsid w:val="0076778D"/>
    <w:rsid w:val="007A62E6"/>
    <w:rsid w:val="007F20FA"/>
    <w:rsid w:val="007F32E1"/>
    <w:rsid w:val="0080684C"/>
    <w:rsid w:val="00827114"/>
    <w:rsid w:val="0086522F"/>
    <w:rsid w:val="00871C75"/>
    <w:rsid w:val="008776DC"/>
    <w:rsid w:val="0089324A"/>
    <w:rsid w:val="00893C48"/>
    <w:rsid w:val="008F669E"/>
    <w:rsid w:val="00965642"/>
    <w:rsid w:val="009705C8"/>
    <w:rsid w:val="0097219C"/>
    <w:rsid w:val="00984D9E"/>
    <w:rsid w:val="009A5109"/>
    <w:rsid w:val="009B0529"/>
    <w:rsid w:val="009C1CF4"/>
    <w:rsid w:val="009C6FC6"/>
    <w:rsid w:val="009E3358"/>
    <w:rsid w:val="009E6746"/>
    <w:rsid w:val="009F6B74"/>
    <w:rsid w:val="00A239F1"/>
    <w:rsid w:val="00A30353"/>
    <w:rsid w:val="00A51A65"/>
    <w:rsid w:val="00A9544B"/>
    <w:rsid w:val="00AC3823"/>
    <w:rsid w:val="00AC4603"/>
    <w:rsid w:val="00AE323C"/>
    <w:rsid w:val="00AF0CB5"/>
    <w:rsid w:val="00B00181"/>
    <w:rsid w:val="00B00B0D"/>
    <w:rsid w:val="00B2794E"/>
    <w:rsid w:val="00B326EA"/>
    <w:rsid w:val="00B7346F"/>
    <w:rsid w:val="00B765F7"/>
    <w:rsid w:val="00B87EA3"/>
    <w:rsid w:val="00B90356"/>
    <w:rsid w:val="00B92668"/>
    <w:rsid w:val="00BA0CA9"/>
    <w:rsid w:val="00BB4A4C"/>
    <w:rsid w:val="00C02897"/>
    <w:rsid w:val="00C40BAC"/>
    <w:rsid w:val="00C4113A"/>
    <w:rsid w:val="00C42B98"/>
    <w:rsid w:val="00C67C30"/>
    <w:rsid w:val="00C92E25"/>
    <w:rsid w:val="00D3439C"/>
    <w:rsid w:val="00D45CDD"/>
    <w:rsid w:val="00D54AEC"/>
    <w:rsid w:val="00D651C4"/>
    <w:rsid w:val="00D65700"/>
    <w:rsid w:val="00DB1831"/>
    <w:rsid w:val="00DD290A"/>
    <w:rsid w:val="00DD3BFD"/>
    <w:rsid w:val="00DF6678"/>
    <w:rsid w:val="00DF6D9A"/>
    <w:rsid w:val="00E30975"/>
    <w:rsid w:val="00E357DD"/>
    <w:rsid w:val="00E5526E"/>
    <w:rsid w:val="00E6008C"/>
    <w:rsid w:val="00E85C74"/>
    <w:rsid w:val="00EA1151"/>
    <w:rsid w:val="00EA6547"/>
    <w:rsid w:val="00ED1E10"/>
    <w:rsid w:val="00EF0687"/>
    <w:rsid w:val="00EF2E22"/>
    <w:rsid w:val="00F34287"/>
    <w:rsid w:val="00F35BAF"/>
    <w:rsid w:val="00F660DF"/>
    <w:rsid w:val="00F8558C"/>
    <w:rsid w:val="00F855B4"/>
    <w:rsid w:val="00F93AD2"/>
    <w:rsid w:val="00F94664"/>
    <w:rsid w:val="00F9573C"/>
    <w:rsid w:val="00F95C08"/>
    <w:rsid w:val="00FA61BA"/>
    <w:rsid w:val="00FB6FC9"/>
    <w:rsid w:val="00FC25B2"/>
    <w:rsid w:val="00FD49F5"/>
    <w:rsid w:val="00FE27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830EE76-8711-4AEC-8EB6-56013426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0A"/>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DD290A"/>
    <w:pPr>
      <w:keepNext/>
      <w:keepLines/>
      <w:spacing w:after="0" w:line="240" w:lineRule="auto"/>
      <w:ind w:right="0"/>
      <w:jc w:val="left"/>
      <w:outlineLvl w:val="0"/>
    </w:pPr>
  </w:style>
  <w:style w:type="paragraph" w:styleId="Heading2">
    <w:name w:val="heading 2"/>
    <w:basedOn w:val="Normal"/>
    <w:next w:val="Normal"/>
    <w:link w:val="Heading2Char"/>
    <w:qFormat/>
    <w:rsid w:val="00DD290A"/>
    <w:pPr>
      <w:outlineLvl w:val="1"/>
    </w:pPr>
  </w:style>
  <w:style w:type="paragraph" w:styleId="Heading3">
    <w:name w:val="heading 3"/>
    <w:basedOn w:val="Normal"/>
    <w:next w:val="Normal"/>
    <w:link w:val="Heading3Char"/>
    <w:qFormat/>
    <w:rsid w:val="00DD290A"/>
    <w:pPr>
      <w:outlineLvl w:val="2"/>
    </w:pPr>
  </w:style>
  <w:style w:type="paragraph" w:styleId="Heading4">
    <w:name w:val="heading 4"/>
    <w:basedOn w:val="Normal"/>
    <w:next w:val="Normal"/>
    <w:link w:val="Heading4Char"/>
    <w:qFormat/>
    <w:rsid w:val="00DD290A"/>
    <w:pPr>
      <w:outlineLvl w:val="3"/>
    </w:pPr>
  </w:style>
  <w:style w:type="paragraph" w:styleId="Heading5">
    <w:name w:val="heading 5"/>
    <w:basedOn w:val="Normal"/>
    <w:next w:val="Normal"/>
    <w:link w:val="Heading5Char"/>
    <w:qFormat/>
    <w:rsid w:val="00DD290A"/>
    <w:pPr>
      <w:outlineLvl w:val="4"/>
    </w:pPr>
  </w:style>
  <w:style w:type="paragraph" w:styleId="Heading6">
    <w:name w:val="heading 6"/>
    <w:basedOn w:val="Normal"/>
    <w:next w:val="Normal"/>
    <w:link w:val="Heading6Char"/>
    <w:qFormat/>
    <w:rsid w:val="00DD290A"/>
    <w:pPr>
      <w:outlineLvl w:val="5"/>
    </w:pPr>
  </w:style>
  <w:style w:type="paragraph" w:styleId="Heading7">
    <w:name w:val="heading 7"/>
    <w:basedOn w:val="Normal"/>
    <w:next w:val="Normal"/>
    <w:link w:val="Heading7Char"/>
    <w:qFormat/>
    <w:rsid w:val="00DD290A"/>
    <w:pPr>
      <w:outlineLvl w:val="6"/>
    </w:pPr>
  </w:style>
  <w:style w:type="paragraph" w:styleId="Heading8">
    <w:name w:val="heading 8"/>
    <w:basedOn w:val="Normal"/>
    <w:next w:val="Normal"/>
    <w:link w:val="Heading8Char"/>
    <w:qFormat/>
    <w:rsid w:val="00DD290A"/>
    <w:pPr>
      <w:outlineLvl w:val="7"/>
    </w:pPr>
  </w:style>
  <w:style w:type="paragraph" w:styleId="Heading9">
    <w:name w:val="heading 9"/>
    <w:basedOn w:val="Normal"/>
    <w:next w:val="Normal"/>
    <w:link w:val="Heading9Char"/>
    <w:qFormat/>
    <w:rsid w:val="00DD29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DD290A"/>
    <w:pPr>
      <w:spacing w:after="120"/>
      <w:ind w:left="1134" w:right="1134"/>
      <w:jc w:val="both"/>
    </w:pPr>
  </w:style>
  <w:style w:type="character" w:customStyle="1" w:styleId="SingleTxtGChar">
    <w:name w:val="_ Single Txt_G Char"/>
    <w:link w:val="SingleTxtG"/>
    <w:rsid w:val="00D651C4"/>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DD290A"/>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DD290A"/>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DD290A"/>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DD290A"/>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DD290A"/>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DD290A"/>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DD290A"/>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DD290A"/>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DD290A"/>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D2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0A"/>
    <w:rPr>
      <w:rFonts w:ascii="Tahoma" w:hAnsi="Tahoma" w:cs="Tahoma"/>
      <w:sz w:val="16"/>
      <w:szCs w:val="16"/>
      <w:lang w:eastAsia="en-US"/>
    </w:rPr>
  </w:style>
  <w:style w:type="paragraph" w:styleId="FootnoteText">
    <w:name w:val="footnote text"/>
    <w:aliases w:val="5_G"/>
    <w:basedOn w:val="Normal"/>
    <w:link w:val="FootnoteTextChar"/>
    <w:qFormat/>
    <w:rsid w:val="00DD290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D290A"/>
    <w:rPr>
      <w:rFonts w:ascii="Times New Roman" w:hAnsi="Times New Roman" w:cs="Times New Roman"/>
      <w:sz w:val="18"/>
      <w:szCs w:val="20"/>
      <w:lang w:eastAsia="en-US"/>
    </w:rPr>
  </w:style>
  <w:style w:type="character" w:styleId="Hyperlink">
    <w:name w:val="Hyperlink"/>
    <w:basedOn w:val="DefaultParagraphFont"/>
    <w:unhideWhenUsed/>
    <w:rsid w:val="00DD290A"/>
    <w:rPr>
      <w:color w:val="0000FF"/>
      <w:u w:val="none"/>
    </w:rPr>
  </w:style>
  <w:style w:type="paragraph" w:customStyle="1" w:styleId="HChG">
    <w:name w:val="_ H _Ch_G"/>
    <w:basedOn w:val="Normal"/>
    <w:next w:val="Normal"/>
    <w:link w:val="HChGChar"/>
    <w:qFormat/>
    <w:rsid w:val="00DD290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D651C4"/>
    <w:rPr>
      <w:rFonts w:ascii="Times New Roman" w:hAnsi="Times New Roman" w:cs="Times New Roman"/>
      <w:b/>
      <w:sz w:val="28"/>
      <w:szCs w:val="20"/>
      <w:lang w:eastAsia="en-US"/>
    </w:rPr>
  </w:style>
  <w:style w:type="paragraph" w:customStyle="1" w:styleId="H1G">
    <w:name w:val="_ H_1_G"/>
    <w:basedOn w:val="Normal"/>
    <w:next w:val="Normal"/>
    <w:qFormat/>
    <w:rsid w:val="00DD290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D290A"/>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D651C4"/>
    <w:rPr>
      <w:rFonts w:ascii="Times New Roman" w:hAnsi="Times New Roman" w:cs="Times New Roman"/>
      <w:b/>
      <w:sz w:val="20"/>
      <w:szCs w:val="20"/>
      <w:lang w:eastAsia="en-US"/>
    </w:rPr>
  </w:style>
  <w:style w:type="paragraph" w:customStyle="1" w:styleId="SingleTxt">
    <w:name w:val="__Single Txt"/>
    <w:basedOn w:val="Normal"/>
    <w:qFormat/>
    <w:rsid w:val="006D05C6"/>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ru-RU"/>
    </w:rPr>
  </w:style>
  <w:style w:type="paragraph" w:customStyle="1" w:styleId="H56G">
    <w:name w:val="_ H_5/6_G"/>
    <w:basedOn w:val="Normal"/>
    <w:next w:val="Normal"/>
    <w:qFormat/>
    <w:rsid w:val="00DD290A"/>
    <w:pPr>
      <w:keepNext/>
      <w:keepLines/>
      <w:tabs>
        <w:tab w:val="right" w:pos="851"/>
      </w:tabs>
      <w:spacing w:before="240" w:after="120" w:line="240" w:lineRule="exact"/>
      <w:ind w:left="1134" w:right="1134" w:hanging="1134"/>
    </w:pPr>
  </w:style>
  <w:style w:type="character" w:styleId="FootnoteReference">
    <w:name w:val="footnote reference"/>
    <w:aliases w:val="4_G"/>
    <w:basedOn w:val="DefaultParagraphFont"/>
    <w:qFormat/>
    <w:rsid w:val="00DD290A"/>
    <w:rPr>
      <w:rFonts w:ascii="Times New Roman" w:hAnsi="Times New Roman"/>
      <w:sz w:val="18"/>
      <w:vertAlign w:val="superscript"/>
      <w:lang w:val="fr-CH"/>
    </w:rPr>
  </w:style>
  <w:style w:type="paragraph" w:styleId="ListParagraph">
    <w:name w:val="List Paragraph"/>
    <w:basedOn w:val="Normal"/>
    <w:uiPriority w:val="34"/>
    <w:semiHidden/>
    <w:qFormat/>
    <w:rsid w:val="00D651C4"/>
    <w:pPr>
      <w:ind w:left="720"/>
      <w:contextualSpacing/>
    </w:pPr>
  </w:style>
  <w:style w:type="paragraph" w:customStyle="1" w:styleId="Bullet1G">
    <w:name w:val="_Bullet 1_G"/>
    <w:basedOn w:val="Normal"/>
    <w:qFormat/>
    <w:rsid w:val="00DD290A"/>
    <w:pPr>
      <w:numPr>
        <w:numId w:val="1"/>
      </w:numPr>
      <w:spacing w:after="120"/>
      <w:ind w:right="1134"/>
      <w:jc w:val="both"/>
    </w:pPr>
  </w:style>
  <w:style w:type="paragraph" w:customStyle="1" w:styleId="H4G">
    <w:name w:val="_ H_4_G"/>
    <w:basedOn w:val="Normal"/>
    <w:next w:val="Normal"/>
    <w:qFormat/>
    <w:rsid w:val="00DD290A"/>
    <w:pPr>
      <w:keepNext/>
      <w:keepLines/>
      <w:tabs>
        <w:tab w:val="right" w:pos="851"/>
      </w:tabs>
      <w:spacing w:before="240" w:after="120" w:line="240" w:lineRule="exact"/>
      <w:ind w:left="1134" w:right="1134" w:hanging="1134"/>
    </w:pPr>
    <w:rPr>
      <w:i/>
    </w:rPr>
  </w:style>
  <w:style w:type="paragraph" w:styleId="Header">
    <w:name w:val="header"/>
    <w:aliases w:val="6_G"/>
    <w:basedOn w:val="Normal"/>
    <w:next w:val="Normal"/>
    <w:link w:val="HeaderChar"/>
    <w:qFormat/>
    <w:rsid w:val="00DD290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D290A"/>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DD290A"/>
    <w:pPr>
      <w:spacing w:line="240" w:lineRule="auto"/>
    </w:pPr>
    <w:rPr>
      <w:sz w:val="16"/>
    </w:rPr>
  </w:style>
  <w:style w:type="character" w:customStyle="1" w:styleId="FooterChar">
    <w:name w:val="Footer Char"/>
    <w:aliases w:val="3_G Char"/>
    <w:basedOn w:val="DefaultParagraphFont"/>
    <w:link w:val="Footer"/>
    <w:rsid w:val="00DD290A"/>
    <w:rPr>
      <w:rFonts w:ascii="Times New Roman" w:hAnsi="Times New Roman" w:cs="Times New Roman"/>
      <w:sz w:val="16"/>
      <w:szCs w:val="20"/>
      <w:lang w:eastAsia="en-US"/>
    </w:rPr>
  </w:style>
  <w:style w:type="paragraph" w:customStyle="1" w:styleId="HMG">
    <w:name w:val="_ H __M_G"/>
    <w:basedOn w:val="Normal"/>
    <w:next w:val="Normal"/>
    <w:qFormat/>
    <w:rsid w:val="00DD290A"/>
    <w:pPr>
      <w:keepNext/>
      <w:keepLines/>
      <w:tabs>
        <w:tab w:val="right" w:pos="851"/>
      </w:tabs>
      <w:spacing w:before="240" w:after="240" w:line="360" w:lineRule="exact"/>
      <w:ind w:left="1134" w:right="1134" w:hanging="1134"/>
    </w:pPr>
    <w:rPr>
      <w:b/>
      <w:sz w:val="34"/>
    </w:rPr>
  </w:style>
  <w:style w:type="paragraph" w:customStyle="1" w:styleId="SLG">
    <w:name w:val="__S_L_G"/>
    <w:basedOn w:val="Normal"/>
    <w:next w:val="Normal"/>
    <w:rsid w:val="00DD290A"/>
    <w:pPr>
      <w:keepNext/>
      <w:keepLines/>
      <w:spacing w:before="240" w:after="240" w:line="580" w:lineRule="exact"/>
      <w:ind w:left="1134" w:right="1134"/>
    </w:pPr>
    <w:rPr>
      <w:b/>
      <w:sz w:val="56"/>
    </w:rPr>
  </w:style>
  <w:style w:type="paragraph" w:customStyle="1" w:styleId="SMG">
    <w:name w:val="__S_M_G"/>
    <w:basedOn w:val="Normal"/>
    <w:next w:val="Normal"/>
    <w:rsid w:val="00DD290A"/>
    <w:pPr>
      <w:keepNext/>
      <w:keepLines/>
      <w:spacing w:before="240" w:after="240" w:line="420" w:lineRule="exact"/>
      <w:ind w:left="1134" w:right="1134"/>
    </w:pPr>
    <w:rPr>
      <w:b/>
      <w:sz w:val="40"/>
    </w:rPr>
  </w:style>
  <w:style w:type="paragraph" w:customStyle="1" w:styleId="SSG">
    <w:name w:val="__S_S_G"/>
    <w:basedOn w:val="Normal"/>
    <w:next w:val="Normal"/>
    <w:rsid w:val="00DD290A"/>
    <w:pPr>
      <w:keepNext/>
      <w:keepLines/>
      <w:spacing w:before="240" w:after="240" w:line="300" w:lineRule="exact"/>
      <w:ind w:left="1134" w:right="1134"/>
    </w:pPr>
    <w:rPr>
      <w:b/>
      <w:sz w:val="28"/>
    </w:rPr>
  </w:style>
  <w:style w:type="paragraph" w:customStyle="1" w:styleId="XLargeG">
    <w:name w:val="__XLarge_G"/>
    <w:basedOn w:val="Normal"/>
    <w:next w:val="Normal"/>
    <w:rsid w:val="00DD290A"/>
    <w:pPr>
      <w:keepNext/>
      <w:keepLines/>
      <w:spacing w:before="240" w:after="240" w:line="420" w:lineRule="exact"/>
      <w:ind w:left="1134" w:right="1134"/>
    </w:pPr>
    <w:rPr>
      <w:b/>
      <w:sz w:val="40"/>
    </w:rPr>
  </w:style>
  <w:style w:type="paragraph" w:customStyle="1" w:styleId="Bullet2G">
    <w:name w:val="_Bullet 2_G"/>
    <w:basedOn w:val="Normal"/>
    <w:qFormat/>
    <w:rsid w:val="00DD290A"/>
    <w:pPr>
      <w:numPr>
        <w:numId w:val="2"/>
      </w:numPr>
      <w:spacing w:after="120"/>
      <w:ind w:right="1134"/>
      <w:jc w:val="both"/>
    </w:pPr>
  </w:style>
  <w:style w:type="paragraph" w:customStyle="1" w:styleId="ParNoG">
    <w:name w:val="_ParNo_G"/>
    <w:basedOn w:val="Normal"/>
    <w:qFormat/>
    <w:rsid w:val="00DD290A"/>
    <w:pPr>
      <w:numPr>
        <w:numId w:val="3"/>
      </w:numPr>
      <w:tabs>
        <w:tab w:val="clear" w:pos="1701"/>
      </w:tabs>
      <w:spacing w:after="120"/>
      <w:ind w:right="1134"/>
      <w:jc w:val="both"/>
    </w:pPr>
  </w:style>
  <w:style w:type="character" w:styleId="EndnoteReference">
    <w:name w:val="endnote reference"/>
    <w:aliases w:val="1_G"/>
    <w:basedOn w:val="FootnoteReference"/>
    <w:qFormat/>
    <w:rsid w:val="00DD290A"/>
    <w:rPr>
      <w:rFonts w:ascii="Times New Roman" w:hAnsi="Times New Roman"/>
      <w:sz w:val="18"/>
      <w:vertAlign w:val="superscript"/>
      <w:lang w:val="fr-CH"/>
    </w:rPr>
  </w:style>
  <w:style w:type="table" w:styleId="TableGrid">
    <w:name w:val="Table Grid"/>
    <w:basedOn w:val="TableNormal"/>
    <w:rsid w:val="00DD290A"/>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nhideWhenUsed/>
    <w:rsid w:val="00DD290A"/>
    <w:rPr>
      <w:color w:val="0000FF"/>
      <w:u w:val="none"/>
    </w:rPr>
  </w:style>
  <w:style w:type="paragraph" w:styleId="EndnoteText">
    <w:name w:val="endnote text"/>
    <w:aliases w:val="2_G"/>
    <w:basedOn w:val="FootnoteText"/>
    <w:link w:val="EndnoteTextChar"/>
    <w:qFormat/>
    <w:rsid w:val="00DD290A"/>
  </w:style>
  <w:style w:type="character" w:customStyle="1" w:styleId="EndnoteTextChar">
    <w:name w:val="Endnote Text Char"/>
    <w:aliases w:val="2_G Char"/>
    <w:basedOn w:val="DefaultParagraphFont"/>
    <w:link w:val="EndnoteText"/>
    <w:rsid w:val="00DD290A"/>
    <w:rPr>
      <w:rFonts w:ascii="Times New Roman" w:hAnsi="Times New Roman" w:cs="Times New Roman"/>
      <w:sz w:val="18"/>
      <w:szCs w:val="20"/>
      <w:lang w:eastAsia="en-US"/>
    </w:rPr>
  </w:style>
  <w:style w:type="character" w:styleId="PageNumber">
    <w:name w:val="page number"/>
    <w:aliases w:val="7_G"/>
    <w:basedOn w:val="DefaultParagraphFont"/>
    <w:qFormat/>
    <w:rsid w:val="00DD290A"/>
    <w:rPr>
      <w:rFonts w:ascii="Times New Roman" w:hAnsi="Times New Roman"/>
      <w:b/>
      <w:sz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3DE9-43A3-4C15-A848-EDE7F2DF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9320</Words>
  <Characters>53128</Characters>
  <Application>Microsoft Office Word</Application>
  <DocSecurity>0</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ECE/TRANS/WP.11/233</vt:lpstr>
      <vt:lpstr>ECE/TRANS/WP.11/233</vt:lpstr>
    </vt:vector>
  </TitlesOfParts>
  <Company>DCM</Company>
  <LinksUpToDate>false</LinksUpToDate>
  <CharactersWithSpaces>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ECE/TRANS/WP.11/233</dc:title>
  <dc:subject/>
  <dc:creator>Robert Corinne</dc:creator>
  <cp:keywords/>
  <dc:description/>
  <cp:lastModifiedBy>Caillot</cp:lastModifiedBy>
  <cp:revision>2</cp:revision>
  <cp:lastPrinted>2016-03-29T13:47:00Z</cp:lastPrinted>
  <dcterms:created xsi:type="dcterms:W3CDTF">2016-03-31T08:43:00Z</dcterms:created>
  <dcterms:modified xsi:type="dcterms:W3CDTF">2016-03-31T08:43:00Z</dcterms:modified>
</cp:coreProperties>
</file>