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54" w:rsidRDefault="00B62754" w:rsidP="00B62754">
      <w:pPr>
        <w:spacing w:line="240" w:lineRule="auto"/>
        <w:rPr>
          <w:sz w:val="2"/>
        </w:rPr>
        <w:sectPr w:rsidR="00B62754" w:rsidSect="00B6275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B62754" w:rsidRDefault="00B62754" w:rsidP="00B62754">
      <w:pPr>
        <w:pStyle w:val="H1"/>
        <w:spacing w:after="120"/>
        <w:rPr>
          <w:sz w:val="28"/>
        </w:rPr>
      </w:pPr>
      <w:r>
        <w:rPr>
          <w:sz w:val="28"/>
        </w:rPr>
        <w:lastRenderedPageBreak/>
        <w:t>Commission économique pour l’Europe</w:t>
      </w:r>
    </w:p>
    <w:p w:rsidR="00B62754" w:rsidRDefault="00B62754" w:rsidP="00B62754">
      <w:pPr>
        <w:pStyle w:val="H1"/>
        <w:spacing w:after="120" w:line="300" w:lineRule="exact"/>
        <w:rPr>
          <w:b w:val="0"/>
          <w:sz w:val="28"/>
        </w:rPr>
      </w:pPr>
      <w:r>
        <w:rPr>
          <w:b w:val="0"/>
          <w:sz w:val="28"/>
        </w:rPr>
        <w:t>Comité des transports intérieurs</w:t>
      </w:r>
    </w:p>
    <w:p w:rsidR="0051300D" w:rsidRPr="00D40779" w:rsidRDefault="0051300D" w:rsidP="00D4077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pacing w:val="2"/>
          <w:lang w:val="fr-FR"/>
        </w:rPr>
      </w:pPr>
      <w:r w:rsidRPr="00D40779">
        <w:rPr>
          <w:spacing w:val="2"/>
          <w:lang w:val="fr-FR"/>
        </w:rPr>
        <w:t>Groupe de travail du transport des denrées périssables</w:t>
      </w:r>
    </w:p>
    <w:p w:rsidR="00D40779" w:rsidRPr="00D40779" w:rsidRDefault="00D40779" w:rsidP="00D40779">
      <w:pPr>
        <w:spacing w:line="120" w:lineRule="exact"/>
        <w:rPr>
          <w:sz w:val="10"/>
          <w:lang w:val="fr-FR"/>
        </w:rPr>
      </w:pPr>
    </w:p>
    <w:p w:rsidR="0051300D" w:rsidRPr="0051300D" w:rsidRDefault="0051300D" w:rsidP="00D4077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1300D">
        <w:rPr>
          <w:lang w:val="fr-FR"/>
        </w:rPr>
        <w:t>Soixante et onzième session</w:t>
      </w:r>
    </w:p>
    <w:p w:rsidR="0051300D" w:rsidRPr="0051300D" w:rsidRDefault="0051300D" w:rsidP="00D40779">
      <w:pPr>
        <w:rPr>
          <w:lang w:val="fr-FR"/>
        </w:rPr>
      </w:pPr>
      <w:r w:rsidRPr="0051300D">
        <w:rPr>
          <w:lang w:val="fr-FR"/>
        </w:rPr>
        <w:t xml:space="preserve">Genève, </w:t>
      </w:r>
      <w:r w:rsidR="00D40779">
        <w:rPr>
          <w:lang w:val="fr-FR"/>
        </w:rPr>
        <w:t>6-9 </w:t>
      </w:r>
      <w:r w:rsidRPr="0051300D">
        <w:rPr>
          <w:lang w:val="fr-FR"/>
        </w:rPr>
        <w:t>octobre 2015</w:t>
      </w:r>
    </w:p>
    <w:p w:rsidR="0051300D" w:rsidRPr="0051300D" w:rsidRDefault="0051300D" w:rsidP="00D40779">
      <w:pPr>
        <w:rPr>
          <w:lang w:val="fr-FR"/>
        </w:rPr>
      </w:pPr>
      <w:r w:rsidRPr="0051300D">
        <w:rPr>
          <w:lang w:val="fr-FR"/>
        </w:rPr>
        <w:t>Point 6 de l’ordre du jour provisoire</w:t>
      </w:r>
    </w:p>
    <w:p w:rsidR="0051300D" w:rsidRDefault="0051300D" w:rsidP="00D4077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1300D">
        <w:rPr>
          <w:lang w:val="fr-FR"/>
        </w:rPr>
        <w:t>Manuel ATP</w:t>
      </w:r>
    </w:p>
    <w:p w:rsidR="00D40779" w:rsidRPr="00D40779" w:rsidRDefault="00D40779" w:rsidP="00D40779">
      <w:pPr>
        <w:spacing w:line="120" w:lineRule="exact"/>
        <w:rPr>
          <w:sz w:val="10"/>
          <w:lang w:val="fr-FR"/>
        </w:rPr>
      </w:pPr>
    </w:p>
    <w:p w:rsidR="00D40779" w:rsidRPr="00D40779" w:rsidRDefault="00D40779" w:rsidP="00D40779">
      <w:pPr>
        <w:spacing w:line="120" w:lineRule="exact"/>
        <w:rPr>
          <w:sz w:val="10"/>
          <w:lang w:val="fr-FR"/>
        </w:rPr>
      </w:pPr>
    </w:p>
    <w:p w:rsidR="00D40779" w:rsidRPr="00D40779" w:rsidRDefault="00D40779" w:rsidP="00D40779">
      <w:pPr>
        <w:spacing w:line="120" w:lineRule="exact"/>
        <w:rPr>
          <w:sz w:val="10"/>
          <w:lang w:val="fr-FR"/>
        </w:rPr>
      </w:pPr>
    </w:p>
    <w:p w:rsidR="0051300D" w:rsidRDefault="0051300D" w:rsidP="00D407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r>
      <w:r w:rsidRPr="008F2531">
        <w:rPr>
          <w:spacing w:val="-4"/>
          <w:lang w:val="fr-FR"/>
        </w:rPr>
        <w:t>Proposition d’observations concernant les modifications</w:t>
      </w:r>
      <w:r w:rsidRPr="0051300D">
        <w:rPr>
          <w:lang w:val="fr-FR"/>
        </w:rPr>
        <w:t xml:space="preserve"> mineures et limitées dans le Manuel ATP</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Default="0051300D" w:rsidP="00D407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t>Communication de la Finlande</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Default="0051300D" w:rsidP="00D407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t>Introduction</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Pr="00D21E9D" w:rsidRDefault="00D40779" w:rsidP="00C22BD5">
      <w:pPr>
        <w:pStyle w:val="SingleTxt"/>
        <w:numPr>
          <w:ilvl w:val="0"/>
          <w:numId w:val="9"/>
        </w:numPr>
        <w:tabs>
          <w:tab w:val="clear" w:pos="475"/>
          <w:tab w:val="num" w:pos="1742"/>
        </w:tabs>
        <w:ind w:left="1267"/>
        <w:rPr>
          <w:lang w:val="fr-FR"/>
        </w:rPr>
      </w:pPr>
      <w:r w:rsidRPr="00D21E9D">
        <w:rPr>
          <w:lang w:val="fr-FR"/>
        </w:rPr>
        <w:t>Le 30 </w:t>
      </w:r>
      <w:r w:rsidR="0051300D" w:rsidRPr="00D21E9D">
        <w:rPr>
          <w:lang w:val="fr-FR"/>
        </w:rPr>
        <w:t>septembre 2015, les amendements à l’annexe 1 de l’ATP sont entrés en</w:t>
      </w:r>
      <w:r w:rsidR="00C22BD5" w:rsidRPr="00D21E9D">
        <w:rPr>
          <w:lang w:val="fr-FR"/>
        </w:rPr>
        <w:t xml:space="preserve"> </w:t>
      </w:r>
      <w:r w:rsidR="0051300D" w:rsidRPr="00D21E9D">
        <w:rPr>
          <w:lang w:val="fr-FR"/>
        </w:rPr>
        <w:t>vigueur. Voir le document C.N.253.2015.TREATIES-XI.B.22 http://www.unece.org/</w:t>
      </w:r>
      <w:r w:rsidR="00D21E9D">
        <w:rPr>
          <w:lang w:val="fr-FR"/>
        </w:rPr>
        <w:br/>
      </w:r>
      <w:r w:rsidR="0051300D" w:rsidRPr="000936A8">
        <w:rPr>
          <w:lang w:val="fr-FR"/>
        </w:rPr>
        <w:t>fileadmin/DAM/trans/doc/2015/wp11/CN.253.2015.Reissued.20042015-Eng.pdf. Ces amendements introduisent au paragraphe 6 c) i) de l’appendice 1 de l’</w:t>
      </w:r>
      <w:r w:rsidR="00D21E9D" w:rsidRPr="000936A8">
        <w:rPr>
          <w:lang w:val="fr-FR"/>
        </w:rPr>
        <w:t>annexe </w:t>
      </w:r>
      <w:r w:rsidR="0051300D" w:rsidRPr="000936A8">
        <w:rPr>
          <w:lang w:val="fr-FR"/>
        </w:rPr>
        <w:t>1 certaines dispositions relatives aux conditions minimales à remplir pour qu’un engin</w:t>
      </w:r>
      <w:r w:rsidR="0051300D" w:rsidRPr="00D21E9D">
        <w:rPr>
          <w:lang w:val="fr-FR"/>
        </w:rPr>
        <w:t xml:space="preserve"> produit en série soit considéré comme étant du même type que l’engin de référence soumis à l’essai. Le but de ces modifications est d’accroître les possibilités </w:t>
      </w:r>
      <w:r w:rsidRPr="00D21E9D">
        <w:rPr>
          <w:lang w:val="fr-FR"/>
        </w:rPr>
        <w:t>de</w:t>
      </w:r>
      <w:r w:rsidR="0051300D" w:rsidRPr="00D21E9D">
        <w:rPr>
          <w:lang w:val="fr-FR"/>
        </w:rPr>
        <w:t xml:space="preserve"> modifier des caisses isothermes sans qu’il soit nécessaire de procéder à de nouveaux essais portant sur le coefficient K.</w:t>
      </w:r>
    </w:p>
    <w:p w:rsidR="0051300D" w:rsidRDefault="0051300D" w:rsidP="00C22BD5">
      <w:pPr>
        <w:pStyle w:val="SingleTxt"/>
        <w:numPr>
          <w:ilvl w:val="0"/>
          <w:numId w:val="9"/>
        </w:numPr>
        <w:tabs>
          <w:tab w:val="clear" w:pos="475"/>
          <w:tab w:val="num" w:pos="1742"/>
        </w:tabs>
        <w:ind w:left="1267"/>
        <w:rPr>
          <w:lang w:val="fr-FR"/>
        </w:rPr>
      </w:pPr>
      <w:r w:rsidRPr="0051300D">
        <w:rPr>
          <w:lang w:val="fr-FR"/>
        </w:rPr>
        <w:t>Les conséquences de ces amendements ont fait l’objet de discussions lors de la réunion de la Sous-Commission du transport réfrigéré de l’IIF en avril 2015 et c’est sur la base de ces discussion</w:t>
      </w:r>
      <w:r w:rsidR="00CB7524">
        <w:rPr>
          <w:lang w:val="fr-FR"/>
        </w:rPr>
        <w:t>s</w:t>
      </w:r>
      <w:r w:rsidRPr="0051300D">
        <w:rPr>
          <w:lang w:val="fr-FR"/>
        </w:rPr>
        <w:t xml:space="preserve"> que la sous-commission</w:t>
      </w:r>
      <w:r w:rsidR="0039630A">
        <w:rPr>
          <w:lang w:val="fr-FR"/>
        </w:rPr>
        <w:t xml:space="preserve"> a</w:t>
      </w:r>
      <w:r w:rsidRPr="0051300D">
        <w:rPr>
          <w:lang w:val="fr-FR"/>
        </w:rPr>
        <w:t xml:space="preserve"> décidé de recommander à la Finlande de faire une proposition au WP.11 concernant le Manuel ATP.</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Default="0051300D" w:rsidP="00D407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t xml:space="preserve">Situation actuelle (après l’entrée en vigueur </w:t>
      </w:r>
      <w:r w:rsidR="00D40779">
        <w:rPr>
          <w:lang w:val="fr-FR"/>
        </w:rPr>
        <w:br/>
      </w:r>
      <w:r w:rsidRPr="0051300D">
        <w:rPr>
          <w:lang w:val="fr-FR"/>
        </w:rPr>
        <w:t>du nouveau texte le 30 septembre 2015)</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Pr="0051300D" w:rsidRDefault="0051300D" w:rsidP="008217EC">
      <w:pPr>
        <w:pStyle w:val="SingleTxt"/>
        <w:keepNext/>
        <w:numPr>
          <w:ilvl w:val="0"/>
          <w:numId w:val="9"/>
        </w:numPr>
        <w:tabs>
          <w:tab w:val="clear" w:pos="475"/>
          <w:tab w:val="num" w:pos="1742"/>
        </w:tabs>
        <w:ind w:left="1267"/>
        <w:rPr>
          <w:lang w:val="fr-FR"/>
        </w:rPr>
      </w:pPr>
      <w:r w:rsidRPr="0051300D">
        <w:rPr>
          <w:lang w:val="fr-FR"/>
        </w:rPr>
        <w:t>Le paragraphe 6 c) i) de l’appendice 1 de l’annexe 1 est modifié par l’adjonction du texte suivant assorti d’une note de bas de page</w:t>
      </w:r>
      <w:r w:rsidR="00D40779">
        <w:rPr>
          <w:lang w:val="fr-FR"/>
        </w:rPr>
        <w:t> </w:t>
      </w:r>
      <w:r w:rsidRPr="0051300D">
        <w:rPr>
          <w:lang w:val="fr-FR"/>
        </w:rPr>
        <w:t>:</w:t>
      </w:r>
    </w:p>
    <w:p w:rsidR="0051300D" w:rsidRPr="0051300D" w:rsidRDefault="00D40779" w:rsidP="008217EC">
      <w:pPr>
        <w:pStyle w:val="Bullet1"/>
        <w:keepNext/>
        <w:rPr>
          <w:lang w:val="fr-FR"/>
        </w:rPr>
      </w:pPr>
      <w:r>
        <w:rPr>
          <w:lang w:val="fr-FR"/>
        </w:rPr>
        <w:t>« D</w:t>
      </w:r>
      <w:r w:rsidR="0051300D" w:rsidRPr="0051300D">
        <w:rPr>
          <w:lang w:val="fr-FR"/>
        </w:rPr>
        <w:t>es modifications mineures et limitées d’équipements intérieurs ou extérieurs ajoutés ou échangés pourraient être accordées</w:t>
      </w:r>
      <w:r>
        <w:rPr>
          <w:lang w:val="fr-FR"/>
        </w:rPr>
        <w:t> </w:t>
      </w:r>
      <w:r w:rsidR="0051300D" w:rsidRPr="0051300D">
        <w:rPr>
          <w:lang w:val="fr-FR"/>
        </w:rPr>
        <w:t>:</w:t>
      </w:r>
      <w:r w:rsidR="00DB4E69" w:rsidRPr="00DB4E69">
        <w:rPr>
          <w:szCs w:val="20"/>
          <w:lang w:val="fr-FR"/>
        </w:rPr>
        <w:t>*</w:t>
      </w:r>
    </w:p>
    <w:p w:rsidR="0051300D" w:rsidRPr="0051300D" w:rsidRDefault="00D40779" w:rsidP="00D40779">
      <w:pPr>
        <w:pStyle w:val="Bullet2"/>
        <w:rPr>
          <w:lang w:val="fr-FR"/>
        </w:rPr>
      </w:pPr>
      <w:r>
        <w:rPr>
          <w:lang w:val="fr-FR"/>
        </w:rPr>
        <w:t>S</w:t>
      </w:r>
      <w:r w:rsidR="0051300D" w:rsidRPr="0051300D">
        <w:rPr>
          <w:lang w:val="fr-FR"/>
        </w:rPr>
        <w:t>i le volume équivalent d’isolant cumulé de toutes ces modifications est inférieur à 1/100</w:t>
      </w:r>
      <w:r w:rsidR="0051300D" w:rsidRPr="0051300D">
        <w:rPr>
          <w:vertAlign w:val="superscript"/>
          <w:lang w:val="fr-FR"/>
        </w:rPr>
        <w:t>e</w:t>
      </w:r>
      <w:r w:rsidR="0051300D" w:rsidRPr="0051300D">
        <w:rPr>
          <w:lang w:val="fr-FR"/>
        </w:rPr>
        <w:t xml:space="preserve"> du volume total d’isolant de la cellule isotherme;</w:t>
      </w:r>
    </w:p>
    <w:p w:rsidR="0051300D" w:rsidRPr="0051300D" w:rsidRDefault="00D40779" w:rsidP="00D40779">
      <w:pPr>
        <w:pStyle w:val="Bullet2"/>
        <w:rPr>
          <w:lang w:val="fr-FR"/>
        </w:rPr>
      </w:pPr>
      <w:r>
        <w:rPr>
          <w:lang w:val="fr-FR"/>
        </w:rPr>
        <w:lastRenderedPageBreak/>
        <w:t>S</w:t>
      </w:r>
      <w:r w:rsidR="0051300D" w:rsidRPr="0051300D">
        <w:rPr>
          <w:lang w:val="fr-FR"/>
        </w:rPr>
        <w:t>i le coefficient K de l’engin de référence soumis à l’essai, corrigé par un facteur obtenu à partir des déperditions thermiques cumulées, est inférieur ou égal à la limite de K pour cette catégorie d’engin; et</w:t>
      </w:r>
    </w:p>
    <w:p w:rsidR="0051300D" w:rsidRPr="000666F4" w:rsidRDefault="00D40779" w:rsidP="000666F4">
      <w:pPr>
        <w:pStyle w:val="Bullet2"/>
        <w:rPr>
          <w:lang w:val="fr-FR"/>
        </w:rPr>
      </w:pPr>
      <w:r>
        <w:rPr>
          <w:lang w:val="fr-FR"/>
        </w:rPr>
        <w:t>S</w:t>
      </w:r>
      <w:r w:rsidR="0051300D" w:rsidRPr="0051300D">
        <w:rPr>
          <w:lang w:val="fr-FR"/>
        </w:rPr>
        <w:t xml:space="preserve">i </w:t>
      </w:r>
      <w:r w:rsidR="000666F4">
        <w:rPr>
          <w:lang w:val="fr-FR"/>
        </w:rPr>
        <w:t xml:space="preserve">on effectue </w:t>
      </w:r>
      <w:r w:rsidR="0051300D" w:rsidRPr="000666F4">
        <w:rPr>
          <w:lang w:val="fr-FR"/>
        </w:rPr>
        <w:t>de telles modifications d’équipements intérieurs en utilisant la même technique, particulièrement lorsqu’il s’agit d’équipements collés.</w:t>
      </w:r>
    </w:p>
    <w:p w:rsidR="00DB4E69" w:rsidRPr="00DB4E69" w:rsidRDefault="0051300D" w:rsidP="00DB4E69">
      <w:pPr>
        <w:pStyle w:val="Bullet1"/>
        <w:rPr>
          <w:lang w:val="fr-FR"/>
        </w:rPr>
      </w:pPr>
      <w:r w:rsidRPr="0051300D">
        <w:rPr>
          <w:lang w:val="fr-FR"/>
        </w:rPr>
        <w:t>Toutes les modifications doivent être effectuées ou approuvée par le fabricant de l’engin isotherme.</w:t>
      </w:r>
    </w:p>
    <w:p w:rsidR="00DB4E69" w:rsidRPr="00DB4E69" w:rsidRDefault="00DB4E69" w:rsidP="00DB4E69">
      <w:pPr>
        <w:pStyle w:val="Footer"/>
        <w:spacing w:after="80"/>
        <w:ind w:left="792"/>
        <w:rPr>
          <w:b w:val="0"/>
          <w:sz w:val="16"/>
        </w:rPr>
      </w:pPr>
      <w:r w:rsidRPr="00DB4E69">
        <w:rPr>
          <w:b w:val="0"/>
          <w:sz w:val="16"/>
        </w:rPr>
        <w:t>__________________</w:t>
      </w:r>
    </w:p>
    <w:p w:rsidR="00DB4E69" w:rsidRDefault="00DB4E69" w:rsidP="00DB4E69">
      <w:pPr>
        <w:pStyle w:val="FootnoteText"/>
        <w:tabs>
          <w:tab w:val="right" w:pos="1195"/>
          <w:tab w:val="left" w:pos="1267"/>
          <w:tab w:val="left" w:pos="1742"/>
          <w:tab w:val="left" w:pos="2218"/>
          <w:tab w:val="left" w:pos="2693"/>
        </w:tabs>
        <w:ind w:left="1267" w:right="1260" w:hanging="432"/>
        <w:rPr>
          <w:sz w:val="20"/>
          <w:szCs w:val="22"/>
        </w:rPr>
      </w:pPr>
      <w:r w:rsidRPr="00DB4E69">
        <w:rPr>
          <w:vertAlign w:val="superscript"/>
          <w:lang w:val="fr-FR"/>
        </w:rPr>
        <w:tab/>
      </w:r>
      <w:r w:rsidRPr="008217EC">
        <w:rPr>
          <w:sz w:val="20"/>
          <w:lang w:val="fr-FR"/>
        </w:rPr>
        <w:t>*</w:t>
      </w:r>
      <w:r w:rsidRPr="00DB4E69">
        <w:rPr>
          <w:szCs w:val="17"/>
          <w:vertAlign w:val="superscript"/>
          <w:lang w:val="fr-FR"/>
        </w:rPr>
        <w:tab/>
      </w:r>
      <w:r>
        <w:rPr>
          <w:szCs w:val="17"/>
          <w:lang w:val="fr-FR"/>
        </w:rPr>
        <w:t>Les présentes dispositions relatives à des modifications mineures et limitées s’appliquent aux engins fabriqués après la date de leur entrée ne vigueur (30 septembre 2015).</w:t>
      </w:r>
      <w:r w:rsidRPr="00DB4E69">
        <w:rPr>
          <w:sz w:val="20"/>
          <w:szCs w:val="22"/>
        </w:rPr>
        <w:t> ».</w:t>
      </w:r>
    </w:p>
    <w:p w:rsidR="00DB4E69" w:rsidRPr="00DB4E69" w:rsidRDefault="00DB4E69" w:rsidP="00DB4E69">
      <w:pPr>
        <w:pStyle w:val="SingleTxt"/>
        <w:spacing w:after="0" w:line="120" w:lineRule="exact"/>
        <w:rPr>
          <w:i/>
          <w:sz w:val="10"/>
          <w:lang w:val="fr-FR"/>
        </w:rPr>
      </w:pPr>
    </w:p>
    <w:p w:rsidR="00DB4E69" w:rsidRPr="00DB4E69" w:rsidRDefault="00DB4E69" w:rsidP="00DB4E69">
      <w:pPr>
        <w:pStyle w:val="SingleTxt"/>
        <w:spacing w:after="0" w:line="120" w:lineRule="exact"/>
        <w:rPr>
          <w:i/>
          <w:sz w:val="10"/>
          <w:lang w:val="fr-FR"/>
        </w:rPr>
      </w:pPr>
    </w:p>
    <w:p w:rsidR="0051300D" w:rsidRDefault="0051300D" w:rsidP="00C22BD5">
      <w:pPr>
        <w:pStyle w:val="SingleTxt"/>
        <w:numPr>
          <w:ilvl w:val="0"/>
          <w:numId w:val="9"/>
        </w:numPr>
        <w:tabs>
          <w:tab w:val="clear" w:pos="475"/>
          <w:tab w:val="num" w:pos="1742"/>
        </w:tabs>
        <w:ind w:left="1267"/>
        <w:rPr>
          <w:lang w:val="fr-FR"/>
        </w:rPr>
      </w:pPr>
      <w:r w:rsidRPr="0051300D">
        <w:rPr>
          <w:lang w:val="fr-FR"/>
        </w:rPr>
        <w:t xml:space="preserve">Dans le texte, ni </w:t>
      </w:r>
      <w:r w:rsidR="00D40779">
        <w:rPr>
          <w:lang w:val="fr-FR"/>
        </w:rPr>
        <w:t>« </w:t>
      </w:r>
      <w:r w:rsidRPr="0051300D">
        <w:rPr>
          <w:lang w:val="fr-FR"/>
        </w:rPr>
        <w:t>modifications mineures et limitées</w:t>
      </w:r>
      <w:r w:rsidR="00D40779">
        <w:rPr>
          <w:lang w:val="fr-FR"/>
        </w:rPr>
        <w:t> »</w:t>
      </w:r>
      <w:r w:rsidRPr="0051300D">
        <w:rPr>
          <w:lang w:val="fr-FR"/>
        </w:rPr>
        <w:t xml:space="preserve"> ni </w:t>
      </w:r>
      <w:r w:rsidR="00D40779">
        <w:rPr>
          <w:lang w:val="fr-FR"/>
        </w:rPr>
        <w:t>« </w:t>
      </w:r>
      <w:r w:rsidRPr="0051300D">
        <w:rPr>
          <w:lang w:val="fr-FR"/>
        </w:rPr>
        <w:t>volume total d’isolant</w:t>
      </w:r>
      <w:r w:rsidR="00D40779">
        <w:rPr>
          <w:lang w:val="fr-FR"/>
        </w:rPr>
        <w:t> »</w:t>
      </w:r>
      <w:r w:rsidRPr="0051300D">
        <w:rPr>
          <w:lang w:val="fr-FR"/>
        </w:rPr>
        <w:t xml:space="preserve"> ne sont définis. Cela peut donner lieu à différentes interprétations dans les États parties à l’ATP et instaurer des inégalités entre les fabricants et les opérateurs, surtout lorsque les engins de transport sont exportés d’un pays à un autre.</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Default="0051300D" w:rsidP="00D407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t>Impact technique de la proposition</w:t>
      </w:r>
    </w:p>
    <w:p w:rsidR="00D40779" w:rsidRPr="00D40779" w:rsidRDefault="00D40779" w:rsidP="00D40779">
      <w:pPr>
        <w:pStyle w:val="SingleTxt"/>
        <w:spacing w:after="0" w:line="120" w:lineRule="exact"/>
        <w:rPr>
          <w:sz w:val="10"/>
          <w:lang w:val="fr-FR"/>
        </w:rPr>
      </w:pPr>
    </w:p>
    <w:p w:rsidR="00D40779" w:rsidRPr="00D40779" w:rsidRDefault="00D40779" w:rsidP="00D40779">
      <w:pPr>
        <w:pStyle w:val="SingleTxt"/>
        <w:spacing w:after="0" w:line="120" w:lineRule="exact"/>
        <w:rPr>
          <w:sz w:val="10"/>
          <w:lang w:val="fr-FR"/>
        </w:rPr>
      </w:pPr>
    </w:p>
    <w:p w:rsidR="0051300D" w:rsidRPr="0051300D" w:rsidRDefault="0051300D" w:rsidP="00C22BD5">
      <w:pPr>
        <w:pStyle w:val="SingleTxt"/>
        <w:numPr>
          <w:ilvl w:val="0"/>
          <w:numId w:val="9"/>
        </w:numPr>
        <w:tabs>
          <w:tab w:val="clear" w:pos="475"/>
          <w:tab w:val="num" w:pos="1742"/>
        </w:tabs>
        <w:ind w:left="1267"/>
        <w:rPr>
          <w:lang w:val="fr-FR"/>
        </w:rPr>
      </w:pPr>
      <w:r w:rsidRPr="0051300D">
        <w:rPr>
          <w:lang w:val="fr-FR"/>
        </w:rPr>
        <w:t>La première question qui se pose est de savoir où le 1/100</w:t>
      </w:r>
      <w:r w:rsidRPr="0051300D">
        <w:rPr>
          <w:vertAlign w:val="superscript"/>
          <w:lang w:val="fr-FR"/>
        </w:rPr>
        <w:t>e</w:t>
      </w:r>
      <w:r w:rsidRPr="0051300D">
        <w:rPr>
          <w:lang w:val="fr-FR"/>
        </w:rPr>
        <w:t xml:space="preserve"> ou 1</w:t>
      </w:r>
      <w:r w:rsidR="005301BA">
        <w:rPr>
          <w:lang w:val="fr-FR"/>
        </w:rPr>
        <w:t> </w:t>
      </w:r>
      <w:r w:rsidRPr="0051300D">
        <w:rPr>
          <w:lang w:val="fr-FR"/>
        </w:rPr>
        <w:t>% du volume total doit être calculé. La réponse évidente est qu’il convient d’utiliser la caisse soumise à l’essai comme base de calcul. Ainsi, par exemple, si le volume d’isolant est de 10</w:t>
      </w:r>
      <w:r w:rsidR="008217EC">
        <w:rPr>
          <w:lang w:val="fr-FR"/>
        </w:rPr>
        <w:t> </w:t>
      </w:r>
      <w:r w:rsidRPr="0051300D">
        <w:rPr>
          <w:lang w:val="fr-FR"/>
        </w:rPr>
        <w:t>m</w:t>
      </w:r>
      <w:r w:rsidRPr="0051300D">
        <w:rPr>
          <w:vertAlign w:val="superscript"/>
          <w:lang w:val="fr-FR"/>
        </w:rPr>
        <w:t>3</w:t>
      </w:r>
      <w:r w:rsidRPr="0051300D">
        <w:rPr>
          <w:lang w:val="fr-FR"/>
        </w:rPr>
        <w:t>, 1</w:t>
      </w:r>
      <w:r w:rsidR="005301BA">
        <w:rPr>
          <w:lang w:val="fr-FR"/>
        </w:rPr>
        <w:t> </w:t>
      </w:r>
      <w:r w:rsidRPr="0051300D">
        <w:rPr>
          <w:lang w:val="fr-FR"/>
        </w:rPr>
        <w:t>% correspond à 0,1</w:t>
      </w:r>
      <w:r w:rsidR="008217EC">
        <w:rPr>
          <w:lang w:val="fr-FR"/>
        </w:rPr>
        <w:t> </w:t>
      </w:r>
      <w:r w:rsidRPr="0051300D">
        <w:rPr>
          <w:lang w:val="fr-FR"/>
        </w:rPr>
        <w:t>m</w:t>
      </w:r>
      <w:r w:rsidRPr="0051300D">
        <w:rPr>
          <w:vertAlign w:val="superscript"/>
          <w:lang w:val="fr-FR"/>
        </w:rPr>
        <w:t>3</w:t>
      </w:r>
      <w:r w:rsidRPr="0051300D">
        <w:rPr>
          <w:lang w:val="fr-FR"/>
        </w:rPr>
        <w:t xml:space="preserve"> ou à 100</w:t>
      </w:r>
      <w:r w:rsidR="008217EC">
        <w:rPr>
          <w:lang w:val="fr-FR"/>
        </w:rPr>
        <w:t> </w:t>
      </w:r>
      <w:r w:rsidRPr="0051300D">
        <w:rPr>
          <w:lang w:val="fr-FR"/>
        </w:rPr>
        <w:t xml:space="preserve">litres. Ce </w:t>
      </w:r>
      <w:r w:rsidR="005301BA">
        <w:rPr>
          <w:lang w:val="fr-FR"/>
        </w:rPr>
        <w:t>« </w:t>
      </w:r>
      <w:r w:rsidRPr="0051300D">
        <w:rPr>
          <w:lang w:val="fr-FR"/>
        </w:rPr>
        <w:t>volume total d’isolant</w:t>
      </w:r>
      <w:r w:rsidR="005301BA">
        <w:rPr>
          <w:lang w:val="fr-FR"/>
        </w:rPr>
        <w:t> »</w:t>
      </w:r>
      <w:r w:rsidRPr="0051300D">
        <w:rPr>
          <w:lang w:val="fr-FR"/>
        </w:rPr>
        <w:t xml:space="preserve"> doit être déterminé par la</w:t>
      </w:r>
      <w:r w:rsidRPr="0051300D">
        <w:rPr>
          <w:lang w:val="fr-CH"/>
        </w:rPr>
        <w:t xml:space="preserve"> </w:t>
      </w:r>
      <w:r w:rsidRPr="0051300D">
        <w:rPr>
          <w:lang w:val="fr-FR"/>
        </w:rPr>
        <w:t xml:space="preserve">station d’essai et consigné dans le procès-verbal d’essai. Il conviendrait peut être d’introduire le terme </w:t>
      </w:r>
      <w:r w:rsidR="005301BA">
        <w:rPr>
          <w:lang w:val="fr-FR"/>
        </w:rPr>
        <w:t>« </w:t>
      </w:r>
      <w:r w:rsidRPr="0051300D">
        <w:rPr>
          <w:lang w:val="fr-FR"/>
        </w:rPr>
        <w:t>volume total d’isolant de référence.</w:t>
      </w:r>
      <w:r w:rsidR="005301BA">
        <w:rPr>
          <w:lang w:val="fr-FR"/>
        </w:rPr>
        <w:t> »</w:t>
      </w:r>
      <w:r w:rsidRPr="0051300D">
        <w:rPr>
          <w:lang w:val="fr-FR"/>
        </w:rPr>
        <w:t>.</w:t>
      </w:r>
    </w:p>
    <w:p w:rsidR="0051300D" w:rsidRPr="0051300D" w:rsidRDefault="0051300D" w:rsidP="00C22BD5">
      <w:pPr>
        <w:pStyle w:val="SingleTxt"/>
        <w:numPr>
          <w:ilvl w:val="0"/>
          <w:numId w:val="9"/>
        </w:numPr>
        <w:tabs>
          <w:tab w:val="clear" w:pos="475"/>
          <w:tab w:val="num" w:pos="1742"/>
        </w:tabs>
        <w:ind w:left="1267"/>
        <w:rPr>
          <w:lang w:val="fr-FR"/>
        </w:rPr>
      </w:pPr>
      <w:r w:rsidRPr="0051300D">
        <w:rPr>
          <w:lang w:val="fr-FR"/>
        </w:rPr>
        <w:t>Comment tenir compte de possibles variations de taille</w:t>
      </w:r>
      <w:r w:rsidR="005301BA">
        <w:rPr>
          <w:lang w:val="fr-FR"/>
        </w:rPr>
        <w:t> </w:t>
      </w:r>
      <w:r w:rsidRPr="0051300D">
        <w:rPr>
          <w:lang w:val="fr-FR"/>
        </w:rPr>
        <w:t>: la surface intérieure de caisses produites en série pouvant être de 20</w:t>
      </w:r>
      <w:r w:rsidR="005301BA">
        <w:rPr>
          <w:lang w:val="fr-FR"/>
        </w:rPr>
        <w:t> </w:t>
      </w:r>
      <w:r w:rsidRPr="0051300D">
        <w:rPr>
          <w:lang w:val="fr-FR"/>
        </w:rPr>
        <w:t>% supérieure ou inférieure à celle de la caisse soumise à l’essai. Là encore, la réponse évidente consiste à réduire ou à augmenter la quantité maximale d’isolant qui est retirée, en l’occurrence dans une fourchette allant de 80 à 120 litres.</w:t>
      </w:r>
    </w:p>
    <w:p w:rsidR="00B62754" w:rsidRDefault="0051300D" w:rsidP="00C22BD5">
      <w:pPr>
        <w:pStyle w:val="SingleTxt"/>
        <w:numPr>
          <w:ilvl w:val="0"/>
          <w:numId w:val="9"/>
        </w:numPr>
        <w:tabs>
          <w:tab w:val="clear" w:pos="475"/>
          <w:tab w:val="num" w:pos="1742"/>
        </w:tabs>
        <w:ind w:left="1267"/>
        <w:rPr>
          <w:lang w:val="fr-FR"/>
        </w:rPr>
      </w:pPr>
      <w:r w:rsidRPr="0051300D">
        <w:rPr>
          <w:lang w:val="fr-FR"/>
        </w:rPr>
        <w:t xml:space="preserve">Techniquement, </w:t>
      </w:r>
      <w:r w:rsidR="005301BA">
        <w:rPr>
          <w:lang w:val="fr-FR"/>
        </w:rPr>
        <w:t>le</w:t>
      </w:r>
      <w:r w:rsidRPr="0051300D">
        <w:rPr>
          <w:lang w:val="fr-FR"/>
        </w:rPr>
        <w:t xml:space="preserve"> </w:t>
      </w:r>
      <w:r w:rsidR="005301BA">
        <w:rPr>
          <w:lang w:val="fr-FR"/>
        </w:rPr>
        <w:t>« </w:t>
      </w:r>
      <w:r w:rsidRPr="0051300D">
        <w:rPr>
          <w:lang w:val="fr-FR"/>
        </w:rPr>
        <w:t>volume total d’isolant (de référence)</w:t>
      </w:r>
      <w:r w:rsidR="005301BA">
        <w:rPr>
          <w:lang w:val="fr-FR"/>
        </w:rPr>
        <w:t> »</w:t>
      </w:r>
      <w:r w:rsidRPr="0051300D">
        <w:rPr>
          <w:lang w:val="fr-FR"/>
        </w:rPr>
        <w:t xml:space="preserve"> pourrait être calculé en soustrayant le volume intérieur de la caisse isotherme de son volume extérieur. L’application de cette méthode revient toutefois à compter comme isolants tous les matériaux de surface, intérieurs et extérieurs, ce que ne dit pas expressément le paragraphe</w:t>
      </w:r>
      <w:r w:rsidR="008217EC">
        <w:rPr>
          <w:lang w:val="fr-FR"/>
        </w:rPr>
        <w:t> </w:t>
      </w:r>
      <w:r w:rsidRPr="0051300D">
        <w:rPr>
          <w:lang w:val="fr-FR"/>
        </w:rPr>
        <w:t>6</w:t>
      </w:r>
      <w:r w:rsidR="008217EC">
        <w:rPr>
          <w:lang w:val="fr-FR"/>
        </w:rPr>
        <w:t> </w:t>
      </w:r>
      <w:r w:rsidRPr="0051300D">
        <w:rPr>
          <w:lang w:val="fr-FR"/>
        </w:rPr>
        <w:t>c)</w:t>
      </w:r>
      <w:r w:rsidR="008217EC">
        <w:rPr>
          <w:lang w:val="fr-FR"/>
        </w:rPr>
        <w:t> </w:t>
      </w:r>
      <w:r w:rsidRPr="0051300D">
        <w:rPr>
          <w:lang w:val="fr-FR"/>
        </w:rPr>
        <w:t>i) de l’appendice</w:t>
      </w:r>
      <w:r w:rsidR="008217EC">
        <w:rPr>
          <w:lang w:val="fr-FR"/>
        </w:rPr>
        <w:t> </w:t>
      </w:r>
      <w:r w:rsidRPr="0051300D">
        <w:rPr>
          <w:lang w:val="fr-FR"/>
        </w:rPr>
        <w:t>1 de l’annexe</w:t>
      </w:r>
      <w:r w:rsidR="008217EC">
        <w:rPr>
          <w:lang w:val="fr-FR"/>
        </w:rPr>
        <w:t> </w:t>
      </w:r>
      <w:r w:rsidRPr="0051300D">
        <w:rPr>
          <w:lang w:val="fr-FR"/>
        </w:rPr>
        <w:t>1 de l’ATP. Un résultat plus précis pourrait être obtenu si les épaisseurs des matériaux de surface intérieure sont ajoutées aux dimensions intérieures de la caisse et si les épaisseurs des matériaux de surface extérieure sont soustrait</w:t>
      </w:r>
      <w:r w:rsidR="00CB7524">
        <w:rPr>
          <w:lang w:val="fr-FR"/>
        </w:rPr>
        <w:t>e</w:t>
      </w:r>
      <w:r w:rsidRPr="0051300D">
        <w:rPr>
          <w:lang w:val="fr-FR"/>
        </w:rPr>
        <w:t>s des dimensions extérieures. Ces méthodes sont comparées ci-dessous. La différence entre elles est de plus de 10</w:t>
      </w:r>
      <w:r w:rsidR="005301BA">
        <w:rPr>
          <w:lang w:val="fr-FR"/>
        </w:rPr>
        <w:t> </w:t>
      </w:r>
      <w:r w:rsidRPr="0051300D">
        <w:rPr>
          <w:lang w:val="fr-FR"/>
        </w:rPr>
        <w:t>%.</w:t>
      </w:r>
    </w:p>
    <w:p w:rsidR="0051300D" w:rsidRPr="00293BCB" w:rsidRDefault="0051300D" w:rsidP="00293BCB">
      <w:pPr>
        <w:pStyle w:val="SingleTxt"/>
        <w:spacing w:after="0" w:line="120" w:lineRule="exact"/>
        <w:rPr>
          <w:sz w:val="10"/>
          <w:lang w:val="fr-FR"/>
        </w:rPr>
      </w:pPr>
    </w:p>
    <w:p w:rsidR="00293BCB" w:rsidRDefault="00293BCB" w:rsidP="00293BCB">
      <w:pPr>
        <w:pStyle w:val="SingleTxt"/>
        <w:spacing w:after="0" w:line="120" w:lineRule="exact"/>
        <w:rPr>
          <w:sz w:val="10"/>
          <w:lang w:val="fr-FR"/>
        </w:rPr>
      </w:pPr>
    </w:p>
    <w:p w:rsidR="00E85F6E" w:rsidRDefault="00E85F6E" w:rsidP="00E85F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Détermination du volume total d’isolant</w:t>
      </w:r>
    </w:p>
    <w:p w:rsidR="00E85F6E" w:rsidRPr="00E85F6E" w:rsidRDefault="00E85F6E" w:rsidP="00E85F6E">
      <w:pPr>
        <w:pStyle w:val="SingleTxt"/>
        <w:spacing w:after="0" w:line="120" w:lineRule="exact"/>
        <w:rPr>
          <w:sz w:val="10"/>
          <w:lang w:val="fr-FR"/>
        </w:rPr>
      </w:pPr>
    </w:p>
    <w:p w:rsidR="00E85F6E" w:rsidRPr="00E85F6E" w:rsidRDefault="00E85F6E" w:rsidP="00E85F6E">
      <w:pPr>
        <w:pStyle w:val="SingleTxt"/>
        <w:spacing w:after="0" w:line="120" w:lineRule="exact"/>
        <w:rPr>
          <w:sz w:val="10"/>
          <w:lang w:val="fr-FR"/>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972"/>
        <w:gridCol w:w="650"/>
        <w:gridCol w:w="1326"/>
        <w:gridCol w:w="590"/>
        <w:gridCol w:w="964"/>
        <w:gridCol w:w="8"/>
        <w:gridCol w:w="553"/>
        <w:gridCol w:w="1206"/>
        <w:gridCol w:w="513"/>
        <w:gridCol w:w="754"/>
        <w:gridCol w:w="431"/>
      </w:tblGrid>
      <w:tr w:rsidR="000E4B97" w:rsidRPr="007A68E6" w:rsidTr="006679D2">
        <w:trPr>
          <w:tblHeader/>
        </w:trPr>
        <w:tc>
          <w:tcPr>
            <w:tcW w:w="2088"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p>
        </w:tc>
        <w:tc>
          <w:tcPr>
            <w:tcW w:w="972"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Intérieur</w:t>
            </w:r>
          </w:p>
        </w:tc>
        <w:tc>
          <w:tcPr>
            <w:tcW w:w="650"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mm</w:t>
            </w:r>
          </w:p>
        </w:tc>
        <w:tc>
          <w:tcPr>
            <w:tcW w:w="1326"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p>
        </w:tc>
        <w:tc>
          <w:tcPr>
            <w:tcW w:w="590"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mm</w:t>
            </w:r>
          </w:p>
        </w:tc>
        <w:tc>
          <w:tcPr>
            <w:tcW w:w="964"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Isolant</w:t>
            </w:r>
          </w:p>
        </w:tc>
        <w:tc>
          <w:tcPr>
            <w:tcW w:w="561" w:type="dxa"/>
            <w:gridSpan w:val="2"/>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mm</w:t>
            </w:r>
          </w:p>
        </w:tc>
        <w:tc>
          <w:tcPr>
            <w:tcW w:w="1206"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p>
        </w:tc>
        <w:tc>
          <w:tcPr>
            <w:tcW w:w="513"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mm</w:t>
            </w:r>
          </w:p>
        </w:tc>
        <w:tc>
          <w:tcPr>
            <w:tcW w:w="754"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Extérieur</w:t>
            </w:r>
          </w:p>
        </w:tc>
        <w:tc>
          <w:tcPr>
            <w:tcW w:w="431" w:type="dxa"/>
            <w:shd w:val="clear" w:color="auto" w:fill="auto"/>
            <w:vAlign w:val="bottom"/>
          </w:tcPr>
          <w:p w:rsidR="00E85F6E" w:rsidRPr="007A68E6" w:rsidRDefault="00E85F6E" w:rsidP="009A4443">
            <w:pPr>
              <w:suppressAutoHyphens/>
              <w:spacing w:before="80" w:after="80" w:line="160" w:lineRule="exact"/>
              <w:ind w:left="29" w:right="29"/>
              <w:rPr>
                <w:i/>
                <w:sz w:val="14"/>
                <w:lang w:val="fr-FR"/>
              </w:rPr>
            </w:pPr>
            <w:r>
              <w:rPr>
                <w:i/>
                <w:sz w:val="14"/>
                <w:lang w:val="fr-FR"/>
              </w:rPr>
              <w:t>mm</w:t>
            </w: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Haut</w:t>
            </w:r>
          </w:p>
        </w:tc>
        <w:tc>
          <w:tcPr>
            <w:tcW w:w="972" w:type="dxa"/>
            <w:shd w:val="clear" w:color="auto" w:fill="auto"/>
          </w:tcPr>
          <w:p w:rsidR="007A68E6" w:rsidRPr="007A68E6" w:rsidRDefault="005B2A87"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2</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294871"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96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PU</w:t>
            </w:r>
          </w:p>
        </w:tc>
        <w:tc>
          <w:tcPr>
            <w:tcW w:w="561" w:type="dxa"/>
            <w:gridSpan w:val="2"/>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96</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75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431" w:type="dxa"/>
            <w:shd w:val="clear" w:color="auto" w:fill="auto"/>
          </w:tcPr>
          <w:p w:rsidR="007A68E6" w:rsidRPr="007A68E6" w:rsidRDefault="00B15B9C" w:rsidP="00AF4591">
            <w:pPr>
              <w:tabs>
                <w:tab w:val="left" w:pos="288"/>
                <w:tab w:val="left" w:pos="576"/>
                <w:tab w:val="left" w:pos="864"/>
                <w:tab w:val="left" w:pos="1152"/>
              </w:tabs>
              <w:suppressAutoHyphens/>
              <w:spacing w:before="40" w:after="80"/>
              <w:ind w:left="43" w:right="43"/>
              <w:rPr>
                <w:lang w:val="fr-FR"/>
              </w:rPr>
            </w:pPr>
            <w:r>
              <w:rPr>
                <w:lang w:val="fr-FR"/>
              </w:rPr>
              <w:t>2</w:t>
            </w: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Bas</w:t>
            </w:r>
          </w:p>
        </w:tc>
        <w:tc>
          <w:tcPr>
            <w:tcW w:w="972" w:type="dxa"/>
            <w:shd w:val="clear" w:color="auto" w:fill="auto"/>
          </w:tcPr>
          <w:p w:rsidR="007A68E6" w:rsidRPr="007A68E6" w:rsidRDefault="005B2A87" w:rsidP="00AF4591">
            <w:pPr>
              <w:tabs>
                <w:tab w:val="left" w:pos="288"/>
                <w:tab w:val="left" w:pos="576"/>
                <w:tab w:val="left" w:pos="864"/>
                <w:tab w:val="left" w:pos="1152"/>
              </w:tabs>
              <w:suppressAutoHyphens/>
              <w:spacing w:before="40" w:after="80"/>
              <w:ind w:left="43" w:right="43"/>
              <w:rPr>
                <w:lang w:val="fr-FR"/>
              </w:rPr>
            </w:pPr>
            <w:r>
              <w:rPr>
                <w:lang w:val="fr-FR"/>
              </w:rPr>
              <w:t>AI</w:t>
            </w: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4</w:t>
            </w:r>
          </w:p>
        </w:tc>
        <w:tc>
          <w:tcPr>
            <w:tcW w:w="1326" w:type="dxa"/>
            <w:shd w:val="clear" w:color="auto" w:fill="auto"/>
          </w:tcPr>
          <w:p w:rsidR="007A68E6" w:rsidRPr="008A28D6" w:rsidRDefault="00B52DFE" w:rsidP="00C949E4">
            <w:pPr>
              <w:tabs>
                <w:tab w:val="left" w:pos="288"/>
                <w:tab w:val="left" w:pos="576"/>
                <w:tab w:val="left" w:pos="864"/>
                <w:tab w:val="left" w:pos="1152"/>
              </w:tabs>
              <w:suppressAutoHyphens/>
              <w:spacing w:before="40" w:after="80"/>
              <w:ind w:left="14" w:right="14"/>
              <w:rPr>
                <w:spacing w:val="0"/>
                <w:lang w:val="fr-FR"/>
              </w:rPr>
            </w:pPr>
            <w:r w:rsidRPr="008A28D6">
              <w:rPr>
                <w:spacing w:val="0"/>
                <w:lang w:val="fr-FR"/>
              </w:rPr>
              <w:t>Contre-plaqué</w:t>
            </w:r>
          </w:p>
        </w:tc>
        <w:tc>
          <w:tcPr>
            <w:tcW w:w="590" w:type="dxa"/>
            <w:shd w:val="clear" w:color="auto" w:fill="auto"/>
          </w:tcPr>
          <w:p w:rsidR="007A68E6" w:rsidRPr="007A68E6" w:rsidRDefault="00294871" w:rsidP="00AF4591">
            <w:pPr>
              <w:tabs>
                <w:tab w:val="left" w:pos="288"/>
                <w:tab w:val="left" w:pos="576"/>
                <w:tab w:val="left" w:pos="864"/>
                <w:tab w:val="left" w:pos="1152"/>
              </w:tabs>
              <w:suppressAutoHyphens/>
              <w:spacing w:before="40" w:after="80"/>
              <w:ind w:left="43" w:right="43"/>
              <w:rPr>
                <w:lang w:val="fr-FR"/>
              </w:rPr>
            </w:pPr>
            <w:r>
              <w:rPr>
                <w:lang w:val="fr-FR"/>
              </w:rPr>
              <w:t>18</w:t>
            </w:r>
          </w:p>
        </w:tc>
        <w:tc>
          <w:tcPr>
            <w:tcW w:w="96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PU</w:t>
            </w:r>
          </w:p>
        </w:tc>
        <w:tc>
          <w:tcPr>
            <w:tcW w:w="561" w:type="dxa"/>
            <w:gridSpan w:val="2"/>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80</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75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431" w:type="dxa"/>
            <w:shd w:val="clear" w:color="auto" w:fill="auto"/>
          </w:tcPr>
          <w:p w:rsidR="007A68E6" w:rsidRPr="007A68E6" w:rsidRDefault="00B15B9C" w:rsidP="00AF4591">
            <w:pPr>
              <w:tabs>
                <w:tab w:val="left" w:pos="288"/>
                <w:tab w:val="left" w:pos="576"/>
                <w:tab w:val="left" w:pos="864"/>
                <w:tab w:val="left" w:pos="1152"/>
              </w:tabs>
              <w:suppressAutoHyphens/>
              <w:spacing w:before="40" w:after="80"/>
              <w:ind w:left="43" w:right="43"/>
              <w:rPr>
                <w:lang w:val="fr-FR"/>
              </w:rPr>
            </w:pPr>
            <w:r>
              <w:rPr>
                <w:lang w:val="fr-FR"/>
              </w:rPr>
              <w:t>3</w:t>
            </w: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Côté gauche</w:t>
            </w:r>
          </w:p>
        </w:tc>
        <w:tc>
          <w:tcPr>
            <w:tcW w:w="972" w:type="dxa"/>
            <w:shd w:val="clear" w:color="auto" w:fill="auto"/>
          </w:tcPr>
          <w:p w:rsidR="007A68E6" w:rsidRPr="007A68E6" w:rsidRDefault="005B2A87"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3</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294871"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96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PU</w:t>
            </w:r>
          </w:p>
        </w:tc>
        <w:tc>
          <w:tcPr>
            <w:tcW w:w="561" w:type="dxa"/>
            <w:gridSpan w:val="2"/>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44</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75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431" w:type="dxa"/>
            <w:shd w:val="clear" w:color="auto" w:fill="auto"/>
          </w:tcPr>
          <w:p w:rsidR="007A68E6" w:rsidRPr="007A68E6" w:rsidRDefault="00B15B9C" w:rsidP="00AF4591">
            <w:pPr>
              <w:tabs>
                <w:tab w:val="left" w:pos="288"/>
                <w:tab w:val="left" w:pos="576"/>
                <w:tab w:val="left" w:pos="864"/>
                <w:tab w:val="left" w:pos="1152"/>
              </w:tabs>
              <w:suppressAutoHyphens/>
              <w:spacing w:before="40" w:after="80"/>
              <w:ind w:left="43" w:right="43"/>
              <w:rPr>
                <w:lang w:val="fr-FR"/>
              </w:rPr>
            </w:pPr>
            <w:r>
              <w:rPr>
                <w:lang w:val="fr-FR"/>
              </w:rPr>
              <w:t>3</w:t>
            </w: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Côté droit</w:t>
            </w:r>
          </w:p>
        </w:tc>
        <w:tc>
          <w:tcPr>
            <w:tcW w:w="972" w:type="dxa"/>
            <w:shd w:val="clear" w:color="auto" w:fill="auto"/>
          </w:tcPr>
          <w:p w:rsidR="007A68E6" w:rsidRPr="007A68E6" w:rsidRDefault="005B2A87"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3</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294871"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96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PU</w:t>
            </w:r>
          </w:p>
        </w:tc>
        <w:tc>
          <w:tcPr>
            <w:tcW w:w="561" w:type="dxa"/>
            <w:gridSpan w:val="2"/>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44</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75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431" w:type="dxa"/>
            <w:shd w:val="clear" w:color="auto" w:fill="auto"/>
          </w:tcPr>
          <w:p w:rsidR="007A68E6" w:rsidRPr="007A68E6" w:rsidRDefault="00B15B9C" w:rsidP="00AF4591">
            <w:pPr>
              <w:tabs>
                <w:tab w:val="left" w:pos="288"/>
                <w:tab w:val="left" w:pos="576"/>
                <w:tab w:val="left" w:pos="864"/>
                <w:tab w:val="left" w:pos="1152"/>
              </w:tabs>
              <w:suppressAutoHyphens/>
              <w:spacing w:before="40" w:after="80"/>
              <w:ind w:left="43" w:right="43"/>
              <w:rPr>
                <w:lang w:val="fr-FR"/>
              </w:rPr>
            </w:pPr>
            <w:r>
              <w:rPr>
                <w:lang w:val="fr-FR"/>
              </w:rPr>
              <w:t>3</w:t>
            </w: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Avant</w:t>
            </w:r>
          </w:p>
        </w:tc>
        <w:tc>
          <w:tcPr>
            <w:tcW w:w="972" w:type="dxa"/>
            <w:shd w:val="clear" w:color="auto" w:fill="auto"/>
          </w:tcPr>
          <w:p w:rsidR="007A68E6" w:rsidRPr="007A68E6" w:rsidRDefault="005B2A87"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2</w:t>
            </w:r>
          </w:p>
        </w:tc>
        <w:tc>
          <w:tcPr>
            <w:tcW w:w="1326" w:type="dxa"/>
            <w:shd w:val="clear" w:color="auto" w:fill="auto"/>
          </w:tcPr>
          <w:p w:rsidR="007A68E6" w:rsidRPr="008A28D6" w:rsidRDefault="00B52DFE" w:rsidP="00C949E4">
            <w:pPr>
              <w:tabs>
                <w:tab w:val="left" w:pos="288"/>
                <w:tab w:val="left" w:pos="576"/>
                <w:tab w:val="left" w:pos="864"/>
                <w:tab w:val="left" w:pos="1152"/>
              </w:tabs>
              <w:suppressAutoHyphens/>
              <w:spacing w:before="40" w:after="80"/>
              <w:ind w:left="14" w:right="14"/>
              <w:rPr>
                <w:spacing w:val="0"/>
                <w:lang w:val="fr-FR"/>
              </w:rPr>
            </w:pPr>
            <w:r w:rsidRPr="008A28D6">
              <w:rPr>
                <w:spacing w:val="0"/>
                <w:lang w:val="fr-FR"/>
              </w:rPr>
              <w:t>Contre-plaqué</w:t>
            </w:r>
          </w:p>
        </w:tc>
        <w:tc>
          <w:tcPr>
            <w:tcW w:w="590" w:type="dxa"/>
            <w:shd w:val="clear" w:color="auto" w:fill="auto"/>
          </w:tcPr>
          <w:p w:rsidR="007A68E6" w:rsidRPr="007A68E6" w:rsidRDefault="00294871" w:rsidP="00AF4591">
            <w:pPr>
              <w:tabs>
                <w:tab w:val="left" w:pos="288"/>
                <w:tab w:val="left" w:pos="576"/>
                <w:tab w:val="left" w:pos="864"/>
                <w:tab w:val="left" w:pos="1152"/>
              </w:tabs>
              <w:suppressAutoHyphens/>
              <w:spacing w:before="40" w:after="80"/>
              <w:ind w:left="43" w:right="43"/>
              <w:rPr>
                <w:lang w:val="fr-FR"/>
              </w:rPr>
            </w:pPr>
            <w:r>
              <w:rPr>
                <w:lang w:val="fr-FR"/>
              </w:rPr>
              <w:t>4</w:t>
            </w:r>
          </w:p>
        </w:tc>
        <w:tc>
          <w:tcPr>
            <w:tcW w:w="96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PU</w:t>
            </w:r>
          </w:p>
        </w:tc>
        <w:tc>
          <w:tcPr>
            <w:tcW w:w="561" w:type="dxa"/>
            <w:gridSpan w:val="2"/>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89</w:t>
            </w:r>
          </w:p>
        </w:tc>
        <w:tc>
          <w:tcPr>
            <w:tcW w:w="1206" w:type="dxa"/>
            <w:shd w:val="clear" w:color="auto" w:fill="auto"/>
          </w:tcPr>
          <w:p w:rsidR="007A68E6" w:rsidRPr="000E4B97" w:rsidRDefault="00B52DFE" w:rsidP="000236B1">
            <w:pPr>
              <w:tabs>
                <w:tab w:val="left" w:pos="288"/>
                <w:tab w:val="left" w:pos="576"/>
                <w:tab w:val="left" w:pos="864"/>
                <w:tab w:val="left" w:pos="1152"/>
              </w:tabs>
              <w:suppressAutoHyphens/>
              <w:spacing w:before="40" w:after="80"/>
              <w:ind w:left="14" w:right="43"/>
              <w:rPr>
                <w:spacing w:val="-4"/>
                <w:lang w:val="fr-FR"/>
              </w:rPr>
            </w:pPr>
            <w:r w:rsidRPr="000E4B97">
              <w:rPr>
                <w:spacing w:val="-4"/>
                <w:lang w:val="fr-FR"/>
              </w:rPr>
              <w:t>Contre-plaqué</w:t>
            </w:r>
          </w:p>
        </w:tc>
        <w:tc>
          <w:tcPr>
            <w:tcW w:w="513"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4</w:t>
            </w:r>
          </w:p>
        </w:tc>
        <w:tc>
          <w:tcPr>
            <w:tcW w:w="75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431" w:type="dxa"/>
            <w:shd w:val="clear" w:color="auto" w:fill="auto"/>
          </w:tcPr>
          <w:p w:rsidR="007A68E6" w:rsidRPr="007A68E6" w:rsidRDefault="00B15B9C" w:rsidP="00AF4591">
            <w:pPr>
              <w:tabs>
                <w:tab w:val="left" w:pos="288"/>
                <w:tab w:val="left" w:pos="576"/>
                <w:tab w:val="left" w:pos="864"/>
                <w:tab w:val="left" w:pos="1152"/>
              </w:tabs>
              <w:suppressAutoHyphens/>
              <w:spacing w:before="40" w:after="80"/>
              <w:ind w:left="43" w:right="43"/>
              <w:rPr>
                <w:lang w:val="fr-FR"/>
              </w:rPr>
            </w:pPr>
            <w:r>
              <w:rPr>
                <w:lang w:val="fr-FR"/>
              </w:rPr>
              <w:t>2</w:t>
            </w: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lastRenderedPageBreak/>
              <w:t>Arrière</w:t>
            </w:r>
          </w:p>
        </w:tc>
        <w:tc>
          <w:tcPr>
            <w:tcW w:w="972" w:type="dxa"/>
            <w:shd w:val="clear" w:color="auto" w:fill="auto"/>
          </w:tcPr>
          <w:p w:rsidR="007A68E6" w:rsidRPr="007A68E6" w:rsidRDefault="005B2A87"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3</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294871"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96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PU</w:t>
            </w:r>
          </w:p>
        </w:tc>
        <w:tc>
          <w:tcPr>
            <w:tcW w:w="561" w:type="dxa"/>
            <w:gridSpan w:val="2"/>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74</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0</w:t>
            </w:r>
          </w:p>
        </w:tc>
        <w:tc>
          <w:tcPr>
            <w:tcW w:w="754" w:type="dxa"/>
            <w:shd w:val="clear" w:color="auto" w:fill="auto"/>
          </w:tcPr>
          <w:p w:rsidR="007A68E6" w:rsidRPr="007A68E6" w:rsidRDefault="00B52DFE" w:rsidP="00AF4591">
            <w:pPr>
              <w:tabs>
                <w:tab w:val="left" w:pos="288"/>
                <w:tab w:val="left" w:pos="576"/>
                <w:tab w:val="left" w:pos="864"/>
                <w:tab w:val="left" w:pos="1152"/>
              </w:tabs>
              <w:suppressAutoHyphens/>
              <w:spacing w:before="40" w:after="80"/>
              <w:ind w:left="43" w:right="43"/>
              <w:rPr>
                <w:lang w:val="fr-FR"/>
              </w:rPr>
            </w:pPr>
            <w:r>
              <w:rPr>
                <w:lang w:val="fr-FR"/>
              </w:rPr>
              <w:t>GF</w:t>
            </w:r>
          </w:p>
        </w:tc>
        <w:tc>
          <w:tcPr>
            <w:tcW w:w="431" w:type="dxa"/>
            <w:shd w:val="clear" w:color="auto" w:fill="auto"/>
          </w:tcPr>
          <w:p w:rsidR="007A68E6" w:rsidRPr="007A68E6" w:rsidRDefault="00B15B9C" w:rsidP="00AF4591">
            <w:pPr>
              <w:tabs>
                <w:tab w:val="left" w:pos="288"/>
                <w:tab w:val="left" w:pos="576"/>
                <w:tab w:val="left" w:pos="864"/>
                <w:tab w:val="left" w:pos="1152"/>
              </w:tabs>
              <w:suppressAutoHyphens/>
              <w:spacing w:before="40" w:after="80"/>
              <w:ind w:left="43" w:right="43"/>
              <w:rPr>
                <w:lang w:val="fr-FR"/>
              </w:rPr>
            </w:pPr>
            <w:r>
              <w:rPr>
                <w:lang w:val="fr-FR"/>
              </w:rPr>
              <w:t>3</w:t>
            </w:r>
          </w:p>
        </w:tc>
      </w:tr>
      <w:tr w:rsidR="000E4B97" w:rsidRPr="007A68E6" w:rsidTr="006679D2">
        <w:trPr>
          <w:tblHeader/>
        </w:trPr>
        <w:tc>
          <w:tcPr>
            <w:tcW w:w="2088"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972"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650"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1326" w:type="dxa"/>
            <w:shd w:val="clear" w:color="auto" w:fill="auto"/>
          </w:tcPr>
          <w:p w:rsidR="00B73D80" w:rsidRPr="007A68E6" w:rsidRDefault="00B73D80"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964"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561" w:type="dxa"/>
            <w:gridSpan w:val="2"/>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B73D80" w:rsidRPr="007A68E6" w:rsidRDefault="00B73D80"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B73D80" w:rsidRDefault="00B73D80" w:rsidP="00AF4591">
            <w:pPr>
              <w:tabs>
                <w:tab w:val="left" w:pos="288"/>
                <w:tab w:val="left" w:pos="576"/>
                <w:tab w:val="left" w:pos="864"/>
                <w:tab w:val="left" w:pos="1152"/>
              </w:tabs>
              <w:suppressAutoHyphens/>
              <w:spacing w:before="40" w:after="80"/>
              <w:ind w:left="43" w:right="43"/>
              <w:rPr>
                <w:lang w:val="fr-FR"/>
              </w:rPr>
            </w:pPr>
          </w:p>
        </w:tc>
      </w:tr>
      <w:tr w:rsidR="00E87203" w:rsidRPr="00B007F1" w:rsidTr="006679D2">
        <w:trPr>
          <w:tblHeader/>
        </w:trPr>
        <w:tc>
          <w:tcPr>
            <w:tcW w:w="2088" w:type="dxa"/>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p>
        </w:tc>
        <w:tc>
          <w:tcPr>
            <w:tcW w:w="2948" w:type="dxa"/>
            <w:gridSpan w:val="3"/>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r w:rsidRPr="00B007F1">
              <w:rPr>
                <w:i/>
                <w:sz w:val="14"/>
                <w:szCs w:val="14"/>
                <w:lang w:val="fr-FR"/>
              </w:rPr>
              <w:t>Dimensions avec matériaux de surface</w:t>
            </w:r>
          </w:p>
        </w:tc>
        <w:tc>
          <w:tcPr>
            <w:tcW w:w="590" w:type="dxa"/>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p>
        </w:tc>
        <w:tc>
          <w:tcPr>
            <w:tcW w:w="2731" w:type="dxa"/>
            <w:gridSpan w:val="4"/>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r w:rsidRPr="00B007F1">
              <w:rPr>
                <w:i/>
                <w:sz w:val="14"/>
                <w:szCs w:val="14"/>
                <w:lang w:val="fr-FR"/>
              </w:rPr>
              <w:t>Dimensions sans matériaux de surface</w:t>
            </w:r>
          </w:p>
        </w:tc>
        <w:tc>
          <w:tcPr>
            <w:tcW w:w="513" w:type="dxa"/>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p>
        </w:tc>
        <w:tc>
          <w:tcPr>
            <w:tcW w:w="754" w:type="dxa"/>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p>
        </w:tc>
        <w:tc>
          <w:tcPr>
            <w:tcW w:w="431" w:type="dxa"/>
            <w:shd w:val="clear" w:color="auto" w:fill="auto"/>
          </w:tcPr>
          <w:p w:rsidR="00AF6178" w:rsidRPr="00B007F1" w:rsidRDefault="00AF6178" w:rsidP="00B007F1">
            <w:pPr>
              <w:tabs>
                <w:tab w:val="left" w:pos="288"/>
                <w:tab w:val="left" w:pos="576"/>
                <w:tab w:val="left" w:pos="864"/>
                <w:tab w:val="left" w:pos="1152"/>
              </w:tabs>
              <w:suppressAutoHyphens/>
              <w:spacing w:before="80" w:after="80" w:line="160" w:lineRule="exact"/>
              <w:rPr>
                <w:i/>
                <w:sz w:val="14"/>
                <w:szCs w:val="14"/>
                <w:lang w:val="fr-FR"/>
              </w:rPr>
            </w:pPr>
          </w:p>
        </w:tc>
      </w:tr>
      <w:tr w:rsidR="000E4B97" w:rsidRPr="00B007F1" w:rsidTr="006679D2">
        <w:trPr>
          <w:tblHeader/>
        </w:trPr>
        <w:tc>
          <w:tcPr>
            <w:tcW w:w="2088"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c>
          <w:tcPr>
            <w:tcW w:w="972"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r w:rsidRPr="00B007F1">
              <w:rPr>
                <w:i/>
                <w:sz w:val="14"/>
                <w:szCs w:val="14"/>
                <w:lang w:val="fr-FR"/>
              </w:rPr>
              <w:t>Intérieur</w:t>
            </w:r>
          </w:p>
        </w:tc>
        <w:tc>
          <w:tcPr>
            <w:tcW w:w="650"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c>
          <w:tcPr>
            <w:tcW w:w="1326"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r w:rsidRPr="00B007F1">
              <w:rPr>
                <w:i/>
                <w:sz w:val="14"/>
                <w:szCs w:val="14"/>
                <w:lang w:val="fr-FR"/>
              </w:rPr>
              <w:t>Extérieur</w:t>
            </w:r>
          </w:p>
        </w:tc>
        <w:tc>
          <w:tcPr>
            <w:tcW w:w="590"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c>
          <w:tcPr>
            <w:tcW w:w="972" w:type="dxa"/>
            <w:gridSpan w:val="2"/>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r w:rsidRPr="00B007F1">
              <w:rPr>
                <w:i/>
                <w:sz w:val="14"/>
                <w:szCs w:val="14"/>
                <w:lang w:val="fr-FR"/>
              </w:rPr>
              <w:t>Intérieur</w:t>
            </w:r>
          </w:p>
        </w:tc>
        <w:tc>
          <w:tcPr>
            <w:tcW w:w="553"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c>
          <w:tcPr>
            <w:tcW w:w="1206"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r w:rsidRPr="00B007F1">
              <w:rPr>
                <w:i/>
                <w:sz w:val="14"/>
                <w:szCs w:val="14"/>
                <w:lang w:val="fr-FR"/>
              </w:rPr>
              <w:t>Extérieur</w:t>
            </w:r>
          </w:p>
        </w:tc>
        <w:tc>
          <w:tcPr>
            <w:tcW w:w="513"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c>
          <w:tcPr>
            <w:tcW w:w="754"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c>
          <w:tcPr>
            <w:tcW w:w="431" w:type="dxa"/>
            <w:shd w:val="clear" w:color="auto" w:fill="auto"/>
          </w:tcPr>
          <w:p w:rsidR="00D76BEB" w:rsidRPr="00B007F1" w:rsidRDefault="00D76BEB" w:rsidP="00B007F1">
            <w:pPr>
              <w:tabs>
                <w:tab w:val="left" w:pos="288"/>
                <w:tab w:val="left" w:pos="576"/>
                <w:tab w:val="left" w:pos="864"/>
                <w:tab w:val="left" w:pos="1152"/>
              </w:tabs>
              <w:suppressAutoHyphens/>
              <w:spacing w:before="80" w:after="80" w:line="160" w:lineRule="exact"/>
              <w:rPr>
                <w:i/>
                <w:sz w:val="14"/>
                <w:szCs w:val="14"/>
                <w:lang w:val="fr-FR"/>
              </w:rPr>
            </w:pPr>
          </w:p>
        </w:tc>
      </w:tr>
      <w:tr w:rsidR="000E4B97" w:rsidRPr="007A68E6" w:rsidTr="006679D2">
        <w:trPr>
          <w:tblHeader/>
        </w:trPr>
        <w:tc>
          <w:tcPr>
            <w:tcW w:w="2088"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Longueur, mm</w:t>
            </w:r>
          </w:p>
        </w:tc>
        <w:tc>
          <w:tcPr>
            <w:tcW w:w="972"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7500</w:t>
            </w:r>
          </w:p>
        </w:tc>
        <w:tc>
          <w:tcPr>
            <w:tcW w:w="65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326"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7681</w:t>
            </w:r>
          </w:p>
        </w:tc>
        <w:tc>
          <w:tcPr>
            <w:tcW w:w="59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7509</w:t>
            </w:r>
          </w:p>
        </w:tc>
        <w:tc>
          <w:tcPr>
            <w:tcW w:w="55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7672</w:t>
            </w:r>
          </w:p>
        </w:tc>
        <w:tc>
          <w:tcPr>
            <w:tcW w:w="51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Hauteur, mm</w:t>
            </w:r>
          </w:p>
        </w:tc>
        <w:tc>
          <w:tcPr>
            <w:tcW w:w="972"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2700</w:t>
            </w:r>
          </w:p>
        </w:tc>
        <w:tc>
          <w:tcPr>
            <w:tcW w:w="65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326"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2905</w:t>
            </w:r>
          </w:p>
        </w:tc>
        <w:tc>
          <w:tcPr>
            <w:tcW w:w="59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2724</w:t>
            </w:r>
          </w:p>
        </w:tc>
        <w:tc>
          <w:tcPr>
            <w:tcW w:w="55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2900</w:t>
            </w:r>
          </w:p>
        </w:tc>
        <w:tc>
          <w:tcPr>
            <w:tcW w:w="51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Largeur, mm</w:t>
            </w:r>
          </w:p>
        </w:tc>
        <w:tc>
          <w:tcPr>
            <w:tcW w:w="972"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2500</w:t>
            </w:r>
          </w:p>
        </w:tc>
        <w:tc>
          <w:tcPr>
            <w:tcW w:w="65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326"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2600</w:t>
            </w:r>
          </w:p>
        </w:tc>
        <w:tc>
          <w:tcPr>
            <w:tcW w:w="59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2506</w:t>
            </w:r>
          </w:p>
        </w:tc>
        <w:tc>
          <w:tcPr>
            <w:tcW w:w="55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2594</w:t>
            </w:r>
          </w:p>
        </w:tc>
        <w:tc>
          <w:tcPr>
            <w:tcW w:w="51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972"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65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326"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55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Volume, m</w:t>
            </w:r>
            <w:r w:rsidRPr="001D60EE">
              <w:rPr>
                <w:vertAlign w:val="superscript"/>
                <w:lang w:val="fr-FR"/>
              </w:rPr>
              <w:t>3</w:t>
            </w:r>
          </w:p>
        </w:tc>
        <w:tc>
          <w:tcPr>
            <w:tcW w:w="972"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50,63</w:t>
            </w:r>
          </w:p>
        </w:tc>
        <w:tc>
          <w:tcPr>
            <w:tcW w:w="65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326"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58,01</w:t>
            </w:r>
          </w:p>
        </w:tc>
        <w:tc>
          <w:tcPr>
            <w:tcW w:w="590"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51,26</w:t>
            </w:r>
          </w:p>
        </w:tc>
        <w:tc>
          <w:tcPr>
            <w:tcW w:w="553"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3528D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57,71</w:t>
            </w:r>
          </w:p>
        </w:tc>
        <w:tc>
          <w:tcPr>
            <w:tcW w:w="513" w:type="dxa"/>
            <w:shd w:val="clear" w:color="auto" w:fill="auto"/>
          </w:tcPr>
          <w:p w:rsidR="003528D6" w:rsidRPr="000E4B97" w:rsidRDefault="003528D6" w:rsidP="00AF4591">
            <w:pPr>
              <w:tabs>
                <w:tab w:val="left" w:pos="288"/>
                <w:tab w:val="left" w:pos="576"/>
                <w:tab w:val="left" w:pos="864"/>
                <w:tab w:val="left" w:pos="1152"/>
              </w:tabs>
              <w:suppressAutoHyphens/>
              <w:spacing w:before="40" w:after="80"/>
              <w:ind w:left="43" w:right="43"/>
              <w:rPr>
                <w:spacing w:val="-4"/>
                <w:lang w:val="fr-FR"/>
              </w:rPr>
            </w:pPr>
          </w:p>
        </w:tc>
        <w:tc>
          <w:tcPr>
            <w:tcW w:w="754" w:type="dxa"/>
            <w:shd w:val="clear" w:color="auto" w:fill="auto"/>
          </w:tcPr>
          <w:p w:rsidR="003528D6" w:rsidRPr="007A68E6" w:rsidRDefault="003528D6" w:rsidP="00D4327B">
            <w:pPr>
              <w:tabs>
                <w:tab w:val="left" w:pos="288"/>
                <w:tab w:val="left" w:pos="576"/>
                <w:tab w:val="left" w:pos="864"/>
                <w:tab w:val="left" w:pos="1152"/>
              </w:tabs>
              <w:suppressAutoHyphens/>
              <w:spacing w:before="40" w:after="80"/>
              <w:ind w:left="29" w:right="29"/>
              <w:rPr>
                <w:lang w:val="fr-FR"/>
              </w:rPr>
            </w:pPr>
          </w:p>
        </w:tc>
        <w:tc>
          <w:tcPr>
            <w:tcW w:w="431" w:type="dxa"/>
            <w:shd w:val="clear" w:color="auto" w:fill="auto"/>
          </w:tcPr>
          <w:p w:rsidR="003528D6" w:rsidRPr="007A68E6" w:rsidRDefault="003528D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7A68E6" w:rsidRPr="002E2E2D" w:rsidRDefault="007A68E6" w:rsidP="00AF4591">
            <w:pPr>
              <w:tabs>
                <w:tab w:val="left" w:pos="288"/>
                <w:tab w:val="left" w:pos="576"/>
                <w:tab w:val="left" w:pos="864"/>
                <w:tab w:val="left" w:pos="1152"/>
              </w:tabs>
              <w:suppressAutoHyphens/>
              <w:spacing w:before="40" w:after="80"/>
              <w:ind w:left="43" w:right="43"/>
              <w:rPr>
                <w:spacing w:val="0"/>
                <w:lang w:val="fr-FR"/>
              </w:rPr>
            </w:pPr>
            <w:r w:rsidRPr="002E2E2D">
              <w:rPr>
                <w:spacing w:val="0"/>
                <w:lang w:val="fr-FR"/>
              </w:rPr>
              <w:t>Volume de l’isolant, m</w:t>
            </w:r>
            <w:r w:rsidRPr="002E2E2D">
              <w:rPr>
                <w:spacing w:val="0"/>
                <w:vertAlign w:val="superscript"/>
                <w:lang w:val="fr-FR"/>
              </w:rPr>
              <w:t>3</w:t>
            </w:r>
          </w:p>
        </w:tc>
        <w:tc>
          <w:tcPr>
            <w:tcW w:w="972"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7,39</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7A68E6" w:rsidRPr="007A68E6" w:rsidRDefault="00D76BEB" w:rsidP="00AF4591">
            <w:pPr>
              <w:tabs>
                <w:tab w:val="left" w:pos="288"/>
                <w:tab w:val="left" w:pos="576"/>
                <w:tab w:val="left" w:pos="864"/>
                <w:tab w:val="left" w:pos="1152"/>
              </w:tabs>
              <w:suppressAutoHyphens/>
              <w:spacing w:before="40" w:after="80"/>
              <w:ind w:left="43" w:right="43"/>
              <w:rPr>
                <w:lang w:val="fr-FR"/>
              </w:rPr>
            </w:pPr>
            <w:r>
              <w:rPr>
                <w:lang w:val="fr-FR"/>
              </w:rPr>
              <w:t>6,45</w:t>
            </w:r>
          </w:p>
        </w:tc>
        <w:tc>
          <w:tcPr>
            <w:tcW w:w="553"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D4327B" w:rsidP="00AF4591">
            <w:pPr>
              <w:tabs>
                <w:tab w:val="left" w:pos="288"/>
                <w:tab w:val="left" w:pos="576"/>
                <w:tab w:val="left" w:pos="864"/>
                <w:tab w:val="left" w:pos="1152"/>
              </w:tabs>
              <w:suppressAutoHyphens/>
              <w:spacing w:before="40" w:after="80"/>
              <w:ind w:left="43" w:right="43"/>
              <w:rPr>
                <w:lang w:val="fr-FR"/>
              </w:rPr>
            </w:pPr>
            <w:r w:rsidRPr="000E4B97">
              <w:rPr>
                <w:spacing w:val="-4"/>
                <w:lang w:val="fr-FR"/>
              </w:rPr>
              <w:t>diff.</w:t>
            </w:r>
          </w:p>
        </w:tc>
        <w:tc>
          <w:tcPr>
            <w:tcW w:w="754" w:type="dxa"/>
            <w:shd w:val="clear" w:color="auto" w:fill="auto"/>
          </w:tcPr>
          <w:p w:rsidR="007A68E6" w:rsidRPr="007A68E6" w:rsidRDefault="00D4327B" w:rsidP="00D4327B">
            <w:pPr>
              <w:tabs>
                <w:tab w:val="left" w:pos="288"/>
                <w:tab w:val="left" w:pos="576"/>
                <w:tab w:val="left" w:pos="864"/>
                <w:tab w:val="left" w:pos="1152"/>
              </w:tabs>
              <w:suppressAutoHyphens/>
              <w:spacing w:before="40" w:after="80"/>
              <w:ind w:left="29" w:right="29"/>
              <w:rPr>
                <w:lang w:val="fr-FR"/>
              </w:rPr>
            </w:pPr>
            <w:r>
              <w:rPr>
                <w:lang w:val="fr-FR"/>
              </w:rPr>
              <w:t>-12,7 %</w:t>
            </w:r>
          </w:p>
        </w:tc>
        <w:tc>
          <w:tcPr>
            <w:tcW w:w="431"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1/100, l</w:t>
            </w:r>
          </w:p>
        </w:tc>
        <w:tc>
          <w:tcPr>
            <w:tcW w:w="972"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73,90</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53" w:type="dxa"/>
            <w:shd w:val="clear" w:color="auto" w:fill="auto"/>
          </w:tcPr>
          <w:p w:rsidR="007A68E6" w:rsidRPr="007A68E6" w:rsidRDefault="00D76BEB" w:rsidP="000E4B97">
            <w:pPr>
              <w:tabs>
                <w:tab w:val="left" w:pos="288"/>
                <w:tab w:val="left" w:pos="576"/>
                <w:tab w:val="left" w:pos="864"/>
                <w:tab w:val="left" w:pos="1152"/>
              </w:tabs>
              <w:suppressAutoHyphens/>
              <w:spacing w:before="40" w:after="80"/>
              <w:ind w:left="29" w:right="29"/>
              <w:rPr>
                <w:lang w:val="fr-FR"/>
              </w:rPr>
            </w:pPr>
            <w:r>
              <w:rPr>
                <w:lang w:val="fr-FR"/>
              </w:rPr>
              <w:t>64,54</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+20 %</w:t>
            </w:r>
          </w:p>
        </w:tc>
        <w:tc>
          <w:tcPr>
            <w:tcW w:w="972"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88,68</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53" w:type="dxa"/>
            <w:shd w:val="clear" w:color="auto" w:fill="auto"/>
          </w:tcPr>
          <w:p w:rsidR="007A68E6" w:rsidRPr="007A68E6" w:rsidRDefault="00D76BEB" w:rsidP="000E4B97">
            <w:pPr>
              <w:tabs>
                <w:tab w:val="left" w:pos="288"/>
                <w:tab w:val="left" w:pos="576"/>
                <w:tab w:val="left" w:pos="864"/>
                <w:tab w:val="left" w:pos="1152"/>
              </w:tabs>
              <w:suppressAutoHyphens/>
              <w:spacing w:before="40" w:after="80"/>
              <w:ind w:left="29" w:right="29"/>
              <w:rPr>
                <w:lang w:val="fr-FR"/>
              </w:rPr>
            </w:pPr>
            <w:r>
              <w:rPr>
                <w:lang w:val="fr-FR"/>
              </w:rPr>
              <w:t>77,45</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r>
      <w:tr w:rsidR="000E4B97" w:rsidRPr="007A68E6" w:rsidTr="006679D2">
        <w:trPr>
          <w:tblHeader/>
        </w:trPr>
        <w:tc>
          <w:tcPr>
            <w:tcW w:w="2088"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r>
              <w:rPr>
                <w:lang w:val="fr-FR"/>
              </w:rPr>
              <w:t>-20 %</w:t>
            </w:r>
          </w:p>
        </w:tc>
        <w:tc>
          <w:tcPr>
            <w:tcW w:w="972"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650" w:type="dxa"/>
            <w:shd w:val="clear" w:color="auto" w:fill="auto"/>
          </w:tcPr>
          <w:p w:rsidR="007A68E6" w:rsidRPr="007A68E6" w:rsidRDefault="003528D6" w:rsidP="00AF4591">
            <w:pPr>
              <w:tabs>
                <w:tab w:val="left" w:pos="288"/>
                <w:tab w:val="left" w:pos="576"/>
                <w:tab w:val="left" w:pos="864"/>
                <w:tab w:val="left" w:pos="1152"/>
              </w:tabs>
              <w:suppressAutoHyphens/>
              <w:spacing w:before="40" w:after="80"/>
              <w:ind w:left="43" w:right="43"/>
              <w:rPr>
                <w:lang w:val="fr-FR"/>
              </w:rPr>
            </w:pPr>
            <w:r>
              <w:rPr>
                <w:lang w:val="fr-FR"/>
              </w:rPr>
              <w:t>59,12</w:t>
            </w:r>
          </w:p>
        </w:tc>
        <w:tc>
          <w:tcPr>
            <w:tcW w:w="132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90"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972" w:type="dxa"/>
            <w:gridSpan w:val="2"/>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53" w:type="dxa"/>
            <w:shd w:val="clear" w:color="auto" w:fill="auto"/>
          </w:tcPr>
          <w:p w:rsidR="007A68E6" w:rsidRPr="007A68E6" w:rsidRDefault="00D76BEB" w:rsidP="000E4B97">
            <w:pPr>
              <w:tabs>
                <w:tab w:val="left" w:pos="288"/>
                <w:tab w:val="left" w:pos="576"/>
                <w:tab w:val="left" w:pos="864"/>
                <w:tab w:val="left" w:pos="1152"/>
              </w:tabs>
              <w:suppressAutoHyphens/>
              <w:spacing w:before="40" w:after="80"/>
              <w:ind w:left="29" w:right="29"/>
              <w:rPr>
                <w:lang w:val="fr-FR"/>
              </w:rPr>
            </w:pPr>
            <w:r>
              <w:rPr>
                <w:lang w:val="fr-FR"/>
              </w:rPr>
              <w:t>51,63</w:t>
            </w:r>
          </w:p>
        </w:tc>
        <w:tc>
          <w:tcPr>
            <w:tcW w:w="1206"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513"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754"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c>
          <w:tcPr>
            <w:tcW w:w="431" w:type="dxa"/>
            <w:shd w:val="clear" w:color="auto" w:fill="auto"/>
          </w:tcPr>
          <w:p w:rsidR="007A68E6" w:rsidRPr="007A68E6" w:rsidRDefault="007A68E6" w:rsidP="00AF4591">
            <w:pPr>
              <w:tabs>
                <w:tab w:val="left" w:pos="288"/>
                <w:tab w:val="left" w:pos="576"/>
                <w:tab w:val="left" w:pos="864"/>
                <w:tab w:val="left" w:pos="1152"/>
              </w:tabs>
              <w:suppressAutoHyphens/>
              <w:spacing w:before="40" w:after="80"/>
              <w:ind w:left="43" w:right="43"/>
              <w:rPr>
                <w:lang w:val="fr-FR"/>
              </w:rPr>
            </w:pPr>
          </w:p>
        </w:tc>
      </w:tr>
    </w:tbl>
    <w:p w:rsidR="007A68E6" w:rsidRPr="003414FD" w:rsidRDefault="007A68E6" w:rsidP="003414FD">
      <w:pPr>
        <w:pStyle w:val="SingleTxt"/>
        <w:spacing w:after="0" w:line="120" w:lineRule="exact"/>
        <w:rPr>
          <w:sz w:val="10"/>
          <w:lang w:val="fr-FR"/>
        </w:rPr>
      </w:pPr>
    </w:p>
    <w:p w:rsidR="003414FD" w:rsidRPr="003414FD" w:rsidRDefault="003414FD" w:rsidP="003414FD">
      <w:pPr>
        <w:pStyle w:val="SingleTxt"/>
        <w:spacing w:after="0" w:line="120" w:lineRule="exact"/>
        <w:rPr>
          <w:sz w:val="10"/>
          <w:lang w:val="fr-FR"/>
        </w:rPr>
      </w:pPr>
    </w:p>
    <w:p w:rsidR="003414FD" w:rsidRPr="003414FD" w:rsidRDefault="003414FD" w:rsidP="003414FD">
      <w:pPr>
        <w:pStyle w:val="SingleTxt"/>
        <w:spacing w:after="0" w:line="120" w:lineRule="exact"/>
        <w:rPr>
          <w:sz w:val="10"/>
          <w:lang w:val="fr-FR"/>
        </w:rPr>
      </w:pPr>
    </w:p>
    <w:p w:rsidR="0051300D" w:rsidRDefault="00293BCB" w:rsidP="00293B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1300D" w:rsidRPr="0051300D">
        <w:rPr>
          <w:lang w:val="fr-FR"/>
        </w:rPr>
        <w:t>Impa</w:t>
      </w:r>
      <w:r>
        <w:rPr>
          <w:lang w:val="fr-FR"/>
        </w:rPr>
        <w:t>ct économique de la proposition</w:t>
      </w:r>
    </w:p>
    <w:p w:rsidR="00293BCB" w:rsidRPr="00293BCB" w:rsidRDefault="00293BCB" w:rsidP="00293BCB">
      <w:pPr>
        <w:pStyle w:val="SingleTxt"/>
        <w:spacing w:after="0" w:line="120" w:lineRule="exact"/>
        <w:rPr>
          <w:sz w:val="10"/>
          <w:lang w:val="fr-FR"/>
        </w:rPr>
      </w:pPr>
    </w:p>
    <w:p w:rsidR="00293BCB" w:rsidRPr="00293BCB" w:rsidRDefault="00293BCB" w:rsidP="00293BCB">
      <w:pPr>
        <w:pStyle w:val="SingleTxt"/>
        <w:spacing w:after="0" w:line="120" w:lineRule="exact"/>
        <w:rPr>
          <w:sz w:val="10"/>
          <w:lang w:val="fr-FR"/>
        </w:rPr>
      </w:pPr>
    </w:p>
    <w:p w:rsidR="0051300D" w:rsidRDefault="0051300D" w:rsidP="00C22BD5">
      <w:pPr>
        <w:pStyle w:val="SingleTxt"/>
        <w:numPr>
          <w:ilvl w:val="0"/>
          <w:numId w:val="9"/>
        </w:numPr>
        <w:tabs>
          <w:tab w:val="clear" w:pos="475"/>
          <w:tab w:val="num" w:pos="1742"/>
        </w:tabs>
        <w:ind w:left="1267"/>
        <w:rPr>
          <w:lang w:val="fr-FR"/>
        </w:rPr>
      </w:pPr>
      <w:r w:rsidRPr="0051300D">
        <w:rPr>
          <w:lang w:val="fr-FR"/>
        </w:rPr>
        <w:t>Les coûts devraient baisser si les pratiques sont harmonisées. La proposition n’a aucun impact sur l’environnement.</w:t>
      </w:r>
    </w:p>
    <w:p w:rsidR="00293BCB" w:rsidRPr="00293BCB" w:rsidRDefault="00293BCB" w:rsidP="00293BCB">
      <w:pPr>
        <w:pStyle w:val="SingleTxt"/>
        <w:spacing w:after="0" w:line="120" w:lineRule="exact"/>
        <w:rPr>
          <w:sz w:val="10"/>
          <w:lang w:val="fr-FR"/>
        </w:rPr>
      </w:pPr>
    </w:p>
    <w:p w:rsidR="00293BCB" w:rsidRPr="00293BCB" w:rsidRDefault="00293BCB" w:rsidP="00293BCB">
      <w:pPr>
        <w:pStyle w:val="SingleTxt"/>
        <w:spacing w:after="0" w:line="120" w:lineRule="exact"/>
        <w:rPr>
          <w:sz w:val="10"/>
          <w:lang w:val="fr-FR"/>
        </w:rPr>
      </w:pPr>
    </w:p>
    <w:p w:rsidR="0051300D" w:rsidRDefault="0051300D" w:rsidP="00293B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t>Conclusion</w:t>
      </w:r>
    </w:p>
    <w:p w:rsidR="00293BCB" w:rsidRPr="00293BCB" w:rsidRDefault="00293BCB" w:rsidP="00293BCB">
      <w:pPr>
        <w:pStyle w:val="SingleTxt"/>
        <w:spacing w:after="0" w:line="120" w:lineRule="exact"/>
        <w:rPr>
          <w:sz w:val="10"/>
          <w:lang w:val="fr-FR"/>
        </w:rPr>
      </w:pPr>
    </w:p>
    <w:p w:rsidR="00293BCB" w:rsidRPr="00293BCB" w:rsidRDefault="00293BCB" w:rsidP="00293BCB">
      <w:pPr>
        <w:pStyle w:val="SingleTxt"/>
        <w:spacing w:after="0" w:line="120" w:lineRule="exact"/>
        <w:rPr>
          <w:sz w:val="10"/>
          <w:lang w:val="fr-FR"/>
        </w:rPr>
      </w:pPr>
    </w:p>
    <w:p w:rsidR="0051300D" w:rsidRDefault="0051300D" w:rsidP="00C22BD5">
      <w:pPr>
        <w:pStyle w:val="SingleTxt"/>
        <w:numPr>
          <w:ilvl w:val="0"/>
          <w:numId w:val="9"/>
        </w:numPr>
        <w:tabs>
          <w:tab w:val="clear" w:pos="475"/>
          <w:tab w:val="num" w:pos="1742"/>
        </w:tabs>
        <w:ind w:left="1267"/>
        <w:rPr>
          <w:lang w:val="fr-FR"/>
        </w:rPr>
      </w:pPr>
      <w:r w:rsidRPr="0051300D">
        <w:rPr>
          <w:lang w:val="fr-FR"/>
        </w:rPr>
        <w:t>L’harmonisation est importante pour éviter des différences d’interprétation et des situations dans lesquelles des engins de transport sont certifiés dans un pays mais contestés dans d’autres. Maintenant que de nouvelles dispositions sont entrées en vigueur mais qu’aucune différence d’interprétation n’est encore apparue, c’est le bon moment pour prévenir une telle éventualité. Le Manuel ATP est probablement le meilleur moyen de le faire.</w:t>
      </w:r>
    </w:p>
    <w:p w:rsidR="00293BCB" w:rsidRPr="00293BCB" w:rsidRDefault="00293BCB" w:rsidP="00293BCB">
      <w:pPr>
        <w:pStyle w:val="SingleTxt"/>
        <w:spacing w:after="0" w:line="120" w:lineRule="exact"/>
        <w:rPr>
          <w:sz w:val="10"/>
          <w:lang w:val="fr-FR"/>
        </w:rPr>
      </w:pPr>
    </w:p>
    <w:p w:rsidR="00293BCB" w:rsidRPr="00293BCB" w:rsidRDefault="00293BCB" w:rsidP="00293BCB">
      <w:pPr>
        <w:pStyle w:val="SingleTxt"/>
        <w:spacing w:after="0" w:line="120" w:lineRule="exact"/>
        <w:rPr>
          <w:sz w:val="10"/>
          <w:lang w:val="fr-FR"/>
        </w:rPr>
      </w:pPr>
    </w:p>
    <w:p w:rsidR="0051300D" w:rsidRDefault="0051300D" w:rsidP="00293B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00D">
        <w:rPr>
          <w:lang w:val="fr-FR"/>
        </w:rPr>
        <w:tab/>
      </w:r>
      <w:r w:rsidRPr="0051300D">
        <w:rPr>
          <w:lang w:val="fr-FR"/>
        </w:rPr>
        <w:tab/>
        <w:t>Proposition</w:t>
      </w:r>
    </w:p>
    <w:p w:rsidR="00293BCB" w:rsidRPr="00293BCB" w:rsidRDefault="00293BCB" w:rsidP="00293BCB">
      <w:pPr>
        <w:pStyle w:val="SingleTxt"/>
        <w:spacing w:after="0" w:line="120" w:lineRule="exact"/>
        <w:rPr>
          <w:sz w:val="10"/>
          <w:lang w:val="fr-FR"/>
        </w:rPr>
      </w:pPr>
    </w:p>
    <w:p w:rsidR="00293BCB" w:rsidRPr="00293BCB" w:rsidRDefault="00293BCB" w:rsidP="00293BCB">
      <w:pPr>
        <w:pStyle w:val="SingleTxt"/>
        <w:spacing w:after="0" w:line="120" w:lineRule="exact"/>
        <w:rPr>
          <w:sz w:val="10"/>
          <w:lang w:val="fr-FR"/>
        </w:rPr>
      </w:pPr>
    </w:p>
    <w:p w:rsidR="0051300D" w:rsidRPr="0051300D" w:rsidRDefault="0051300D" w:rsidP="00C22BD5">
      <w:pPr>
        <w:pStyle w:val="SingleTxt"/>
        <w:numPr>
          <w:ilvl w:val="0"/>
          <w:numId w:val="9"/>
        </w:numPr>
        <w:tabs>
          <w:tab w:val="clear" w:pos="475"/>
          <w:tab w:val="num" w:pos="1742"/>
        </w:tabs>
        <w:ind w:left="1267"/>
        <w:rPr>
          <w:lang w:val="fr-FR"/>
        </w:rPr>
      </w:pPr>
      <w:r w:rsidRPr="0051300D">
        <w:rPr>
          <w:lang w:val="fr-FR"/>
        </w:rPr>
        <w:t>Ajouter les nouvelles observation</w:t>
      </w:r>
      <w:r w:rsidR="00CB7524">
        <w:rPr>
          <w:lang w:val="fr-FR"/>
        </w:rPr>
        <w:t>s</w:t>
      </w:r>
      <w:r w:rsidRPr="0051300D">
        <w:rPr>
          <w:lang w:val="fr-FR"/>
        </w:rPr>
        <w:t xml:space="preserve"> suivantes au paragraphe 6 c) i) de l’</w:t>
      </w:r>
      <w:r w:rsidR="00293BCB">
        <w:rPr>
          <w:lang w:val="fr-FR"/>
        </w:rPr>
        <w:t>appendice </w:t>
      </w:r>
      <w:r w:rsidRPr="0051300D">
        <w:rPr>
          <w:lang w:val="fr-FR"/>
        </w:rPr>
        <w:t>1 de l’annexe 1 du Manuel ATP.</w:t>
      </w:r>
    </w:p>
    <w:p w:rsidR="0051300D" w:rsidRPr="0051300D" w:rsidRDefault="00293BCB" w:rsidP="0051300D">
      <w:pPr>
        <w:pStyle w:val="SingleTxt"/>
        <w:rPr>
          <w:lang w:val="fr-FR"/>
        </w:rPr>
      </w:pPr>
      <w:r>
        <w:rPr>
          <w:lang w:val="fr-FR"/>
        </w:rPr>
        <w:t>« </w:t>
      </w:r>
      <w:r w:rsidR="0051300D" w:rsidRPr="0051300D">
        <w:rPr>
          <w:lang w:val="fr-CH"/>
        </w:rPr>
        <w:t>Obser</w:t>
      </w:r>
      <w:r w:rsidR="0051300D" w:rsidRPr="0051300D">
        <w:rPr>
          <w:lang w:val="fr-FR"/>
        </w:rPr>
        <w:t>vation 1</w:t>
      </w:r>
      <w:r>
        <w:rPr>
          <w:lang w:val="fr-FR"/>
        </w:rPr>
        <w:t> </w:t>
      </w:r>
      <w:r w:rsidR="0051300D" w:rsidRPr="0051300D">
        <w:rPr>
          <w:lang w:val="fr-FR"/>
        </w:rPr>
        <w:t>:</w:t>
      </w:r>
    </w:p>
    <w:p w:rsidR="0051300D" w:rsidRPr="0051300D" w:rsidRDefault="0051300D" w:rsidP="0051300D">
      <w:pPr>
        <w:pStyle w:val="SingleTxt"/>
        <w:rPr>
          <w:lang w:val="fr-FR"/>
        </w:rPr>
      </w:pPr>
      <w:r w:rsidRPr="0051300D">
        <w:rPr>
          <w:lang w:val="fr-FR"/>
        </w:rPr>
        <w:t>Modifications mineures et limitées signifient dans ce contexte l’ajout d’accessoires tels que barres d’arrimage de la cargaison, décrochements pour passage des roues, etc., qui réduisent localement la quantité et l’épaisseur de l’isolant par rapport à l’engin de référence. La réduction d’épaisseur d’ensemble de l’isolant par l’ajout d’une paroi entière ou d’une porte, ne doit pas être considérée comme une modification mineure et limitée.</w:t>
      </w:r>
    </w:p>
    <w:p w:rsidR="0051300D" w:rsidRPr="0051300D" w:rsidRDefault="0051300D" w:rsidP="009F2BD2">
      <w:pPr>
        <w:pStyle w:val="SingleTxt"/>
        <w:keepNext/>
        <w:keepLines/>
        <w:rPr>
          <w:lang w:val="fr-FR"/>
        </w:rPr>
      </w:pPr>
      <w:r w:rsidRPr="0051300D">
        <w:rPr>
          <w:lang w:val="fr-FR"/>
        </w:rPr>
        <w:t>Observation 2</w:t>
      </w:r>
      <w:r w:rsidR="00293BCB">
        <w:rPr>
          <w:lang w:val="fr-FR"/>
        </w:rPr>
        <w:t> </w:t>
      </w:r>
      <w:r w:rsidRPr="0051300D">
        <w:rPr>
          <w:lang w:val="fr-FR"/>
        </w:rPr>
        <w:t>:</w:t>
      </w:r>
    </w:p>
    <w:p w:rsidR="0051300D" w:rsidRPr="0051300D" w:rsidRDefault="0051300D" w:rsidP="0051300D">
      <w:pPr>
        <w:pStyle w:val="SingleTxt"/>
        <w:rPr>
          <w:lang w:val="fr-FR"/>
        </w:rPr>
      </w:pPr>
      <w:r w:rsidRPr="0051300D">
        <w:rPr>
          <w:lang w:val="fr-FR"/>
        </w:rPr>
        <w:t xml:space="preserve">Le volume total d’isolant doit être calculé par la station d’essai et consignée dans le procès-verbal d’essai comme étant le </w:t>
      </w:r>
      <w:r w:rsidR="000936A8">
        <w:rPr>
          <w:lang w:val="fr-FR"/>
        </w:rPr>
        <w:t>“</w:t>
      </w:r>
      <w:r w:rsidRPr="0051300D">
        <w:rPr>
          <w:lang w:val="fr-FR"/>
        </w:rPr>
        <w:t>volume total d’isolant (de référence)</w:t>
      </w:r>
      <w:r w:rsidR="000936A8">
        <w:rPr>
          <w:lang w:val="fr-FR"/>
        </w:rPr>
        <w:t>”</w:t>
      </w:r>
      <w:r w:rsidRPr="0051300D">
        <w:rPr>
          <w:lang w:val="fr-FR"/>
        </w:rPr>
        <w:t xml:space="preserve">. </w:t>
      </w:r>
      <w:r w:rsidR="00DF7853">
        <w:rPr>
          <w:lang w:val="fr-FR"/>
        </w:rPr>
        <w:t xml:space="preserve">Il doit être égal </w:t>
      </w:r>
      <w:r w:rsidRPr="0051300D">
        <w:rPr>
          <w:lang w:val="fr-FR"/>
        </w:rPr>
        <w:t xml:space="preserve">... </w:t>
      </w:r>
    </w:p>
    <w:p w:rsidR="0051300D" w:rsidRPr="0051300D" w:rsidRDefault="0051300D" w:rsidP="0051300D">
      <w:pPr>
        <w:pStyle w:val="SingleTxt"/>
        <w:rPr>
          <w:lang w:val="fr-FR"/>
        </w:rPr>
      </w:pPr>
      <w:r w:rsidRPr="0051300D">
        <w:rPr>
          <w:lang w:val="fr-FR"/>
        </w:rPr>
        <w:lastRenderedPageBreak/>
        <w:t>Option 1</w:t>
      </w:r>
      <w:r w:rsidR="00293BCB">
        <w:rPr>
          <w:lang w:val="fr-FR"/>
        </w:rPr>
        <w:t> </w:t>
      </w:r>
      <w:r w:rsidR="00DF7853">
        <w:rPr>
          <w:lang w:val="fr-FR"/>
        </w:rPr>
        <w:t xml:space="preserve">: </w:t>
      </w:r>
      <w:r w:rsidRPr="0051300D">
        <w:rPr>
          <w:lang w:val="fr-FR"/>
        </w:rPr>
        <w:t>... au volume extérieur de la caisse isotherme dont a été déduite l’épaisseur des matériaux de la surface extérieure moins le volume intérieur de la caisse isotherme auquel a été ajoutée l’épaisseur des matériaux de la surface intérieure.</w:t>
      </w:r>
    </w:p>
    <w:p w:rsidR="0051300D" w:rsidRPr="0051300D" w:rsidRDefault="00293BCB" w:rsidP="0051300D">
      <w:pPr>
        <w:pStyle w:val="SingleTxt"/>
        <w:rPr>
          <w:lang w:val="en-GB"/>
        </w:rPr>
      </w:pPr>
      <w:r>
        <w:rPr>
          <w:lang w:val="en-GB"/>
        </w:rPr>
        <w:t>O</w:t>
      </w:r>
      <w:r w:rsidR="0051300D" w:rsidRPr="0051300D">
        <w:rPr>
          <w:lang w:val="en-GB"/>
        </w:rPr>
        <w:t>u</w:t>
      </w:r>
    </w:p>
    <w:p w:rsidR="0051300D" w:rsidRPr="0051300D" w:rsidRDefault="0051300D" w:rsidP="0051300D">
      <w:pPr>
        <w:pStyle w:val="SingleTxt"/>
        <w:rPr>
          <w:lang w:val="fr-FR"/>
        </w:rPr>
      </w:pPr>
      <w:r w:rsidRPr="0051300D">
        <w:rPr>
          <w:lang w:val="fr-FR"/>
        </w:rPr>
        <w:t>Option 2</w:t>
      </w:r>
      <w:r w:rsidR="00293BCB">
        <w:rPr>
          <w:lang w:val="fr-FR"/>
        </w:rPr>
        <w:t> : ...</w:t>
      </w:r>
      <w:r w:rsidRPr="0051300D">
        <w:rPr>
          <w:lang w:val="fr-FR"/>
        </w:rPr>
        <w:t xml:space="preserve"> au volume extérieur de la caisse isotherme moins le volume intérieur de la caisse isotherme.</w:t>
      </w:r>
    </w:p>
    <w:p w:rsidR="0051300D" w:rsidRPr="0051300D" w:rsidRDefault="0051300D" w:rsidP="0051300D">
      <w:pPr>
        <w:pStyle w:val="SingleTxt"/>
        <w:rPr>
          <w:lang w:val="fr-FR"/>
        </w:rPr>
      </w:pPr>
      <w:r w:rsidRPr="0051300D">
        <w:rPr>
          <w:lang w:val="fr-FR"/>
        </w:rPr>
        <w:t>Si la surface intérieure d’un engin produit en série ne diffère pas de plus de 20</w:t>
      </w:r>
      <w:r w:rsidR="00293BCB">
        <w:rPr>
          <w:lang w:val="fr-FR"/>
        </w:rPr>
        <w:t> </w:t>
      </w:r>
      <w:r w:rsidRPr="0051300D">
        <w:rPr>
          <w:lang w:val="fr-FR"/>
        </w:rPr>
        <w:t>% de l’engin de référence, le volume total d’isolant, dont le 1/100</w:t>
      </w:r>
      <w:r w:rsidRPr="0051300D">
        <w:rPr>
          <w:vertAlign w:val="superscript"/>
          <w:lang w:val="fr-FR"/>
        </w:rPr>
        <w:t>e</w:t>
      </w:r>
      <w:r w:rsidRPr="0051300D">
        <w:rPr>
          <w:lang w:val="fr-FR"/>
        </w:rPr>
        <w:t xml:space="preserve"> est calculé, doit être corrigé du même pourcentage.</w:t>
      </w:r>
    </w:p>
    <w:p w:rsidR="0051300D" w:rsidRPr="0051300D" w:rsidRDefault="0051300D" w:rsidP="0051300D">
      <w:pPr>
        <w:pStyle w:val="SingleTxt"/>
        <w:rPr>
          <w:lang w:val="fr-FR"/>
        </w:rPr>
      </w:pPr>
      <w:r w:rsidRPr="0051300D">
        <w:rPr>
          <w:lang w:val="fr-FR"/>
        </w:rPr>
        <w:t>Observation 3</w:t>
      </w:r>
      <w:r w:rsidR="00293BCB">
        <w:rPr>
          <w:lang w:val="fr-FR"/>
        </w:rPr>
        <w:t> </w:t>
      </w:r>
      <w:r w:rsidRPr="0051300D">
        <w:rPr>
          <w:lang w:val="fr-FR"/>
        </w:rPr>
        <w:t>:</w:t>
      </w:r>
    </w:p>
    <w:p w:rsidR="0051300D" w:rsidRDefault="0051300D" w:rsidP="0051300D">
      <w:pPr>
        <w:pStyle w:val="SingleTxt"/>
        <w:rPr>
          <w:lang w:val="fr-FR"/>
        </w:rPr>
      </w:pPr>
      <w:r w:rsidRPr="0051300D">
        <w:rPr>
          <w:lang w:val="fr-FR"/>
        </w:rPr>
        <w:t>Le coefficient K de l’engin corrigé par calcul doit être arrondi à la décimale la plus proche</w:t>
      </w:r>
      <w:r w:rsidR="00293BCB">
        <w:rPr>
          <w:lang w:val="fr-FR"/>
        </w:rPr>
        <w:t> </w:t>
      </w:r>
      <w:r w:rsidRPr="0051300D">
        <w:rPr>
          <w:lang w:val="fr-FR"/>
        </w:rPr>
        <w:t>: 0,30</w:t>
      </w:r>
      <w:r w:rsidR="00061CEE">
        <w:rPr>
          <w:lang w:val="fr-FR"/>
        </w:rPr>
        <w:t>;</w:t>
      </w:r>
      <w:r w:rsidRPr="0051300D">
        <w:rPr>
          <w:lang w:val="fr-FR"/>
        </w:rPr>
        <w:t xml:space="preserve"> 0,40</w:t>
      </w:r>
      <w:r w:rsidR="00061CEE">
        <w:rPr>
          <w:lang w:val="fr-FR"/>
        </w:rPr>
        <w:t>;</w:t>
      </w:r>
      <w:r w:rsidRPr="0051300D">
        <w:rPr>
          <w:lang w:val="fr-FR"/>
        </w:rPr>
        <w:t xml:space="preserve"> 0,50</w:t>
      </w:r>
      <w:r w:rsidR="00061CEE">
        <w:rPr>
          <w:lang w:val="fr-FR"/>
        </w:rPr>
        <w:t>;</w:t>
      </w:r>
      <w:r w:rsidRPr="0051300D">
        <w:rPr>
          <w:lang w:val="fr-FR"/>
        </w:rPr>
        <w:t xml:space="preserve"> 0,60 ou 0,70 W/m</w:t>
      </w:r>
      <w:r w:rsidRPr="0051300D">
        <w:rPr>
          <w:vertAlign w:val="superscript"/>
          <w:lang w:val="fr-FR"/>
        </w:rPr>
        <w:t>2</w:t>
      </w:r>
      <w:r w:rsidRPr="0051300D">
        <w:rPr>
          <w:lang w:val="fr-FR"/>
        </w:rPr>
        <w:t>K.</w:t>
      </w:r>
      <w:r w:rsidR="00293BCB">
        <w:rPr>
          <w:lang w:val="fr-FR"/>
        </w:rPr>
        <w:t> »</w:t>
      </w:r>
      <w:r w:rsidRPr="0051300D">
        <w:rPr>
          <w:lang w:val="fr-FR"/>
        </w:rPr>
        <w:t>.</w:t>
      </w:r>
    </w:p>
    <w:p w:rsidR="0051300D" w:rsidRPr="0051300D" w:rsidRDefault="0051300D" w:rsidP="0051300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1300D" w:rsidRPr="0051300D" w:rsidSect="00B6275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1:38:00Z" w:initials="Start">
    <w:p w:rsidR="00B62754" w:rsidRDefault="00B6275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NO&gt;&gt;N1513937F&lt;&lt;ODS JOB NO&gt;&gt;</w:t>
      </w:r>
    </w:p>
    <w:p w:rsidR="00B62754" w:rsidRDefault="00B62754">
      <w:pPr>
        <w:pStyle w:val="CommentText"/>
      </w:pPr>
      <w:r>
        <w:t>&lt;&lt;ODS DOC SYMBOL1&gt;&gt;ECE/TRANS/WP.11/2015/7&lt;&lt;ODS DOC SYMBOL1&gt;&gt;</w:t>
      </w:r>
    </w:p>
    <w:p w:rsidR="00B62754" w:rsidRDefault="00B627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1E" w:rsidRDefault="003E5E1E" w:rsidP="00F3330B">
      <w:pPr>
        <w:spacing w:line="240" w:lineRule="auto"/>
      </w:pPr>
      <w:r>
        <w:separator/>
      </w:r>
    </w:p>
  </w:endnote>
  <w:endnote w:type="continuationSeparator" w:id="0">
    <w:p w:rsidR="003E5E1E" w:rsidRDefault="003E5E1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2754" w:rsidTr="00B62754">
      <w:trPr>
        <w:jc w:val="center"/>
      </w:trPr>
      <w:tc>
        <w:tcPr>
          <w:tcW w:w="5126" w:type="dxa"/>
          <w:shd w:val="clear" w:color="auto" w:fill="auto"/>
        </w:tcPr>
        <w:p w:rsidR="00B62754" w:rsidRPr="00B62754" w:rsidRDefault="00B62754" w:rsidP="00B627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947">
            <w:rPr>
              <w:b w:val="0"/>
              <w:w w:val="103"/>
              <w:sz w:val="14"/>
            </w:rPr>
            <w:t>GE.15-10876</w:t>
          </w:r>
          <w:r>
            <w:rPr>
              <w:b w:val="0"/>
              <w:w w:val="103"/>
              <w:sz w:val="14"/>
            </w:rPr>
            <w:fldChar w:fldCharType="end"/>
          </w:r>
        </w:p>
      </w:tc>
      <w:tc>
        <w:tcPr>
          <w:tcW w:w="5127" w:type="dxa"/>
          <w:shd w:val="clear" w:color="auto" w:fill="auto"/>
        </w:tcPr>
        <w:p w:rsidR="00B62754" w:rsidRPr="00B62754" w:rsidRDefault="00B62754" w:rsidP="00B62754">
          <w:pPr>
            <w:pStyle w:val="Footer"/>
            <w:rPr>
              <w:w w:val="103"/>
            </w:rPr>
          </w:pPr>
          <w:r>
            <w:rPr>
              <w:w w:val="103"/>
            </w:rPr>
            <w:fldChar w:fldCharType="begin"/>
          </w:r>
          <w:r>
            <w:rPr>
              <w:w w:val="103"/>
            </w:rPr>
            <w:instrText xml:space="preserve"> PAGE  \* Arabic  \* MERGEFORMAT </w:instrText>
          </w:r>
          <w:r>
            <w:rPr>
              <w:w w:val="103"/>
            </w:rPr>
            <w:fldChar w:fldCharType="separate"/>
          </w:r>
          <w:r w:rsidR="00F3026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3026E">
            <w:rPr>
              <w:noProof/>
              <w:w w:val="103"/>
            </w:rPr>
            <w:t>4</w:t>
          </w:r>
          <w:r>
            <w:rPr>
              <w:w w:val="103"/>
            </w:rPr>
            <w:fldChar w:fldCharType="end"/>
          </w:r>
        </w:p>
      </w:tc>
    </w:tr>
  </w:tbl>
  <w:p w:rsidR="00B62754" w:rsidRPr="00B62754" w:rsidRDefault="00B62754" w:rsidP="00B62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2754" w:rsidTr="00B62754">
      <w:trPr>
        <w:jc w:val="center"/>
      </w:trPr>
      <w:tc>
        <w:tcPr>
          <w:tcW w:w="5126" w:type="dxa"/>
          <w:shd w:val="clear" w:color="auto" w:fill="auto"/>
        </w:tcPr>
        <w:p w:rsidR="00B62754" w:rsidRPr="00B62754" w:rsidRDefault="00B62754" w:rsidP="00B6275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3026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3026E">
            <w:rPr>
              <w:noProof/>
              <w:w w:val="103"/>
            </w:rPr>
            <w:t>3</w:t>
          </w:r>
          <w:r>
            <w:rPr>
              <w:w w:val="103"/>
            </w:rPr>
            <w:fldChar w:fldCharType="end"/>
          </w:r>
        </w:p>
      </w:tc>
      <w:tc>
        <w:tcPr>
          <w:tcW w:w="5127" w:type="dxa"/>
          <w:shd w:val="clear" w:color="auto" w:fill="auto"/>
        </w:tcPr>
        <w:p w:rsidR="00B62754" w:rsidRPr="00B62754" w:rsidRDefault="00B62754" w:rsidP="00B627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947">
            <w:rPr>
              <w:b w:val="0"/>
              <w:w w:val="103"/>
              <w:sz w:val="14"/>
            </w:rPr>
            <w:t>GE.15-10876</w:t>
          </w:r>
          <w:r>
            <w:rPr>
              <w:b w:val="0"/>
              <w:w w:val="103"/>
              <w:sz w:val="14"/>
            </w:rPr>
            <w:fldChar w:fldCharType="end"/>
          </w:r>
        </w:p>
      </w:tc>
    </w:tr>
  </w:tbl>
  <w:p w:rsidR="00B62754" w:rsidRPr="00B62754" w:rsidRDefault="00B62754" w:rsidP="00B62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4" w:rsidRDefault="00B62754">
    <w:pPr>
      <w:pStyle w:val="Footer"/>
    </w:pPr>
    <w:r>
      <w:rPr>
        <w:noProof/>
        <w:lang w:val="en-GB" w:eastAsia="en-GB"/>
      </w:rPr>
      <w:drawing>
        <wp:anchor distT="0" distB="0" distL="114300" distR="114300" simplePos="0" relativeHeight="251658240" behindDoc="0" locked="0" layoutInCell="1" allowOverlap="1" wp14:anchorId="348E4119" wp14:editId="5064347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62754" w:rsidTr="00B62754">
      <w:tc>
        <w:tcPr>
          <w:tcW w:w="3859" w:type="dxa"/>
        </w:tcPr>
        <w:p w:rsidR="00B62754" w:rsidRDefault="00B62754" w:rsidP="00B6275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04947">
            <w:rPr>
              <w:b w:val="0"/>
              <w:sz w:val="20"/>
            </w:rPr>
            <w:t>GE.15-10876 (F)</w:t>
          </w:r>
          <w:r>
            <w:rPr>
              <w:b w:val="0"/>
              <w:sz w:val="20"/>
            </w:rPr>
            <w:fldChar w:fldCharType="end"/>
          </w:r>
          <w:r>
            <w:rPr>
              <w:b w:val="0"/>
              <w:sz w:val="20"/>
            </w:rPr>
            <w:t xml:space="preserve">    280815    280815</w:t>
          </w:r>
        </w:p>
        <w:p w:rsidR="00B62754" w:rsidRPr="00B62754" w:rsidRDefault="00B62754" w:rsidP="00B6275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04947">
            <w:rPr>
              <w:rFonts w:ascii="Barcode 3 of 9 by request" w:hAnsi="Barcode 3 of 9 by request"/>
              <w:b w:val="0"/>
              <w:spacing w:val="0"/>
              <w:w w:val="100"/>
              <w:sz w:val="24"/>
            </w:rPr>
            <w:t>*1510876*</w:t>
          </w:r>
          <w:r>
            <w:rPr>
              <w:rFonts w:ascii="Barcode 3 of 9 by request" w:hAnsi="Barcode 3 of 9 by request"/>
              <w:b w:val="0"/>
              <w:spacing w:val="0"/>
              <w:w w:val="100"/>
              <w:sz w:val="24"/>
            </w:rPr>
            <w:fldChar w:fldCharType="end"/>
          </w:r>
        </w:p>
      </w:tc>
      <w:tc>
        <w:tcPr>
          <w:tcW w:w="5127" w:type="dxa"/>
        </w:tcPr>
        <w:p w:rsidR="00B62754" w:rsidRDefault="00B62754" w:rsidP="00B62754">
          <w:pPr>
            <w:pStyle w:val="Footer"/>
            <w:spacing w:line="240" w:lineRule="atLeast"/>
            <w:jc w:val="right"/>
            <w:rPr>
              <w:b w:val="0"/>
              <w:sz w:val="20"/>
            </w:rPr>
          </w:pPr>
          <w:r>
            <w:rPr>
              <w:b w:val="0"/>
              <w:noProof/>
              <w:sz w:val="20"/>
              <w:lang w:val="en-GB" w:eastAsia="en-GB"/>
            </w:rPr>
            <w:drawing>
              <wp:inline distT="0" distB="0" distL="0" distR="0" wp14:anchorId="2F3ED2DD" wp14:editId="182C43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62754" w:rsidRPr="00B62754" w:rsidRDefault="00B62754" w:rsidP="00B6275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1E" w:rsidRPr="003E47D8" w:rsidRDefault="003E5E1E" w:rsidP="003E47D8">
      <w:pPr>
        <w:pStyle w:val="Footer"/>
        <w:spacing w:after="80"/>
        <w:rPr>
          <w:sz w:val="16"/>
        </w:rPr>
      </w:pPr>
      <w:r w:rsidRPr="003E47D8">
        <w:rPr>
          <w:sz w:val="16"/>
        </w:rPr>
        <w:t>__________________</w:t>
      </w:r>
    </w:p>
  </w:footnote>
  <w:footnote w:type="continuationSeparator" w:id="0">
    <w:p w:rsidR="003E5E1E" w:rsidRPr="003E47D8" w:rsidRDefault="003E5E1E"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2754" w:rsidTr="00B62754">
      <w:trPr>
        <w:trHeight w:hRule="exact" w:val="864"/>
        <w:jc w:val="center"/>
      </w:trPr>
      <w:tc>
        <w:tcPr>
          <w:tcW w:w="4882" w:type="dxa"/>
          <w:shd w:val="clear" w:color="auto" w:fill="auto"/>
          <w:vAlign w:val="bottom"/>
        </w:tcPr>
        <w:p w:rsidR="00B62754" w:rsidRPr="00B62754" w:rsidRDefault="00B62754" w:rsidP="00B6275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4947">
            <w:rPr>
              <w:b/>
              <w:color w:val="000000"/>
            </w:rPr>
            <w:t>ECE/TRANS/WP.11/2015/7</w:t>
          </w:r>
          <w:r>
            <w:rPr>
              <w:b/>
              <w:color w:val="000000"/>
            </w:rPr>
            <w:fldChar w:fldCharType="end"/>
          </w:r>
        </w:p>
      </w:tc>
      <w:tc>
        <w:tcPr>
          <w:tcW w:w="5127" w:type="dxa"/>
          <w:shd w:val="clear" w:color="auto" w:fill="auto"/>
          <w:vAlign w:val="bottom"/>
        </w:tcPr>
        <w:p w:rsidR="00B62754" w:rsidRDefault="00B62754" w:rsidP="00B62754">
          <w:pPr>
            <w:pStyle w:val="Header"/>
          </w:pPr>
        </w:p>
      </w:tc>
    </w:tr>
  </w:tbl>
  <w:p w:rsidR="00B62754" w:rsidRPr="00B62754" w:rsidRDefault="00B62754" w:rsidP="00B6275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2754" w:rsidTr="00B62754">
      <w:trPr>
        <w:trHeight w:hRule="exact" w:val="864"/>
        <w:jc w:val="center"/>
      </w:trPr>
      <w:tc>
        <w:tcPr>
          <w:tcW w:w="4882" w:type="dxa"/>
          <w:shd w:val="clear" w:color="auto" w:fill="auto"/>
          <w:vAlign w:val="bottom"/>
        </w:tcPr>
        <w:p w:rsidR="00B62754" w:rsidRDefault="00B62754" w:rsidP="00B62754">
          <w:pPr>
            <w:pStyle w:val="Header"/>
          </w:pPr>
        </w:p>
      </w:tc>
      <w:tc>
        <w:tcPr>
          <w:tcW w:w="5127" w:type="dxa"/>
          <w:shd w:val="clear" w:color="auto" w:fill="auto"/>
          <w:vAlign w:val="bottom"/>
        </w:tcPr>
        <w:p w:rsidR="00B62754" w:rsidRPr="00B62754" w:rsidRDefault="00B62754" w:rsidP="00B6275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4947">
            <w:rPr>
              <w:b/>
              <w:color w:val="000000"/>
            </w:rPr>
            <w:t>ECE/TRANS/WP.11/2015/7</w:t>
          </w:r>
          <w:r>
            <w:rPr>
              <w:b/>
              <w:color w:val="000000"/>
            </w:rPr>
            <w:fldChar w:fldCharType="end"/>
          </w:r>
        </w:p>
      </w:tc>
    </w:tr>
  </w:tbl>
  <w:p w:rsidR="00B62754" w:rsidRPr="00B62754" w:rsidRDefault="00B62754" w:rsidP="00B6275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62754" w:rsidTr="00B62754">
      <w:trPr>
        <w:trHeight w:hRule="exact" w:val="864"/>
      </w:trPr>
      <w:tc>
        <w:tcPr>
          <w:tcW w:w="1267" w:type="dxa"/>
          <w:tcBorders>
            <w:bottom w:val="single" w:sz="4" w:space="0" w:color="auto"/>
          </w:tcBorders>
          <w:shd w:val="clear" w:color="auto" w:fill="auto"/>
          <w:vAlign w:val="bottom"/>
        </w:tcPr>
        <w:p w:rsidR="00B62754" w:rsidRDefault="00B62754" w:rsidP="00B62754">
          <w:pPr>
            <w:pStyle w:val="Header"/>
            <w:spacing w:after="120"/>
          </w:pPr>
        </w:p>
      </w:tc>
      <w:tc>
        <w:tcPr>
          <w:tcW w:w="2059" w:type="dxa"/>
          <w:tcBorders>
            <w:bottom w:val="single" w:sz="4" w:space="0" w:color="auto"/>
          </w:tcBorders>
          <w:shd w:val="clear" w:color="auto" w:fill="auto"/>
          <w:vAlign w:val="bottom"/>
        </w:tcPr>
        <w:p w:rsidR="00B62754" w:rsidRPr="00B62754" w:rsidRDefault="00B62754" w:rsidP="00B6275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62754" w:rsidRDefault="00B62754" w:rsidP="00B62754">
          <w:pPr>
            <w:pStyle w:val="Header"/>
            <w:spacing w:after="120"/>
          </w:pPr>
        </w:p>
      </w:tc>
      <w:tc>
        <w:tcPr>
          <w:tcW w:w="6653" w:type="dxa"/>
          <w:gridSpan w:val="4"/>
          <w:tcBorders>
            <w:bottom w:val="single" w:sz="4" w:space="0" w:color="auto"/>
          </w:tcBorders>
          <w:shd w:val="clear" w:color="auto" w:fill="auto"/>
          <w:vAlign w:val="bottom"/>
        </w:tcPr>
        <w:p w:rsidR="00B62754" w:rsidRPr="00B62754" w:rsidRDefault="00B62754" w:rsidP="00B62754">
          <w:pPr>
            <w:spacing w:after="80" w:line="240" w:lineRule="auto"/>
            <w:jc w:val="right"/>
            <w:rPr>
              <w:position w:val="-4"/>
            </w:rPr>
          </w:pPr>
          <w:r>
            <w:rPr>
              <w:position w:val="-4"/>
              <w:sz w:val="40"/>
            </w:rPr>
            <w:t>ECE</w:t>
          </w:r>
          <w:r>
            <w:rPr>
              <w:position w:val="-4"/>
            </w:rPr>
            <w:t>/TRANS/WP.11/2015/7</w:t>
          </w:r>
        </w:p>
      </w:tc>
    </w:tr>
    <w:tr w:rsidR="00B62754" w:rsidRPr="00B62754" w:rsidTr="00B62754">
      <w:trPr>
        <w:gridAfter w:val="1"/>
        <w:wAfter w:w="18" w:type="dxa"/>
        <w:trHeight w:hRule="exact" w:val="2880"/>
      </w:trPr>
      <w:tc>
        <w:tcPr>
          <w:tcW w:w="1267" w:type="dxa"/>
          <w:tcBorders>
            <w:top w:val="single" w:sz="4" w:space="0" w:color="auto"/>
            <w:bottom w:val="single" w:sz="12" w:space="0" w:color="auto"/>
          </w:tcBorders>
          <w:shd w:val="clear" w:color="auto" w:fill="auto"/>
        </w:tcPr>
        <w:p w:rsidR="00B62754" w:rsidRPr="00B62754" w:rsidRDefault="00B62754" w:rsidP="00B62754">
          <w:pPr>
            <w:pStyle w:val="Header"/>
            <w:spacing w:before="120" w:line="240" w:lineRule="auto"/>
            <w:ind w:left="-72"/>
            <w:jc w:val="center"/>
          </w:pPr>
          <w:r>
            <w:t xml:space="preserve">  </w:t>
          </w:r>
          <w:r>
            <w:rPr>
              <w:noProof/>
              <w:lang w:val="en-GB" w:eastAsia="en-GB"/>
            </w:rPr>
            <w:drawing>
              <wp:inline distT="0" distB="0" distL="0" distR="0" wp14:anchorId="0997E1C2" wp14:editId="22BC802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62754" w:rsidRPr="00B62754" w:rsidRDefault="00B62754" w:rsidP="00B6275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62754" w:rsidRPr="00B62754" w:rsidRDefault="00B62754" w:rsidP="00B62754">
          <w:pPr>
            <w:pStyle w:val="Header"/>
            <w:spacing w:before="109"/>
          </w:pPr>
        </w:p>
      </w:tc>
      <w:tc>
        <w:tcPr>
          <w:tcW w:w="3280" w:type="dxa"/>
          <w:tcBorders>
            <w:top w:val="single" w:sz="4" w:space="0" w:color="auto"/>
            <w:bottom w:val="single" w:sz="12" w:space="0" w:color="auto"/>
          </w:tcBorders>
          <w:shd w:val="clear" w:color="auto" w:fill="auto"/>
        </w:tcPr>
        <w:p w:rsidR="00B62754" w:rsidRDefault="00B62754" w:rsidP="00B62754">
          <w:pPr>
            <w:pStyle w:val="Distribution"/>
            <w:rPr>
              <w:color w:val="000000"/>
            </w:rPr>
          </w:pPr>
          <w:r>
            <w:rPr>
              <w:color w:val="000000"/>
            </w:rPr>
            <w:t>Distr. générale</w:t>
          </w:r>
        </w:p>
        <w:p w:rsidR="00B62754" w:rsidRDefault="0051300D" w:rsidP="00B62754">
          <w:pPr>
            <w:pStyle w:val="Publication"/>
            <w:rPr>
              <w:color w:val="000000"/>
            </w:rPr>
          </w:pPr>
          <w:r>
            <w:rPr>
              <w:color w:val="000000"/>
            </w:rPr>
            <w:t>3</w:t>
          </w:r>
          <w:r w:rsidR="00B62754">
            <w:rPr>
              <w:color w:val="000000"/>
            </w:rPr>
            <w:t>0 juin 2015</w:t>
          </w:r>
        </w:p>
        <w:p w:rsidR="00B62754" w:rsidRDefault="00B62754" w:rsidP="00B62754">
          <w:pPr>
            <w:rPr>
              <w:lang w:val="en-US"/>
            </w:rPr>
          </w:pPr>
          <w:r>
            <w:rPr>
              <w:lang w:val="en-US"/>
            </w:rPr>
            <w:t>Français</w:t>
          </w:r>
        </w:p>
        <w:p w:rsidR="00B62754" w:rsidRPr="00B62754" w:rsidRDefault="00B62754" w:rsidP="00B62754">
          <w:pPr>
            <w:pStyle w:val="Original"/>
            <w:rPr>
              <w:color w:val="000000"/>
            </w:rPr>
          </w:pPr>
          <w:r>
            <w:rPr>
              <w:color w:val="000000"/>
            </w:rPr>
            <w:t>Original : anglais</w:t>
          </w:r>
        </w:p>
      </w:tc>
    </w:tr>
  </w:tbl>
  <w:p w:rsidR="00B62754" w:rsidRPr="00B62754" w:rsidRDefault="00B62754" w:rsidP="00B6275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8681D8A"/>
    <w:multiLevelType w:val="hybridMultilevel"/>
    <w:tmpl w:val="A4BAEDB2"/>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137AC"/>
    <w:multiLevelType w:val="hybridMultilevel"/>
    <w:tmpl w:val="2B5A6AD4"/>
    <w:lvl w:ilvl="0" w:tplc="28EC4C0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C347B"/>
    <w:multiLevelType w:val="singleLevel"/>
    <w:tmpl w:val="3FFE6C6A"/>
    <w:lvl w:ilvl="0">
      <w:start w:val="1"/>
      <w:numFmt w:val="decimal"/>
      <w:lvlRestart w:val="0"/>
      <w:lvlText w:val="%1."/>
      <w:lvlJc w:val="left"/>
      <w:pPr>
        <w:tabs>
          <w:tab w:val="num" w:pos="475"/>
        </w:tabs>
        <w:ind w:left="0" w:firstLine="0"/>
      </w:pPr>
      <w:rPr>
        <w:w w:val="100"/>
      </w:rPr>
    </w:lvl>
  </w:abstractNum>
  <w:abstractNum w:abstractNumId="8">
    <w:nsid w:val="551C5C96"/>
    <w:multiLevelType w:val="singleLevel"/>
    <w:tmpl w:val="3FFE6C6A"/>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876*"/>
    <w:docVar w:name="CreationDt" w:val="8/28/2015 11:38 AM"/>
    <w:docVar w:name="DocCategory" w:val="Doc"/>
    <w:docVar w:name="DocType" w:val="Final"/>
    <w:docVar w:name="DutyStation" w:val="Geneva"/>
    <w:docVar w:name="FooterJN" w:val="GE.15-10876"/>
    <w:docVar w:name="jobn" w:val="GE.15-10876 (F)"/>
    <w:docVar w:name="jobnDT" w:val="GE.15-10876 (F)   280815"/>
    <w:docVar w:name="jobnDTDT" w:val="GE.15-10876 (F)   280815   280815"/>
    <w:docVar w:name="JobNo" w:val="GE.1510876F"/>
    <w:docVar w:name="JobNo2" w:val="GE.1513937F"/>
    <w:docVar w:name="LocalDrive" w:val="0"/>
    <w:docVar w:name="OandT" w:val="M. Deschamps"/>
    <w:docVar w:name="PaperSize" w:val="A4"/>
    <w:docVar w:name="sss1" w:val="ECE/TRANS/WP.11/2015/7"/>
    <w:docVar w:name="sss2" w:val="-"/>
    <w:docVar w:name="Symbol1" w:val="ECE/TRANS/WP.11/2015/7"/>
    <w:docVar w:name="Symbol2" w:val="-"/>
  </w:docVars>
  <w:rsids>
    <w:rsidRoot w:val="003E5E1E"/>
    <w:rsid w:val="000015B8"/>
    <w:rsid w:val="000046A5"/>
    <w:rsid w:val="000055FB"/>
    <w:rsid w:val="00016483"/>
    <w:rsid w:val="00022173"/>
    <w:rsid w:val="0002226F"/>
    <w:rsid w:val="00022B4A"/>
    <w:rsid w:val="000236B1"/>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1CEE"/>
    <w:rsid w:val="000636D2"/>
    <w:rsid w:val="00063B2D"/>
    <w:rsid w:val="000643C1"/>
    <w:rsid w:val="000658A4"/>
    <w:rsid w:val="00065BD4"/>
    <w:rsid w:val="000666F4"/>
    <w:rsid w:val="000675CF"/>
    <w:rsid w:val="00071173"/>
    <w:rsid w:val="0007246F"/>
    <w:rsid w:val="000746A5"/>
    <w:rsid w:val="000776CA"/>
    <w:rsid w:val="00077CC4"/>
    <w:rsid w:val="00083D89"/>
    <w:rsid w:val="00085112"/>
    <w:rsid w:val="0008708F"/>
    <w:rsid w:val="00091BC1"/>
    <w:rsid w:val="00091DBD"/>
    <w:rsid w:val="000936A8"/>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4B97"/>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0A8"/>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60E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0D11"/>
    <w:rsid w:val="002730C7"/>
    <w:rsid w:val="0027435B"/>
    <w:rsid w:val="00276E85"/>
    <w:rsid w:val="00280143"/>
    <w:rsid w:val="00280E2F"/>
    <w:rsid w:val="002810F0"/>
    <w:rsid w:val="00281BC7"/>
    <w:rsid w:val="00285DC4"/>
    <w:rsid w:val="00286531"/>
    <w:rsid w:val="002867C7"/>
    <w:rsid w:val="0029018C"/>
    <w:rsid w:val="00293BCB"/>
    <w:rsid w:val="00294871"/>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2E2D"/>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14FD"/>
    <w:rsid w:val="00343F8A"/>
    <w:rsid w:val="003441A5"/>
    <w:rsid w:val="00347E5F"/>
    <w:rsid w:val="003506F1"/>
    <w:rsid w:val="003528D6"/>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30A"/>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5E1E"/>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300D"/>
    <w:rsid w:val="0051451F"/>
    <w:rsid w:val="0051666F"/>
    <w:rsid w:val="0051772A"/>
    <w:rsid w:val="00517E8B"/>
    <w:rsid w:val="00520271"/>
    <w:rsid w:val="00520B7B"/>
    <w:rsid w:val="00522657"/>
    <w:rsid w:val="00523069"/>
    <w:rsid w:val="00523378"/>
    <w:rsid w:val="0052413A"/>
    <w:rsid w:val="00525A3D"/>
    <w:rsid w:val="00527615"/>
    <w:rsid w:val="00527DD0"/>
    <w:rsid w:val="005301BA"/>
    <w:rsid w:val="00533905"/>
    <w:rsid w:val="005372C0"/>
    <w:rsid w:val="005377A5"/>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2A87"/>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479FC"/>
    <w:rsid w:val="00650623"/>
    <w:rsid w:val="0065129E"/>
    <w:rsid w:val="006512C8"/>
    <w:rsid w:val="00653CD3"/>
    <w:rsid w:val="00656E62"/>
    <w:rsid w:val="006573FC"/>
    <w:rsid w:val="00660D00"/>
    <w:rsid w:val="00662686"/>
    <w:rsid w:val="00665605"/>
    <w:rsid w:val="00665692"/>
    <w:rsid w:val="006660B5"/>
    <w:rsid w:val="006679D2"/>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68E6"/>
    <w:rsid w:val="007A78C2"/>
    <w:rsid w:val="007B05E9"/>
    <w:rsid w:val="007B1A38"/>
    <w:rsid w:val="007B1D12"/>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17EC"/>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28D6"/>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2531"/>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443"/>
    <w:rsid w:val="009A4787"/>
    <w:rsid w:val="009A5E03"/>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BD2"/>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1FD8"/>
    <w:rsid w:val="00AC625F"/>
    <w:rsid w:val="00AC67C3"/>
    <w:rsid w:val="00AC6CA3"/>
    <w:rsid w:val="00AC6DB5"/>
    <w:rsid w:val="00AD204E"/>
    <w:rsid w:val="00AD3D04"/>
    <w:rsid w:val="00AD500D"/>
    <w:rsid w:val="00AD7C27"/>
    <w:rsid w:val="00AE0DF0"/>
    <w:rsid w:val="00AE10E9"/>
    <w:rsid w:val="00AE164F"/>
    <w:rsid w:val="00AE73A1"/>
    <w:rsid w:val="00AF4591"/>
    <w:rsid w:val="00AF4648"/>
    <w:rsid w:val="00AF4DD3"/>
    <w:rsid w:val="00AF6178"/>
    <w:rsid w:val="00AF6B78"/>
    <w:rsid w:val="00B0008D"/>
    <w:rsid w:val="00B007F1"/>
    <w:rsid w:val="00B01631"/>
    <w:rsid w:val="00B01D80"/>
    <w:rsid w:val="00B05198"/>
    <w:rsid w:val="00B0544B"/>
    <w:rsid w:val="00B06C4C"/>
    <w:rsid w:val="00B10BF5"/>
    <w:rsid w:val="00B145B5"/>
    <w:rsid w:val="00B152AC"/>
    <w:rsid w:val="00B15B9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2DFE"/>
    <w:rsid w:val="00B53FB4"/>
    <w:rsid w:val="00B541C6"/>
    <w:rsid w:val="00B556DD"/>
    <w:rsid w:val="00B5798F"/>
    <w:rsid w:val="00B57EB0"/>
    <w:rsid w:val="00B61CB4"/>
    <w:rsid w:val="00B62754"/>
    <w:rsid w:val="00B65DB9"/>
    <w:rsid w:val="00B66644"/>
    <w:rsid w:val="00B67756"/>
    <w:rsid w:val="00B70DA9"/>
    <w:rsid w:val="00B712B0"/>
    <w:rsid w:val="00B71802"/>
    <w:rsid w:val="00B7200B"/>
    <w:rsid w:val="00B73D80"/>
    <w:rsid w:val="00B77EB8"/>
    <w:rsid w:val="00B80A9C"/>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2BD5"/>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357"/>
    <w:rsid w:val="00C90813"/>
    <w:rsid w:val="00C90C2B"/>
    <w:rsid w:val="00C949E4"/>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7524"/>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1E9D"/>
    <w:rsid w:val="00D265B2"/>
    <w:rsid w:val="00D26BA6"/>
    <w:rsid w:val="00D27D4B"/>
    <w:rsid w:val="00D320C3"/>
    <w:rsid w:val="00D33B40"/>
    <w:rsid w:val="00D35146"/>
    <w:rsid w:val="00D3596F"/>
    <w:rsid w:val="00D40779"/>
    <w:rsid w:val="00D42F04"/>
    <w:rsid w:val="00D4327B"/>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6BEB"/>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4E69"/>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DF7853"/>
    <w:rsid w:val="00E003D9"/>
    <w:rsid w:val="00E00C20"/>
    <w:rsid w:val="00E028F6"/>
    <w:rsid w:val="00E0753F"/>
    <w:rsid w:val="00E0765A"/>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5F6E"/>
    <w:rsid w:val="00E86286"/>
    <w:rsid w:val="00E87203"/>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4947"/>
    <w:rsid w:val="00F13DC7"/>
    <w:rsid w:val="00F14729"/>
    <w:rsid w:val="00F14ED7"/>
    <w:rsid w:val="00F150D6"/>
    <w:rsid w:val="00F17670"/>
    <w:rsid w:val="00F17A90"/>
    <w:rsid w:val="00F2031D"/>
    <w:rsid w:val="00F2622B"/>
    <w:rsid w:val="00F26369"/>
    <w:rsid w:val="00F3026E"/>
    <w:rsid w:val="00F30DCA"/>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62754"/>
    <w:rPr>
      <w:sz w:val="16"/>
      <w:szCs w:val="16"/>
    </w:rPr>
  </w:style>
  <w:style w:type="paragraph" w:styleId="CommentText">
    <w:name w:val="annotation text"/>
    <w:basedOn w:val="Normal"/>
    <w:link w:val="CommentTextChar"/>
    <w:uiPriority w:val="99"/>
    <w:semiHidden/>
    <w:unhideWhenUsed/>
    <w:rsid w:val="00B62754"/>
    <w:pPr>
      <w:spacing w:line="240" w:lineRule="auto"/>
    </w:pPr>
    <w:rPr>
      <w:szCs w:val="20"/>
    </w:rPr>
  </w:style>
  <w:style w:type="character" w:customStyle="1" w:styleId="CommentTextChar">
    <w:name w:val="Comment Text Char"/>
    <w:basedOn w:val="DefaultParagraphFont"/>
    <w:link w:val="CommentText"/>
    <w:uiPriority w:val="99"/>
    <w:semiHidden/>
    <w:rsid w:val="00B6275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62754"/>
    <w:rPr>
      <w:b/>
      <w:bCs/>
    </w:rPr>
  </w:style>
  <w:style w:type="character" w:customStyle="1" w:styleId="CommentSubjectChar">
    <w:name w:val="Comment Subject Char"/>
    <w:basedOn w:val="CommentTextChar"/>
    <w:link w:val="CommentSubject"/>
    <w:uiPriority w:val="99"/>
    <w:semiHidden/>
    <w:rsid w:val="00B6275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62754"/>
    <w:rPr>
      <w:sz w:val="16"/>
      <w:szCs w:val="16"/>
    </w:rPr>
  </w:style>
  <w:style w:type="paragraph" w:styleId="CommentText">
    <w:name w:val="annotation text"/>
    <w:basedOn w:val="Normal"/>
    <w:link w:val="CommentTextChar"/>
    <w:uiPriority w:val="99"/>
    <w:semiHidden/>
    <w:unhideWhenUsed/>
    <w:rsid w:val="00B62754"/>
    <w:pPr>
      <w:spacing w:line="240" w:lineRule="auto"/>
    </w:pPr>
    <w:rPr>
      <w:szCs w:val="20"/>
    </w:rPr>
  </w:style>
  <w:style w:type="character" w:customStyle="1" w:styleId="CommentTextChar">
    <w:name w:val="Comment Text Char"/>
    <w:basedOn w:val="DefaultParagraphFont"/>
    <w:link w:val="CommentText"/>
    <w:uiPriority w:val="99"/>
    <w:semiHidden/>
    <w:rsid w:val="00B6275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62754"/>
    <w:rPr>
      <w:b/>
      <w:bCs/>
    </w:rPr>
  </w:style>
  <w:style w:type="character" w:customStyle="1" w:styleId="CommentSubjectChar">
    <w:name w:val="Comment Subject Char"/>
    <w:basedOn w:val="CommentTextChar"/>
    <w:link w:val="CommentSubject"/>
    <w:uiPriority w:val="99"/>
    <w:semiHidden/>
    <w:rsid w:val="00B6275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FF3A-EB07-4EB6-9ADE-964F2B3A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Christopher Smith</cp:lastModifiedBy>
  <cp:revision>2</cp:revision>
  <dcterms:created xsi:type="dcterms:W3CDTF">2015-09-01T08:04:00Z</dcterms:created>
  <dcterms:modified xsi:type="dcterms:W3CDTF">2015-09-01T08:04:00Z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1510876F</vt:lpwstr>
  </property>
  <property fmtid="{D5CDD505-2E9C-101B-9397-08002B2CF9AE}" pid="3" name="ODSRefJobNo">
    <vt:lpwstr>1513937F</vt:lpwstr>
  </property>
  <property fmtid="{D5CDD505-2E9C-101B-9397-08002B2CF9AE}" pid="4" name="Symbol1">
    <vt:lpwstr>ECE/TRANS/WP.11/2015/7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juin 2015</vt:lpwstr>
  </property>
  <property fmtid="{D5CDD505-2E9C-101B-9397-08002B2CF9AE}" pid="12" name="Original">
    <vt:lpwstr>anglais</vt:lpwstr>
  </property>
  <property fmtid="{D5CDD505-2E9C-101B-9397-08002B2CF9AE}" pid="13" name="Release Date">
    <vt:lpwstr>280815</vt:lpwstr>
  </property>
</Properties>
</file>