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46CE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46CEE" w:rsidP="00C46CEE">
            <w:pPr>
              <w:jc w:val="right"/>
            </w:pPr>
            <w:r w:rsidRPr="00C46CEE">
              <w:rPr>
                <w:sz w:val="40"/>
              </w:rPr>
              <w:t>ECE</w:t>
            </w:r>
            <w:r>
              <w:t>/TRANS/SC.1/S/396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46CEE" w:rsidP="00892A2F">
            <w:pPr>
              <w:spacing w:before="240"/>
            </w:pPr>
            <w:r>
              <w:t>Distr. générale</w:t>
            </w:r>
          </w:p>
          <w:p w:rsidR="00C46CEE" w:rsidRDefault="00C46CEE" w:rsidP="00C46CEE">
            <w:pPr>
              <w:spacing w:line="240" w:lineRule="exact"/>
            </w:pPr>
            <w:r>
              <w:t>7 mai 2015</w:t>
            </w:r>
          </w:p>
          <w:p w:rsidR="00C46CEE" w:rsidRDefault="00C46CEE" w:rsidP="00C46CEE">
            <w:pPr>
              <w:spacing w:line="240" w:lineRule="exact"/>
            </w:pPr>
            <w:r>
              <w:t>Français</w:t>
            </w:r>
          </w:p>
          <w:p w:rsidR="00C46CEE" w:rsidRPr="00DB58B5" w:rsidRDefault="00C46CEE" w:rsidP="00C46CEE">
            <w:pPr>
              <w:spacing w:line="240" w:lineRule="exact"/>
            </w:pPr>
            <w:r>
              <w:t>Original: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C46CEE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46CEE" w:rsidRPr="00A72FF8" w:rsidRDefault="00C46CEE" w:rsidP="00A72FF8">
      <w:pPr>
        <w:spacing w:after="120"/>
        <w:rPr>
          <w:b/>
          <w:sz w:val="24"/>
          <w:szCs w:val="24"/>
        </w:rPr>
      </w:pPr>
      <w:r w:rsidRPr="00A72FF8">
        <w:rPr>
          <w:b/>
          <w:sz w:val="24"/>
          <w:szCs w:val="24"/>
        </w:rPr>
        <w:t>Groupe de travail des transports routiers</w:t>
      </w:r>
    </w:p>
    <w:p w:rsidR="00C46CEE" w:rsidRPr="00C46CEE" w:rsidRDefault="00C46CEE" w:rsidP="00C46CEE">
      <w:pPr>
        <w:rPr>
          <w:b/>
        </w:rPr>
      </w:pPr>
      <w:r w:rsidRPr="00C46CEE">
        <w:rPr>
          <w:b/>
        </w:rPr>
        <w:t xml:space="preserve">Session </w:t>
      </w:r>
      <w:r>
        <w:rPr>
          <w:b/>
        </w:rPr>
        <w:t>spéciale</w:t>
      </w:r>
    </w:p>
    <w:p w:rsidR="00C46CEE" w:rsidRPr="007F6F7E" w:rsidRDefault="00C46CEE" w:rsidP="00C46CEE">
      <w:r w:rsidRPr="007F6F7E">
        <w:t>Genève, 27-29 avril 2015</w:t>
      </w:r>
    </w:p>
    <w:p w:rsidR="00A72FF8" w:rsidRDefault="00A72FF8" w:rsidP="00A72FF8">
      <w:pPr>
        <w:pStyle w:val="HChG"/>
      </w:pPr>
      <w:r>
        <w:tab/>
      </w:r>
      <w:r>
        <w:tab/>
      </w:r>
      <w:r w:rsidRPr="00A72FF8">
        <w:t>Session spéciale du Groupe de travail des transports routiers sur l’AETR (27 avril) et sur une proposition d’accord multilatéral mondial relatif au transport régulier international de voyageurs par auto</w:t>
      </w:r>
      <w:r>
        <w:t>bus et autocar (OmniBUS) (28-29 </w:t>
      </w:r>
      <w:r w:rsidRPr="00A72FF8">
        <w:t xml:space="preserve">avril) </w:t>
      </w:r>
    </w:p>
    <w:p w:rsidR="00A72FF8" w:rsidRPr="00A72FF8" w:rsidRDefault="00A72FF8" w:rsidP="00A72FF8">
      <w:pPr>
        <w:spacing w:before="360" w:after="120"/>
        <w:rPr>
          <w:sz w:val="28"/>
        </w:rPr>
      </w:pPr>
      <w:r w:rsidRPr="00A72FF8">
        <w:rPr>
          <w:sz w:val="28"/>
        </w:rPr>
        <w:t>Table des matières</w:t>
      </w:r>
    </w:p>
    <w:p w:rsidR="00A72FF8" w:rsidRPr="00A72FF8" w:rsidRDefault="00A72FF8" w:rsidP="00A72FF8">
      <w:pPr>
        <w:tabs>
          <w:tab w:val="right" w:pos="8929"/>
          <w:tab w:val="right" w:pos="9638"/>
        </w:tabs>
        <w:spacing w:after="120"/>
        <w:ind w:left="283"/>
        <w:rPr>
          <w:i/>
          <w:sz w:val="18"/>
        </w:rPr>
      </w:pPr>
      <w:r w:rsidRPr="00A72FF8">
        <w:rPr>
          <w:i/>
          <w:sz w:val="18"/>
        </w:rPr>
        <w:tab/>
        <w:t>Paragraphes</w:t>
      </w:r>
      <w:r w:rsidRPr="00A72FF8">
        <w:rPr>
          <w:i/>
          <w:sz w:val="18"/>
        </w:rPr>
        <w:tab/>
        <w:t>Page</w:t>
      </w:r>
    </w:p>
    <w:p w:rsidR="00A72FF8" w:rsidRDefault="00A72FF8" w:rsidP="00A72FF8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I.</w:t>
      </w:r>
      <w:r>
        <w:tab/>
      </w:r>
      <w:r w:rsidRPr="00A72FF8">
        <w:t>Participation</w:t>
      </w:r>
      <w:r>
        <w:tab/>
      </w:r>
      <w:r>
        <w:tab/>
        <w:t>1−2</w:t>
      </w:r>
      <w:r>
        <w:tab/>
      </w:r>
      <w:r w:rsidR="00CA3FBC">
        <w:t>2</w:t>
      </w:r>
    </w:p>
    <w:p w:rsidR="00A72FF8" w:rsidRDefault="00A72FF8" w:rsidP="00A72FF8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II.</w:t>
      </w:r>
      <w:r>
        <w:tab/>
      </w:r>
      <w:r w:rsidRPr="00A72FF8">
        <w:t>Adoption de l’ordre du jour (point 1 de l’ordre du jour)</w:t>
      </w:r>
      <w:r>
        <w:tab/>
      </w:r>
      <w:r>
        <w:tab/>
        <w:t>3</w:t>
      </w:r>
      <w:r>
        <w:tab/>
      </w:r>
      <w:r w:rsidR="00CA3FBC">
        <w:t>2</w:t>
      </w:r>
    </w:p>
    <w:p w:rsidR="00A72FF8" w:rsidRDefault="00A72FF8" w:rsidP="00A72FF8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III.</w:t>
      </w:r>
      <w:r>
        <w:tab/>
      </w:r>
      <w:r w:rsidRPr="00A72FF8">
        <w:t>Accord AETR (point 2 de l’ordre du jour)</w:t>
      </w:r>
      <w:r>
        <w:tab/>
      </w:r>
      <w:r>
        <w:tab/>
        <w:t>4−8</w:t>
      </w:r>
      <w:r>
        <w:tab/>
      </w:r>
      <w:r w:rsidR="00CA3FBC">
        <w:t>2</w:t>
      </w:r>
    </w:p>
    <w:p w:rsidR="00A72FF8" w:rsidRDefault="00A72FF8" w:rsidP="00A72FF8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A.</w:t>
      </w:r>
      <w:r>
        <w:tab/>
      </w:r>
      <w:r w:rsidRPr="00A72FF8">
        <w:t>Activités présentant un intérêt pour le Groupe de travail</w:t>
      </w:r>
      <w:r>
        <w:tab/>
      </w:r>
      <w:r>
        <w:tab/>
        <w:t>4−5</w:t>
      </w:r>
      <w:r>
        <w:tab/>
      </w:r>
      <w:r w:rsidR="00CA3FBC">
        <w:t>2</w:t>
      </w:r>
    </w:p>
    <w:p w:rsidR="00A72FF8" w:rsidRDefault="00A72FF8" w:rsidP="00A72FF8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B.</w:t>
      </w:r>
      <w:r>
        <w:tab/>
      </w:r>
      <w:r w:rsidRPr="00A72FF8">
        <w:t>Mémorandum d’accord reconnaissant le Centre commun</w:t>
      </w:r>
      <w:r>
        <w:br/>
      </w:r>
      <w:r w:rsidRPr="00A72FF8">
        <w:t>de recherche</w:t>
      </w:r>
      <w:r>
        <w:t xml:space="preserve"> </w:t>
      </w:r>
      <w:r w:rsidRPr="00A72FF8">
        <w:t>(CCR) en tant qu’autorité r</w:t>
      </w:r>
      <w:r>
        <w:t>esponsable d</w:t>
      </w:r>
      <w:r w:rsidR="003D1A28">
        <w:t>e</w:t>
      </w:r>
      <w:r w:rsidR="00250685">
        <w:t xml:space="preserve"> la certification</w:t>
      </w:r>
      <w:r w:rsidR="00250685">
        <w:br/>
      </w:r>
      <w:r w:rsidRPr="00A72FF8">
        <w:t>racine et de la</w:t>
      </w:r>
      <w:r>
        <w:t xml:space="preserve"> </w:t>
      </w:r>
      <w:r w:rsidRPr="00A72FF8">
        <w:t>certification d’</w:t>
      </w:r>
      <w:r>
        <w:t>interopérabilité</w:t>
      </w:r>
      <w:r w:rsidR="00250685">
        <w:t xml:space="preserve"> </w:t>
      </w:r>
      <w:r w:rsidRPr="00A72FF8">
        <w:t>pour les</w:t>
      </w:r>
      <w:r w:rsidR="00250685">
        <w:t xml:space="preserve"> Parties</w:t>
      </w:r>
      <w:r w:rsidR="00250685">
        <w:br/>
      </w:r>
      <w:r w:rsidRPr="00A72FF8">
        <w:t>contractantes à l’AETR</w:t>
      </w:r>
      <w:r>
        <w:t xml:space="preserve"> </w:t>
      </w:r>
      <w:r w:rsidRPr="00A72FF8">
        <w:t>non membres de l’UE</w:t>
      </w:r>
      <w:r>
        <w:tab/>
      </w:r>
      <w:r>
        <w:tab/>
        <w:t>6</w:t>
      </w:r>
      <w:r>
        <w:tab/>
      </w:r>
      <w:r w:rsidR="00CA3FBC">
        <w:t>2</w:t>
      </w:r>
    </w:p>
    <w:p w:rsidR="00A72FF8" w:rsidRDefault="00A72FF8" w:rsidP="00A72FF8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C.</w:t>
      </w:r>
      <w:r>
        <w:tab/>
      </w:r>
      <w:r w:rsidRPr="00A72FF8">
        <w:t>Proposition d’amendement à l’article 14 de l’AETR</w:t>
      </w:r>
      <w:r>
        <w:tab/>
      </w:r>
      <w:r>
        <w:tab/>
        <w:t>7</w:t>
      </w:r>
      <w:r>
        <w:tab/>
      </w:r>
      <w:r w:rsidR="00CA3FBC">
        <w:t>3</w:t>
      </w:r>
    </w:p>
    <w:p w:rsidR="00A72FF8" w:rsidRDefault="00A72FF8" w:rsidP="00A72FF8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D.</w:t>
      </w:r>
      <w:r>
        <w:tab/>
      </w:r>
      <w:r w:rsidRPr="00A72FF8">
        <w:t>Tachygraphes numériques: coûts d’installation et de maintenance</w:t>
      </w:r>
      <w:r>
        <w:tab/>
      </w:r>
      <w:r>
        <w:tab/>
        <w:t>8</w:t>
      </w:r>
      <w:r>
        <w:tab/>
      </w:r>
      <w:r w:rsidR="00CA3FBC">
        <w:t>3</w:t>
      </w:r>
    </w:p>
    <w:p w:rsidR="00A72FF8" w:rsidRDefault="00A72FF8" w:rsidP="00A72FF8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IV.</w:t>
      </w:r>
      <w:r>
        <w:tab/>
      </w:r>
      <w:r w:rsidRPr="00A72FF8">
        <w:t>Proposition d’accord multilatéral mondial relatif au transport régulier</w:t>
      </w:r>
      <w:r>
        <w:br/>
      </w:r>
      <w:r w:rsidRPr="00A72FF8">
        <w:t>international de voyageurs par autobus et autocar (OmniBUS)</w:t>
      </w:r>
      <w:r w:rsidR="00435BF1">
        <w:br/>
      </w:r>
      <w:r w:rsidR="00B32B92">
        <w:t>(point </w:t>
      </w:r>
      <w:r w:rsidR="00435BF1" w:rsidRPr="00A72FF8">
        <w:t>3 de l’ordre du jour)</w:t>
      </w:r>
      <w:r>
        <w:tab/>
      </w:r>
      <w:r>
        <w:tab/>
        <w:t>9</w:t>
      </w:r>
      <w:r>
        <w:tab/>
      </w:r>
      <w:r w:rsidR="00CA3FBC">
        <w:t>3</w:t>
      </w:r>
    </w:p>
    <w:p w:rsidR="00A72FF8" w:rsidRDefault="00A72FF8" w:rsidP="00A72FF8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V.</w:t>
      </w:r>
      <w:r>
        <w:tab/>
      </w:r>
      <w:r w:rsidR="00435BF1" w:rsidRPr="00A72FF8">
        <w:t>Questions diverses (point 4 de l’ordre du jour)</w:t>
      </w:r>
      <w:r>
        <w:tab/>
      </w:r>
      <w:r>
        <w:tab/>
        <w:t>10−11</w:t>
      </w:r>
      <w:r>
        <w:tab/>
      </w:r>
      <w:r w:rsidR="00CA3FBC">
        <w:t>3</w:t>
      </w:r>
    </w:p>
    <w:p w:rsidR="00A72FF8" w:rsidRDefault="00A72FF8" w:rsidP="00A72FF8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VI.</w:t>
      </w:r>
      <w:r>
        <w:tab/>
      </w:r>
      <w:r w:rsidR="00435BF1" w:rsidRPr="00A72FF8">
        <w:t>Adoption des décisions (point 5 de l’ordre du jour)</w:t>
      </w:r>
      <w:r>
        <w:tab/>
      </w:r>
      <w:r>
        <w:tab/>
        <w:t>12</w:t>
      </w:r>
      <w:r>
        <w:tab/>
      </w:r>
      <w:r w:rsidR="00CA3FBC">
        <w:t>3</w:t>
      </w:r>
    </w:p>
    <w:p w:rsidR="00A72FF8" w:rsidRPr="00A72FF8" w:rsidRDefault="00A72FF8" w:rsidP="003D1A28">
      <w:pPr>
        <w:pStyle w:val="HChG"/>
      </w:pPr>
      <w:r w:rsidRPr="00A72FF8">
        <w:br w:type="page"/>
      </w:r>
      <w:r w:rsidR="003D1A28">
        <w:lastRenderedPageBreak/>
        <w:tab/>
      </w:r>
      <w:r w:rsidRPr="00A72FF8">
        <w:t>I.</w:t>
      </w:r>
      <w:r w:rsidRPr="00A72FF8">
        <w:tab/>
        <w:t xml:space="preserve">Participation </w:t>
      </w:r>
    </w:p>
    <w:p w:rsidR="00A72FF8" w:rsidRPr="00A72FF8" w:rsidRDefault="00A72FF8" w:rsidP="003D1A28">
      <w:pPr>
        <w:pStyle w:val="ParNoG"/>
      </w:pPr>
      <w:r w:rsidRPr="00A72FF8">
        <w:t>Le Groupe de travail des transports routiers (SC.1) a tenu</w:t>
      </w:r>
      <w:r w:rsidR="00B32B92">
        <w:t xml:space="preserve"> une session </w:t>
      </w:r>
      <w:r w:rsidR="007F1627">
        <w:t>spéciale</w:t>
      </w:r>
      <w:r w:rsidR="00B32B92">
        <w:t xml:space="preserve"> du </w:t>
      </w:r>
      <w:r w:rsidRPr="00A72FF8">
        <w:t xml:space="preserve">27 au 29 avril 2015, </w:t>
      </w:r>
      <w:r w:rsidR="00B32B92" w:rsidRPr="00A72FF8">
        <w:t>à Genève</w:t>
      </w:r>
      <w:r w:rsidR="00B32B92">
        <w:t xml:space="preserve">, </w:t>
      </w:r>
      <w:r w:rsidRPr="00A72FF8">
        <w:t xml:space="preserve">sous la présidence de M. Roman Symonenko (Ukraine). Y étaient représentés les États membres de la Commission économique pour l’Europe (CEE) suivants: Azerbaïdjan, Espagne, ex-République yougoslave de Macédoine, Fédération de Russie, Suède, Suisse et Ukraine. </w:t>
      </w:r>
    </w:p>
    <w:p w:rsidR="00A72FF8" w:rsidRPr="00A72FF8" w:rsidRDefault="00A72FF8" w:rsidP="003D1A28">
      <w:pPr>
        <w:pStyle w:val="ParNoG"/>
      </w:pPr>
      <w:r w:rsidRPr="00A72FF8">
        <w:t>Les organisations non gouvernementales suivantes étaient aussi représentées: Union internationale des transports routiers (IRU) et Continental Automotive GmbH, cette société étant présente en qualité d’observateur</w:t>
      </w:r>
      <w:r w:rsidR="00643517">
        <w:t>.</w:t>
      </w:r>
    </w:p>
    <w:p w:rsidR="00A72FF8" w:rsidRPr="00A72FF8" w:rsidRDefault="00A72FF8" w:rsidP="003D1A28">
      <w:pPr>
        <w:pStyle w:val="HChG"/>
      </w:pPr>
      <w:r w:rsidRPr="00A72FF8">
        <w:tab/>
        <w:t>II.</w:t>
      </w:r>
      <w:r w:rsidRPr="00A72FF8">
        <w:tab/>
        <w:t>Adoption de l’ordre du jour (point</w:t>
      </w:r>
      <w:r w:rsidR="005B6DE4">
        <w:t> </w:t>
      </w:r>
      <w:r w:rsidRPr="00A72FF8">
        <w:t>1 de l’ordre du jour)</w:t>
      </w:r>
    </w:p>
    <w:p w:rsidR="00A72FF8" w:rsidRPr="00A72FF8" w:rsidRDefault="00A72FF8" w:rsidP="003D1A28">
      <w:pPr>
        <w:pStyle w:val="ParNoG"/>
      </w:pPr>
      <w:r w:rsidRPr="00A72FF8">
        <w:t>Le Groupe de travail a adopté l’ordre du jour de la session (ECE/TRANS/SC.1/S/395) avec deux ajouts: un exposé de la Commission européenne sur le «Forum du tachygraphe» (art</w:t>
      </w:r>
      <w:r w:rsidR="002729DB">
        <w:t>.</w:t>
      </w:r>
      <w:r w:rsidRPr="00A72FF8">
        <w:t xml:space="preserve"> 43 du Règlement (UE) </w:t>
      </w:r>
      <w:r w:rsidR="005B6DE4">
        <w:rPr>
          <w:rFonts w:eastAsia="MS Mincho"/>
        </w:rPr>
        <w:t>n</w:t>
      </w:r>
      <w:r w:rsidR="005B6DE4">
        <w:rPr>
          <w:rFonts w:eastAsia="MS Mincho"/>
          <w:vertAlign w:val="superscript"/>
        </w:rPr>
        <w:t>o</w:t>
      </w:r>
      <w:r w:rsidR="00643517">
        <w:t> 165/</w:t>
      </w:r>
      <w:bookmarkStart w:id="0" w:name="_GoBack"/>
      <w:bookmarkEnd w:id="0"/>
      <w:r w:rsidRPr="00A72FF8">
        <w:t>2014) au titre du point</w:t>
      </w:r>
      <w:r w:rsidR="005B6DE4">
        <w:t> </w:t>
      </w:r>
      <w:r w:rsidRPr="00A72FF8">
        <w:t>2 a) de l’ordre du jour et les «dates des prochaines sessions du Groupe d’experts de l’AETR» au titre du point 4 de l’ordre du jour.</w:t>
      </w:r>
    </w:p>
    <w:p w:rsidR="00A72FF8" w:rsidRPr="00A72FF8" w:rsidRDefault="005B6DE4" w:rsidP="003D1A28">
      <w:pPr>
        <w:pStyle w:val="HChG"/>
      </w:pPr>
      <w:r>
        <w:tab/>
        <w:t>III.</w:t>
      </w:r>
      <w:r>
        <w:tab/>
        <w:t>Accord AETR (point </w:t>
      </w:r>
      <w:r w:rsidR="00A72FF8" w:rsidRPr="00A72FF8">
        <w:t>2 de l’ordre du jour)</w:t>
      </w:r>
    </w:p>
    <w:p w:rsidR="00A72FF8" w:rsidRPr="00A72FF8" w:rsidRDefault="00A72FF8" w:rsidP="003D1A28">
      <w:pPr>
        <w:pStyle w:val="H1G"/>
      </w:pPr>
      <w:r w:rsidRPr="00A72FF8">
        <w:tab/>
        <w:t>A.</w:t>
      </w:r>
      <w:r w:rsidRPr="00A72FF8">
        <w:tab/>
        <w:t>Activités présentant un intérêt pour le Groupe de travail</w:t>
      </w:r>
    </w:p>
    <w:p w:rsidR="00A72FF8" w:rsidRPr="00A72FF8" w:rsidRDefault="00A72FF8" w:rsidP="003D1A28">
      <w:pPr>
        <w:pStyle w:val="ParNoG"/>
      </w:pPr>
      <w:r w:rsidRPr="00A72FF8">
        <w:t>Le secrétariat a communiqué des renseignements actualisés au sujet des principales décisions arrêtées par le Comité des transports intérieurs à sa soixante-dix-septième session, y compris la recommandation visant à proroger «le mandat du Groupe d’experts (...) afin de lui permettre de poursuivre ses travaux», et de la soixante-seizième réunion du Comité exécutif, au cours de laquelle celui-ci a</w:t>
      </w:r>
      <w:r w:rsidR="005B6DE4">
        <w:t>vait</w:t>
      </w:r>
      <w:r w:rsidRPr="00A72FF8">
        <w:t xml:space="preserve"> approuvé la décision du Co</w:t>
      </w:r>
      <w:r w:rsidR="005B6DE4">
        <w:t>mité des transports intérieurs.</w:t>
      </w:r>
      <w:r w:rsidRPr="00A72FF8">
        <w:t xml:space="preserve"> En conséquence, le Groupe d’experts de l’AETR poursuivra ses travaux jusqu’au 30 juin 2017.</w:t>
      </w:r>
    </w:p>
    <w:p w:rsidR="00A72FF8" w:rsidRPr="00A72FF8" w:rsidRDefault="00A72FF8" w:rsidP="003D1A28">
      <w:pPr>
        <w:pStyle w:val="ParNoG"/>
      </w:pPr>
      <w:r w:rsidRPr="00A72FF8">
        <w:t xml:space="preserve">La Commission européenne a fait un exposé sur la création du «Forum du tachygraphe» (sur la base de l’article 43 du Règlement (UE) </w:t>
      </w:r>
      <w:r w:rsidR="005B6DE4">
        <w:rPr>
          <w:rFonts w:eastAsia="MS Mincho"/>
        </w:rPr>
        <w:t>n</w:t>
      </w:r>
      <w:r w:rsidR="005B6DE4">
        <w:rPr>
          <w:rFonts w:eastAsia="MS Mincho"/>
          <w:vertAlign w:val="superscript"/>
        </w:rPr>
        <w:t>o</w:t>
      </w:r>
      <w:r w:rsidR="005B6DE4" w:rsidRPr="00A72FF8">
        <w:t> </w:t>
      </w:r>
      <w:r w:rsidRPr="00A72FF8">
        <w:t xml:space="preserve">165/2014). Elle a invité les Parties contractantes à l’AETR </w:t>
      </w:r>
      <w:r w:rsidR="005B6DE4">
        <w:t>non membres de l</w:t>
      </w:r>
      <w:r w:rsidR="005B6DE4" w:rsidRPr="00802C14">
        <w:t>’</w:t>
      </w:r>
      <w:r w:rsidR="005B6DE4">
        <w:t xml:space="preserve">UE </w:t>
      </w:r>
      <w:r w:rsidRPr="00A72FF8">
        <w:t>et le secrétariat de la CEE à organiser certaines des sessions du Forum en 2016 et au-delà. Le Groupe de travail a souscrit unanimement à la proposition de la Commission européenne visant à tenir certaines des sessions du «Forum du tachygraphe» au secrétariat de la CEE, à Genève, et a invité le secrétariat et la Commission européenne à entamer des discussions à cet effet.</w:t>
      </w:r>
    </w:p>
    <w:p w:rsidR="00A72FF8" w:rsidRPr="00A72FF8" w:rsidRDefault="00A72FF8" w:rsidP="003D1A28">
      <w:pPr>
        <w:pStyle w:val="H1G"/>
      </w:pPr>
      <w:r w:rsidRPr="00A72FF8">
        <w:tab/>
        <w:t>B.</w:t>
      </w:r>
      <w:r w:rsidRPr="00A72FF8">
        <w:tab/>
        <w:t>Mémorandum d’accord reconnaissant le Centre commun de recherche (CCR) en tant qu’autorité responsable de la certification racine et de</w:t>
      </w:r>
      <w:r w:rsidR="00A037B2">
        <w:t> </w:t>
      </w:r>
      <w:r w:rsidRPr="00A72FF8">
        <w:t>la</w:t>
      </w:r>
      <w:r w:rsidR="00F06E07">
        <w:t> </w:t>
      </w:r>
      <w:r w:rsidRPr="00A72FF8">
        <w:t>certification d’interopérabilité pour les Parties contractantes à</w:t>
      </w:r>
      <w:r w:rsidR="00A037B2">
        <w:t> </w:t>
      </w:r>
      <w:r w:rsidRPr="00A72FF8">
        <w:t>l’AETR non membres de l’UE</w:t>
      </w:r>
    </w:p>
    <w:p w:rsidR="00A72FF8" w:rsidRPr="00A72FF8" w:rsidRDefault="00A72FF8" w:rsidP="003D1A28">
      <w:pPr>
        <w:pStyle w:val="ParNoG"/>
      </w:pPr>
      <w:r w:rsidRPr="00A72FF8">
        <w:t>Le Groupe de travail a examiné le texte d’un projet de mémorandum d’accord visant à proroger le mémorandum actuel jusqu’</w:t>
      </w:r>
      <w:r w:rsidR="00F06E07">
        <w:t xml:space="preserve">au 30 juin </w:t>
      </w:r>
      <w:r w:rsidRPr="00A72FF8">
        <w:t>2017. Il a adopté ce projet et a demandé au secrétariat de lui donner sa forme définitive, d’entamer la procédure de signature et d’inscrire le mémorandum d’accord signé à l’ordre du jour de la prochaine réunion du Groupe d’experts de l’AETR</w:t>
      </w:r>
      <w:r w:rsidR="00F06E07">
        <w:t xml:space="preserve"> (uniquement à titre informatif)</w:t>
      </w:r>
      <w:r w:rsidRPr="00A72FF8">
        <w:t>.</w:t>
      </w:r>
    </w:p>
    <w:p w:rsidR="00A72FF8" w:rsidRPr="00A72FF8" w:rsidRDefault="00A72FF8" w:rsidP="003D1A28">
      <w:pPr>
        <w:pStyle w:val="H1G"/>
      </w:pPr>
      <w:r w:rsidRPr="00A72FF8">
        <w:lastRenderedPageBreak/>
        <w:tab/>
        <w:t>C.</w:t>
      </w:r>
      <w:r w:rsidRPr="00A72FF8">
        <w:tab/>
        <w:t>Proposition d’amendement à l’</w:t>
      </w:r>
      <w:r w:rsidR="00A255B7">
        <w:t>article </w:t>
      </w:r>
      <w:r w:rsidRPr="00A72FF8">
        <w:t>14 de l’AETR</w:t>
      </w:r>
    </w:p>
    <w:p w:rsidR="00A72FF8" w:rsidRPr="00A72FF8" w:rsidRDefault="00A72FF8" w:rsidP="003D1A28">
      <w:pPr>
        <w:pStyle w:val="ParNoG"/>
      </w:pPr>
      <w:r w:rsidRPr="00A72FF8">
        <w:t xml:space="preserve">Le secrétariat a informé le Groupe de travail de la notification dépositaire (C.N136.2015.TREATIES-XII.B.21) contenant une proposition d’amendement à l’article 14 de l’AETR. Le Secrétaire général de l’Organisation des Nations Unies a publié cette notification </w:t>
      </w:r>
      <w:r w:rsidR="00A255B7">
        <w:t xml:space="preserve">le 18 février </w:t>
      </w:r>
      <w:r w:rsidRPr="00A72FF8">
        <w:t>2015 et les Parties contractantes à l’AETR disposent d’un délai de six mois (à compter de cette date) pour l’informer de leur décision.</w:t>
      </w:r>
    </w:p>
    <w:p w:rsidR="00A72FF8" w:rsidRPr="00A72FF8" w:rsidRDefault="00A72FF8" w:rsidP="003D1A28">
      <w:pPr>
        <w:pStyle w:val="H1G"/>
      </w:pPr>
      <w:r w:rsidRPr="00A72FF8">
        <w:tab/>
        <w:t>D.</w:t>
      </w:r>
      <w:r w:rsidRPr="00A72FF8">
        <w:tab/>
        <w:t>Tachygraphes numériques: coûts d’installation et de maintenance</w:t>
      </w:r>
    </w:p>
    <w:p w:rsidR="00A72FF8" w:rsidRPr="00A72FF8" w:rsidRDefault="00A72FF8" w:rsidP="003D1A28">
      <w:pPr>
        <w:pStyle w:val="ParNoG"/>
      </w:pPr>
      <w:r w:rsidRPr="00A72FF8">
        <w:t>Le Groupe de travail a remercié l’entreprise Continental pour son exposé sur les efforts d’installation et de maintenance</w:t>
      </w:r>
      <w:r w:rsidR="005B6DE4">
        <w:t xml:space="preserve"> </w:t>
      </w:r>
      <w:r w:rsidRPr="00A72FF8">
        <w:t>des tachygraphes numériques. Le Président du SC.1 a indiqué que la question des coûts d’installation et de maintenance des tachygraphes numériques serait examinée aux sessions à venir du Groupe d’experts de l’AETR.</w:t>
      </w:r>
    </w:p>
    <w:p w:rsidR="00A72FF8" w:rsidRPr="00A72FF8" w:rsidRDefault="00A72FF8" w:rsidP="003D1A28">
      <w:pPr>
        <w:pStyle w:val="HChG"/>
      </w:pPr>
      <w:r w:rsidRPr="00A72FF8">
        <w:tab/>
        <w:t>IV.</w:t>
      </w:r>
      <w:r w:rsidRPr="00A72FF8">
        <w:tab/>
        <w:t>Proposition d’accord multilatéral mondial relatif au transport régulier international de voyageurs par autobus et</w:t>
      </w:r>
      <w:r w:rsidR="006D2071">
        <w:t> </w:t>
      </w:r>
      <w:r w:rsidRPr="00A72FF8">
        <w:t>autocar (OmniBUS) (point 3 de l’ordre du jour)</w:t>
      </w:r>
    </w:p>
    <w:p w:rsidR="00A72FF8" w:rsidRPr="00A72FF8" w:rsidRDefault="00A72FF8" w:rsidP="003D1A28">
      <w:pPr>
        <w:pStyle w:val="ParNoG"/>
      </w:pPr>
      <w:r w:rsidRPr="00A72FF8">
        <w:t xml:space="preserve">Le Groupe de travail a poursuivi l’examen du texte </w:t>
      </w:r>
      <w:r w:rsidR="006D2071">
        <w:t>du</w:t>
      </w:r>
      <w:r w:rsidRPr="00A72FF8">
        <w:t xml:space="preserve"> projet d’</w:t>
      </w:r>
      <w:r w:rsidR="00A037B2">
        <w:t>accord</w:t>
      </w:r>
      <w:r w:rsidR="006D2071">
        <w:t xml:space="preserve"> </w:t>
      </w:r>
      <w:r w:rsidRPr="00A72FF8">
        <w:t>Omni</w:t>
      </w:r>
      <w:r w:rsidR="006D2071" w:rsidRPr="00A72FF8">
        <w:t>BUS</w:t>
      </w:r>
      <w:r w:rsidRPr="00A72FF8">
        <w:t>. Seuls les articles 25 et 30 ainsi que certaines parties de l’annexe VI restent à débattre. Il a été demandé au secrétariat de réviser le texte anglais</w:t>
      </w:r>
      <w:r w:rsidR="006D2071">
        <w:t xml:space="preserve"> en</w:t>
      </w:r>
      <w:r w:rsidRPr="00A72FF8">
        <w:t xml:space="preserve"> vérifi</w:t>
      </w:r>
      <w:r w:rsidR="006D2071">
        <w:t>ant</w:t>
      </w:r>
      <w:r w:rsidRPr="00A72FF8">
        <w:t xml:space="preserve"> les renvois à d’autres dispositions et de </w:t>
      </w:r>
      <w:r w:rsidR="006D2071">
        <w:t xml:space="preserve">le </w:t>
      </w:r>
      <w:r w:rsidRPr="00A72FF8">
        <w:t>faire traduire en français et en russe en vue d’inscrire à l’ordre du jour de la session du SC.1 à venir le document sous sa forme officielle, dans les trois langues officielles de la CEE.</w:t>
      </w:r>
    </w:p>
    <w:p w:rsidR="00A72FF8" w:rsidRPr="00A72FF8" w:rsidRDefault="00A72FF8" w:rsidP="003D1A28">
      <w:pPr>
        <w:pStyle w:val="HChG"/>
      </w:pPr>
      <w:r w:rsidRPr="00A72FF8">
        <w:tab/>
        <w:t>V.</w:t>
      </w:r>
      <w:r w:rsidRPr="00A72FF8">
        <w:tab/>
        <w:t>Questions diverses</w:t>
      </w:r>
    </w:p>
    <w:p w:rsidR="00A72FF8" w:rsidRPr="00A72FF8" w:rsidRDefault="00A72FF8" w:rsidP="003D1A28">
      <w:pPr>
        <w:pStyle w:val="ParNoG"/>
      </w:pPr>
      <w:r w:rsidRPr="00A72FF8">
        <w:t>Le Groupe de travail a été informé que la prochaine session du SC.1 se tiendrait du 26 </w:t>
      </w:r>
      <w:r w:rsidR="00A02427">
        <w:t xml:space="preserve">octobre à 14 h 30 au 28 octobre </w:t>
      </w:r>
      <w:r w:rsidRPr="00A72FF8">
        <w:t>2015, à Genève, et serait précédée d’une réunion du Groupe d’experts de l’AETR,</w:t>
      </w:r>
      <w:r w:rsidR="00A02427">
        <w:t xml:space="preserve"> qui se tiendrait le 26 octobre </w:t>
      </w:r>
      <w:r w:rsidRPr="00A72FF8">
        <w:t xml:space="preserve">2015 de 9 h 30 à 12 h 30, également à Genève. </w:t>
      </w:r>
    </w:p>
    <w:p w:rsidR="00A72FF8" w:rsidRPr="00A72FF8" w:rsidRDefault="00A72FF8" w:rsidP="003D1A28">
      <w:pPr>
        <w:pStyle w:val="ParNoG"/>
      </w:pPr>
      <w:r w:rsidRPr="00A72FF8">
        <w:t>Le SC.1 a décidé d’annuler la session du Groupe d’experts de l’AETR qu</w:t>
      </w:r>
      <w:r w:rsidR="00A02427">
        <w:t xml:space="preserve">i devait se tenir le 13 juillet </w:t>
      </w:r>
      <w:r w:rsidRPr="00A72FF8">
        <w:t>2015.</w:t>
      </w:r>
    </w:p>
    <w:p w:rsidR="00A72FF8" w:rsidRPr="00A72FF8" w:rsidRDefault="00A72FF8" w:rsidP="00A02427">
      <w:pPr>
        <w:pStyle w:val="HChG"/>
      </w:pPr>
      <w:r w:rsidRPr="00A72FF8">
        <w:tab/>
        <w:t>VI.</w:t>
      </w:r>
      <w:r w:rsidRPr="00A72FF8">
        <w:tab/>
        <w:t>Adoption des décisions</w:t>
      </w:r>
    </w:p>
    <w:p w:rsidR="00A72FF8" w:rsidRPr="00A72FF8" w:rsidRDefault="00A72FF8" w:rsidP="003D1A28">
      <w:pPr>
        <w:pStyle w:val="ParNoG"/>
      </w:pPr>
      <w:r w:rsidRPr="00A72FF8">
        <w:t>Le Groupe de travail a adopté le rapport de cette session extraordinaire du SC.1.</w:t>
      </w:r>
    </w:p>
    <w:p w:rsidR="00F9573C" w:rsidRPr="00A02427" w:rsidRDefault="00A02427" w:rsidP="00A0242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A02427" w:rsidSect="00C46CE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AE" w:rsidRDefault="00407DAE" w:rsidP="00F95C08">
      <w:pPr>
        <w:spacing w:line="240" w:lineRule="auto"/>
      </w:pPr>
    </w:p>
  </w:endnote>
  <w:endnote w:type="continuationSeparator" w:id="0">
    <w:p w:rsidR="00407DAE" w:rsidRPr="00AC3823" w:rsidRDefault="00407DAE" w:rsidP="00AC3823">
      <w:pPr>
        <w:pStyle w:val="Pieddepage"/>
      </w:pPr>
    </w:p>
  </w:endnote>
  <w:endnote w:type="continuationNotice" w:id="1">
    <w:p w:rsidR="00407DAE" w:rsidRDefault="00407D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EE" w:rsidRPr="00C46CEE" w:rsidRDefault="00C46CEE" w:rsidP="00C46CEE">
    <w:pPr>
      <w:pStyle w:val="Pieddepage"/>
      <w:tabs>
        <w:tab w:val="right" w:pos="9638"/>
      </w:tabs>
    </w:pPr>
    <w:r w:rsidRPr="00C46CEE">
      <w:rPr>
        <w:b/>
        <w:sz w:val="18"/>
      </w:rPr>
      <w:fldChar w:fldCharType="begin"/>
    </w:r>
    <w:r w:rsidRPr="00C46CEE">
      <w:rPr>
        <w:b/>
        <w:sz w:val="18"/>
      </w:rPr>
      <w:instrText xml:space="preserve"> PAGE  \* MERGEFORMAT </w:instrText>
    </w:r>
    <w:r w:rsidRPr="00C46CEE">
      <w:rPr>
        <w:b/>
        <w:sz w:val="18"/>
      </w:rPr>
      <w:fldChar w:fldCharType="separate"/>
    </w:r>
    <w:r w:rsidR="00E9660B">
      <w:rPr>
        <w:b/>
        <w:noProof/>
        <w:sz w:val="18"/>
      </w:rPr>
      <w:t>2</w:t>
    </w:r>
    <w:r w:rsidRPr="00C46CEE">
      <w:rPr>
        <w:b/>
        <w:sz w:val="18"/>
      </w:rPr>
      <w:fldChar w:fldCharType="end"/>
    </w:r>
    <w:r>
      <w:rPr>
        <w:b/>
        <w:sz w:val="18"/>
      </w:rPr>
      <w:tab/>
    </w:r>
    <w:r>
      <w:t>GE.15-09140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EE" w:rsidRPr="00C46CEE" w:rsidRDefault="00C46CEE" w:rsidP="00C46CEE">
    <w:pPr>
      <w:pStyle w:val="Pieddepage"/>
      <w:tabs>
        <w:tab w:val="right" w:pos="9638"/>
      </w:tabs>
      <w:rPr>
        <w:b/>
        <w:sz w:val="18"/>
      </w:rPr>
    </w:pPr>
    <w:r>
      <w:t>GE.15-09140</w:t>
    </w:r>
    <w:r>
      <w:tab/>
    </w:r>
    <w:r w:rsidRPr="00C46CEE">
      <w:rPr>
        <w:b/>
        <w:sz w:val="18"/>
      </w:rPr>
      <w:fldChar w:fldCharType="begin"/>
    </w:r>
    <w:r w:rsidRPr="00C46CEE">
      <w:rPr>
        <w:b/>
        <w:sz w:val="18"/>
      </w:rPr>
      <w:instrText xml:space="preserve"> PAGE  \* MERGEFORMAT </w:instrText>
    </w:r>
    <w:r w:rsidRPr="00C46CEE">
      <w:rPr>
        <w:b/>
        <w:sz w:val="18"/>
      </w:rPr>
      <w:fldChar w:fldCharType="separate"/>
    </w:r>
    <w:r w:rsidR="00E9660B">
      <w:rPr>
        <w:b/>
        <w:noProof/>
        <w:sz w:val="18"/>
      </w:rPr>
      <w:t>3</w:t>
    </w:r>
    <w:r w:rsidRPr="00C46C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C46CEE" w:rsidRDefault="00C46CEE" w:rsidP="00C46CE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790C1008" wp14:editId="5ED00C8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15-09140</w:t>
    </w:r>
    <w:r w:rsidR="005B6DE4">
      <w:rPr>
        <w:sz w:val="20"/>
      </w:rPr>
      <w:t xml:space="preserve"> </w:t>
    </w:r>
    <w:r>
      <w:rPr>
        <w:sz w:val="20"/>
      </w:rPr>
      <w:t>(F)</w:t>
    </w:r>
    <w:r w:rsidR="005B6DE4">
      <w:rPr>
        <w:sz w:val="20"/>
      </w:rPr>
      <w:t xml:space="preserve">    020615    </w:t>
    </w:r>
    <w:r w:rsidR="005B6DE4" w:rsidRPr="007F1627">
      <w:rPr>
        <w:sz w:val="20"/>
      </w:rPr>
      <w:t>0</w:t>
    </w:r>
    <w:r w:rsidR="007F1627" w:rsidRPr="007F1627">
      <w:rPr>
        <w:sz w:val="20"/>
      </w:rPr>
      <w:t>3</w:t>
    </w:r>
    <w:r w:rsidR="005B6DE4" w:rsidRPr="007F1627">
      <w:rPr>
        <w:sz w:val="20"/>
      </w:rPr>
      <w:t>0615</w:t>
    </w:r>
    <w:r>
      <w:rPr>
        <w:sz w:val="20"/>
      </w:rPr>
      <w:br/>
    </w:r>
    <w:r w:rsidRPr="00C46CEE">
      <w:rPr>
        <w:rFonts w:ascii="C39T30Lfz" w:hAnsi="C39T30Lfz"/>
        <w:sz w:val="56"/>
      </w:rPr>
      <w:t></w:t>
    </w:r>
    <w:r w:rsidRPr="00C46CEE">
      <w:rPr>
        <w:rFonts w:ascii="C39T30Lfz" w:hAnsi="C39T30Lfz"/>
        <w:sz w:val="56"/>
      </w:rPr>
      <w:t></w:t>
    </w:r>
    <w:r w:rsidRPr="00C46CEE">
      <w:rPr>
        <w:rFonts w:ascii="C39T30Lfz" w:hAnsi="C39T30Lfz"/>
        <w:sz w:val="56"/>
      </w:rPr>
      <w:t></w:t>
    </w:r>
    <w:r w:rsidRPr="00C46CEE">
      <w:rPr>
        <w:rFonts w:ascii="C39T30Lfz" w:hAnsi="C39T30Lfz"/>
        <w:sz w:val="56"/>
      </w:rPr>
      <w:t></w:t>
    </w:r>
    <w:r w:rsidRPr="00C46CEE">
      <w:rPr>
        <w:rFonts w:ascii="C39T30Lfz" w:hAnsi="C39T30Lfz"/>
        <w:sz w:val="56"/>
      </w:rPr>
      <w:t></w:t>
    </w:r>
    <w:r w:rsidRPr="00C46CEE">
      <w:rPr>
        <w:rFonts w:ascii="C39T30Lfz" w:hAnsi="C39T30Lfz"/>
        <w:sz w:val="56"/>
      </w:rPr>
      <w:t></w:t>
    </w:r>
    <w:r w:rsidRPr="00C46CEE">
      <w:rPr>
        <w:rFonts w:ascii="C39T30Lfz" w:hAnsi="C39T30Lfz"/>
        <w:sz w:val="56"/>
      </w:rPr>
      <w:t></w:t>
    </w:r>
    <w:r w:rsidRPr="00C46CEE">
      <w:rPr>
        <w:rFonts w:ascii="C39T30Lfz" w:hAnsi="C39T30Lfz"/>
        <w:sz w:val="56"/>
      </w:rPr>
      <w:t></w:t>
    </w:r>
    <w:r w:rsidRPr="00C46CEE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SC.1/S/39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SC.1/S/39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AE" w:rsidRPr="00AC3823" w:rsidRDefault="00407DA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7DAE" w:rsidRPr="00AC3823" w:rsidRDefault="00407DA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07DAE" w:rsidRPr="00AC3823" w:rsidRDefault="00407DAE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EE" w:rsidRPr="00C46CEE" w:rsidRDefault="00C46CEE">
    <w:pPr>
      <w:pStyle w:val="En-tte"/>
    </w:pPr>
    <w:r>
      <w:t>ECE/TRANS/SC.1/S/396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EE" w:rsidRPr="00C46CEE" w:rsidRDefault="00C46CEE" w:rsidP="00C46CEE">
    <w:pPr>
      <w:pStyle w:val="En-tte"/>
      <w:jc w:val="right"/>
    </w:pPr>
    <w:r>
      <w:t>ECE/TRANS/SC.1/S/396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AE"/>
    <w:rsid w:val="00017F94"/>
    <w:rsid w:val="00023842"/>
    <w:rsid w:val="000334F9"/>
    <w:rsid w:val="000758D7"/>
    <w:rsid w:val="0007796D"/>
    <w:rsid w:val="000B7790"/>
    <w:rsid w:val="000E23D8"/>
    <w:rsid w:val="00111F2F"/>
    <w:rsid w:val="0014365E"/>
    <w:rsid w:val="00143C66"/>
    <w:rsid w:val="00176178"/>
    <w:rsid w:val="001F525A"/>
    <w:rsid w:val="00223272"/>
    <w:rsid w:val="0024779E"/>
    <w:rsid w:val="00250685"/>
    <w:rsid w:val="00257168"/>
    <w:rsid w:val="002729DB"/>
    <w:rsid w:val="002744B8"/>
    <w:rsid w:val="002832AC"/>
    <w:rsid w:val="002D7C93"/>
    <w:rsid w:val="00305801"/>
    <w:rsid w:val="003916DE"/>
    <w:rsid w:val="003A62AB"/>
    <w:rsid w:val="003D1A28"/>
    <w:rsid w:val="00407DAE"/>
    <w:rsid w:val="00435BF1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B6DE4"/>
    <w:rsid w:val="00643517"/>
    <w:rsid w:val="006D2071"/>
    <w:rsid w:val="0071601D"/>
    <w:rsid w:val="007A62E6"/>
    <w:rsid w:val="007F1627"/>
    <w:rsid w:val="007F20FA"/>
    <w:rsid w:val="0080684C"/>
    <w:rsid w:val="008379FF"/>
    <w:rsid w:val="00871C75"/>
    <w:rsid w:val="008776DC"/>
    <w:rsid w:val="009705C8"/>
    <w:rsid w:val="009C1CF4"/>
    <w:rsid w:val="009F6B74"/>
    <w:rsid w:val="00A02427"/>
    <w:rsid w:val="00A037B2"/>
    <w:rsid w:val="00A255B7"/>
    <w:rsid w:val="00A30353"/>
    <w:rsid w:val="00A72FF8"/>
    <w:rsid w:val="00AC3823"/>
    <w:rsid w:val="00AE323C"/>
    <w:rsid w:val="00AF0CB5"/>
    <w:rsid w:val="00B00181"/>
    <w:rsid w:val="00B00B0D"/>
    <w:rsid w:val="00B32B92"/>
    <w:rsid w:val="00B765F7"/>
    <w:rsid w:val="00BA0CA9"/>
    <w:rsid w:val="00C02897"/>
    <w:rsid w:val="00C46CEE"/>
    <w:rsid w:val="00CA3FBC"/>
    <w:rsid w:val="00D3439C"/>
    <w:rsid w:val="00DB1831"/>
    <w:rsid w:val="00DD3BFD"/>
    <w:rsid w:val="00DF6678"/>
    <w:rsid w:val="00E85C74"/>
    <w:rsid w:val="00E9660B"/>
    <w:rsid w:val="00EA6547"/>
    <w:rsid w:val="00EF2E22"/>
    <w:rsid w:val="00F06E07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1020</Words>
  <Characters>5367</Characters>
  <Application>Microsoft Office Word</Application>
  <DocSecurity>0</DocSecurity>
  <Lines>107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ECE/TRANS/SC.1/S/396</vt:lpstr>
    </vt:vector>
  </TitlesOfParts>
  <Company>DCM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ECE/TRANS/SC.1/S/396</dc:title>
  <dc:subject/>
  <dc:creator>Granet C.</dc:creator>
  <cp:keywords/>
  <dc:description/>
  <cp:lastModifiedBy>Bourion</cp:lastModifiedBy>
  <cp:revision>3</cp:revision>
  <cp:lastPrinted>2015-06-03T07:11:00Z</cp:lastPrinted>
  <dcterms:created xsi:type="dcterms:W3CDTF">2015-06-03T07:11:00Z</dcterms:created>
  <dcterms:modified xsi:type="dcterms:W3CDTF">2015-06-03T07:12:00Z</dcterms:modified>
</cp:coreProperties>
</file>