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716B77" w:rsidP="002C348D">
            <w:pPr>
              <w:jc w:val="right"/>
            </w:pPr>
            <w:r w:rsidRPr="00716B77">
              <w:rPr>
                <w:sz w:val="40"/>
              </w:rPr>
              <w:t>ECE</w:t>
            </w:r>
            <w:r>
              <w:t>/TRANS/SC.1/S/396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B601A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716B77" w:rsidP="00716B77">
            <w:pPr>
              <w:spacing w:before="240" w:line="240" w:lineRule="exact"/>
            </w:pPr>
            <w:r>
              <w:t>Distr.: General</w:t>
            </w:r>
          </w:p>
          <w:p w:rsidR="00716B77" w:rsidRDefault="003517F2" w:rsidP="00716B77">
            <w:pPr>
              <w:spacing w:line="240" w:lineRule="exact"/>
            </w:pPr>
            <w:r>
              <w:t>7</w:t>
            </w:r>
            <w:bookmarkStart w:id="0" w:name="_GoBack"/>
            <w:bookmarkEnd w:id="0"/>
            <w:r w:rsidR="00716B77">
              <w:t xml:space="preserve"> May 2015</w:t>
            </w:r>
          </w:p>
          <w:p w:rsidR="00716B77" w:rsidRDefault="00716B77" w:rsidP="00716B77">
            <w:pPr>
              <w:spacing w:line="240" w:lineRule="exact"/>
            </w:pPr>
          </w:p>
          <w:p w:rsidR="00716B77" w:rsidRDefault="00716B77" w:rsidP="00716B77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</w:t>
      </w:r>
      <w:r w:rsidR="008C4401">
        <w:rPr>
          <w:b/>
          <w:sz w:val="24"/>
          <w:szCs w:val="24"/>
        </w:rPr>
        <w:t>Road Transport</w:t>
      </w:r>
    </w:p>
    <w:p w:rsidR="00716B77" w:rsidRPr="001F08ED" w:rsidRDefault="00716B77" w:rsidP="00716B77">
      <w:pPr>
        <w:spacing w:before="120"/>
        <w:rPr>
          <w:b/>
        </w:rPr>
      </w:pPr>
      <w:r w:rsidRPr="001F08ED">
        <w:rPr>
          <w:b/>
        </w:rPr>
        <w:t>Special session</w:t>
      </w:r>
    </w:p>
    <w:p w:rsidR="00716B77" w:rsidRDefault="00716B77" w:rsidP="00716B77">
      <w:r w:rsidRPr="001F08ED">
        <w:t>Geneva, 27-29 April 2015</w:t>
      </w:r>
    </w:p>
    <w:p w:rsidR="00B23327" w:rsidRDefault="0039062E" w:rsidP="00B23327">
      <w:pPr>
        <w:pStyle w:val="HChG"/>
      </w:pPr>
      <w:r>
        <w:tab/>
      </w:r>
      <w:r>
        <w:tab/>
      </w:r>
      <w:r w:rsidR="00B23327">
        <w:t>Special session of the Working Party on Road Transport on the AETR Agreement (27 April) and on a proposal for a global multilateral agreement on the international regular transport of passengers by coach and bus (</w:t>
      </w:r>
      <w:proofErr w:type="spellStart"/>
      <w:r w:rsidR="00B23327">
        <w:t>OmniBUS</w:t>
      </w:r>
      <w:proofErr w:type="spellEnd"/>
      <w:r w:rsidR="00B23327">
        <w:t>) (28-29 April)</w:t>
      </w:r>
    </w:p>
    <w:p w:rsidR="00A6129C" w:rsidRDefault="0039062E" w:rsidP="00B23327">
      <w:pPr>
        <w:pStyle w:val="HChG"/>
      </w:pPr>
      <w:r>
        <w:t>Contents</w:t>
      </w:r>
    </w:p>
    <w:p w:rsidR="0039062E" w:rsidRDefault="0039062E" w:rsidP="0039062E">
      <w:pPr>
        <w:tabs>
          <w:tab w:val="right" w:pos="8929"/>
          <w:tab w:val="right" w:pos="9638"/>
        </w:tabs>
        <w:spacing w:after="120"/>
        <w:ind w:left="283"/>
      </w:pPr>
      <w:r>
        <w:rPr>
          <w:i/>
          <w:sz w:val="18"/>
        </w:rPr>
        <w:tab/>
        <w:t>Paragraphs</w:t>
      </w:r>
      <w:r>
        <w:rPr>
          <w:i/>
          <w:sz w:val="18"/>
        </w:rPr>
        <w:tab/>
        <w:t>Page</w:t>
      </w:r>
    </w:p>
    <w:p w:rsidR="0039062E" w:rsidRDefault="0039062E" w:rsidP="0039062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I.</w:t>
      </w:r>
      <w:r>
        <w:tab/>
        <w:t>Attendance</w:t>
      </w:r>
      <w:r>
        <w:tab/>
      </w:r>
      <w:r>
        <w:tab/>
        <w:t>1</w:t>
      </w:r>
      <w:r w:rsidR="003C217C">
        <w:t>-2</w:t>
      </w:r>
      <w:r>
        <w:tab/>
      </w:r>
      <w:r w:rsidR="003C217C">
        <w:t>2</w:t>
      </w:r>
    </w:p>
    <w:p w:rsidR="0039062E" w:rsidRDefault="0039062E" w:rsidP="0039062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II.</w:t>
      </w:r>
      <w:r>
        <w:tab/>
        <w:t>Adoption of the Agenda</w:t>
      </w:r>
      <w:r w:rsidR="00B23327">
        <w:t xml:space="preserve"> (agenda item 1)</w:t>
      </w:r>
      <w:r w:rsidR="00B23327">
        <w:tab/>
      </w:r>
      <w:r w:rsidR="00B23327">
        <w:tab/>
      </w:r>
      <w:r w:rsidR="003C217C">
        <w:t>3</w:t>
      </w:r>
      <w:r w:rsidR="00B23327">
        <w:tab/>
      </w:r>
      <w:r w:rsidR="003C217C">
        <w:t>2</w:t>
      </w:r>
    </w:p>
    <w:p w:rsidR="00B23327" w:rsidRDefault="00B23327" w:rsidP="0039062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  <w:t>III.</w:t>
      </w:r>
      <w:r>
        <w:tab/>
        <w:t>AETR Agreement</w:t>
      </w:r>
      <w:r w:rsidR="00A90A9C">
        <w:t xml:space="preserve"> (agenda item 2)</w:t>
      </w:r>
      <w:r w:rsidR="00A90A9C">
        <w:tab/>
      </w:r>
      <w:r w:rsidR="00A90A9C">
        <w:tab/>
      </w:r>
      <w:r w:rsidR="003C217C">
        <w:t>4-8</w:t>
      </w:r>
      <w:r w:rsidR="00A90A9C">
        <w:tab/>
      </w:r>
      <w:r w:rsidR="003C217C">
        <w:t>2</w:t>
      </w:r>
    </w:p>
    <w:p w:rsidR="00A90A9C" w:rsidRDefault="00A90A9C" w:rsidP="0039062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A.</w:t>
      </w:r>
      <w:r>
        <w:tab/>
        <w:t>Activities of interest to the Working Party</w:t>
      </w:r>
      <w:r>
        <w:tab/>
      </w:r>
      <w:r>
        <w:tab/>
      </w:r>
      <w:r w:rsidR="003C217C">
        <w:t>4-5</w:t>
      </w:r>
      <w:r>
        <w:tab/>
      </w:r>
      <w:r w:rsidR="003C217C">
        <w:t>2</w:t>
      </w:r>
    </w:p>
    <w:p w:rsidR="00A90A9C" w:rsidRDefault="00A90A9C" w:rsidP="00A90A9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line="240" w:lineRule="auto"/>
      </w:pPr>
      <w:r>
        <w:tab/>
      </w:r>
      <w:r>
        <w:tab/>
        <w:t>B.</w:t>
      </w:r>
      <w:r>
        <w:tab/>
      </w:r>
      <w:r w:rsidRPr="0019214E">
        <w:t>The Memorandum of Understanding which recognizes the Joint Research</w:t>
      </w:r>
    </w:p>
    <w:p w:rsidR="00A90A9C" w:rsidRDefault="00A90A9C" w:rsidP="003C2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line="240" w:lineRule="auto"/>
      </w:pPr>
      <w:r>
        <w:tab/>
      </w:r>
      <w:r>
        <w:tab/>
      </w:r>
      <w:r>
        <w:tab/>
      </w:r>
      <w:r w:rsidRPr="0019214E">
        <w:t xml:space="preserve">Centre as the authority responsible for Root and Interoperability </w:t>
      </w:r>
    </w:p>
    <w:p w:rsidR="00A90A9C" w:rsidRDefault="00A90A9C" w:rsidP="003C2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line="240" w:lineRule="auto"/>
      </w:pPr>
      <w:r>
        <w:tab/>
      </w:r>
      <w:r>
        <w:tab/>
      </w:r>
      <w:r>
        <w:tab/>
      </w:r>
      <w:r w:rsidRPr="0019214E">
        <w:t>Certification for non-EU AETR Contracting Parties</w:t>
      </w:r>
      <w:r>
        <w:tab/>
      </w:r>
      <w:r>
        <w:tab/>
      </w:r>
      <w:r w:rsidR="003C217C">
        <w:t>6</w:t>
      </w:r>
      <w:r>
        <w:tab/>
      </w:r>
      <w:r w:rsidR="003C217C">
        <w:t>2</w:t>
      </w:r>
    </w:p>
    <w:p w:rsidR="00A90A9C" w:rsidRDefault="00A90A9C" w:rsidP="0034097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  <w:r>
        <w:tab/>
      </w:r>
      <w:r>
        <w:tab/>
        <w:t>C.</w:t>
      </w:r>
      <w:r>
        <w:tab/>
      </w:r>
      <w:r w:rsidR="00340973" w:rsidRPr="00645BE1">
        <w:t>Proposed amendment to Article 14 of the AETR</w:t>
      </w:r>
      <w:r w:rsidR="00340973">
        <w:tab/>
      </w:r>
      <w:r w:rsidR="00340973">
        <w:tab/>
      </w:r>
      <w:r w:rsidR="003C217C">
        <w:t>7</w:t>
      </w:r>
      <w:r w:rsidR="00340973">
        <w:tab/>
      </w:r>
      <w:r w:rsidR="003C217C">
        <w:t>3</w:t>
      </w:r>
    </w:p>
    <w:p w:rsidR="00340973" w:rsidRDefault="00340973" w:rsidP="003C2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  <w:r>
        <w:tab/>
      </w:r>
      <w:r>
        <w:tab/>
        <w:t>D.</w:t>
      </w:r>
      <w:r>
        <w:tab/>
      </w:r>
      <w:r w:rsidRPr="00645BE1">
        <w:t xml:space="preserve">Digital </w:t>
      </w:r>
      <w:proofErr w:type="spellStart"/>
      <w:r w:rsidRPr="00645BE1">
        <w:t>tachographs</w:t>
      </w:r>
      <w:proofErr w:type="spellEnd"/>
      <w:r w:rsidRPr="00645BE1">
        <w:t xml:space="preserve">: </w:t>
      </w:r>
      <w:r w:rsidRPr="00BE3F64">
        <w:t>C</w:t>
      </w:r>
      <w:r w:rsidRPr="00645BE1">
        <w:t>osts of installation and maintenance</w:t>
      </w:r>
      <w:r>
        <w:tab/>
      </w:r>
      <w:r>
        <w:tab/>
      </w:r>
      <w:r w:rsidR="003C217C">
        <w:t>8</w:t>
      </w:r>
      <w:r>
        <w:tab/>
      </w:r>
      <w:r w:rsidR="003C217C">
        <w:t>3</w:t>
      </w:r>
    </w:p>
    <w:p w:rsidR="00340973" w:rsidRDefault="00340973" w:rsidP="003C2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  <w:r>
        <w:tab/>
        <w:t>IV.</w:t>
      </w:r>
      <w:r>
        <w:tab/>
      </w:r>
      <w:r w:rsidRPr="00E434E7">
        <w:t xml:space="preserve">Proposal for a global multilateral agreement on the </w:t>
      </w:r>
      <w:r w:rsidR="0017462F" w:rsidRPr="00E434E7">
        <w:t>international</w:t>
      </w:r>
      <w:r w:rsidR="0017462F">
        <w:t xml:space="preserve"> regular                                                     </w:t>
      </w:r>
    </w:p>
    <w:p w:rsidR="0017462F" w:rsidRDefault="0017462F" w:rsidP="003C217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line="240" w:lineRule="auto"/>
      </w:pPr>
      <w:r>
        <w:tab/>
      </w:r>
      <w:r>
        <w:tab/>
      </w:r>
      <w:proofErr w:type="gramStart"/>
      <w:r w:rsidRPr="00E434E7">
        <w:t>transport</w:t>
      </w:r>
      <w:proofErr w:type="gramEnd"/>
      <w:r w:rsidRPr="00E434E7">
        <w:t xml:space="preserve"> of passengers by coach and bus (</w:t>
      </w:r>
      <w:proofErr w:type="spellStart"/>
      <w:r w:rsidRPr="00E434E7">
        <w:t>OmniBUS</w:t>
      </w:r>
      <w:proofErr w:type="spellEnd"/>
      <w:r w:rsidRPr="00E434E7">
        <w:t>).</w:t>
      </w:r>
      <w:r>
        <w:t>(</w:t>
      </w:r>
      <w:r w:rsidR="002C348D">
        <w:t>a</w:t>
      </w:r>
      <w:r>
        <w:t>genda item 3)</w:t>
      </w:r>
      <w:r>
        <w:tab/>
      </w:r>
      <w:r>
        <w:tab/>
      </w:r>
      <w:r w:rsidR="00B24485">
        <w:t>9</w:t>
      </w:r>
      <w:r>
        <w:tab/>
      </w:r>
      <w:r w:rsidR="00B24485">
        <w:t>3</w:t>
      </w:r>
    </w:p>
    <w:p w:rsidR="0017462F" w:rsidRDefault="0017462F" w:rsidP="007B601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  <w:r>
        <w:tab/>
        <w:t>V.</w:t>
      </w:r>
      <w:r>
        <w:tab/>
        <w:t>Other business (agenda item 4)</w:t>
      </w:r>
      <w:r>
        <w:tab/>
      </w:r>
      <w:r>
        <w:tab/>
      </w:r>
      <w:r w:rsidR="00B24485">
        <w:t>10-11</w:t>
      </w:r>
      <w:r>
        <w:tab/>
      </w:r>
      <w:r w:rsidR="00B24485">
        <w:t>3</w:t>
      </w:r>
    </w:p>
    <w:p w:rsidR="005E701E" w:rsidRDefault="0017462F" w:rsidP="007B601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  <w:r>
        <w:tab/>
        <w:t>VI.</w:t>
      </w:r>
      <w:r>
        <w:tab/>
        <w:t xml:space="preserve">Adoption of the </w:t>
      </w:r>
      <w:r w:rsidR="00432DFE">
        <w:t xml:space="preserve">decisions </w:t>
      </w:r>
      <w:r>
        <w:t>(agenda item 5)</w:t>
      </w:r>
      <w:r>
        <w:tab/>
      </w:r>
      <w:r>
        <w:tab/>
      </w:r>
      <w:r w:rsidR="00B24485">
        <w:t>12</w:t>
      </w:r>
      <w:r>
        <w:tab/>
      </w:r>
      <w:r w:rsidR="00B24485">
        <w:t>3</w:t>
      </w:r>
    </w:p>
    <w:p w:rsidR="005E701E" w:rsidRDefault="005E701E">
      <w:pPr>
        <w:suppressAutoHyphens w:val="0"/>
        <w:spacing w:line="240" w:lineRule="auto"/>
      </w:pPr>
      <w:r>
        <w:br w:type="page"/>
      </w:r>
    </w:p>
    <w:p w:rsidR="0017462F" w:rsidRDefault="005E701E" w:rsidP="005E701E">
      <w:pPr>
        <w:pStyle w:val="HChG"/>
      </w:pPr>
      <w:r>
        <w:lastRenderedPageBreak/>
        <w:tab/>
        <w:t>I.</w:t>
      </w:r>
      <w:r>
        <w:tab/>
        <w:t xml:space="preserve">Attendance </w:t>
      </w:r>
    </w:p>
    <w:p w:rsidR="005E701E" w:rsidRDefault="005E701E" w:rsidP="005E701E">
      <w:pPr>
        <w:pStyle w:val="SingleTxtG"/>
      </w:pPr>
      <w:r>
        <w:t>1.</w:t>
      </w:r>
      <w:r>
        <w:tab/>
        <w:t xml:space="preserve">The Working Party on Road Transport (SC.1) held </w:t>
      </w:r>
      <w:r w:rsidR="002C348D">
        <w:t xml:space="preserve">a </w:t>
      </w:r>
      <w:r>
        <w:t xml:space="preserve">special session in Geneva from </w:t>
      </w:r>
      <w:r w:rsidR="0072492E">
        <w:t>27</w:t>
      </w:r>
      <w:r w:rsidR="002C348D">
        <w:t xml:space="preserve"> to </w:t>
      </w:r>
      <w:r w:rsidR="0072492E">
        <w:t>29 April 2015</w:t>
      </w:r>
      <w:r>
        <w:t xml:space="preserve">, chaired by </w:t>
      </w:r>
      <w:r w:rsidRPr="009A4885">
        <w:t xml:space="preserve">Mr. Roman </w:t>
      </w:r>
      <w:proofErr w:type="spellStart"/>
      <w:r>
        <w:t>S</w:t>
      </w:r>
      <w:r w:rsidRPr="009A4885">
        <w:t>ymonenko</w:t>
      </w:r>
      <w:proofErr w:type="spellEnd"/>
      <w:r>
        <w:t xml:space="preserve"> (Ukraine). The following United Nations Economic Commission for Europe (UNECE) member States </w:t>
      </w:r>
      <w:proofErr w:type="gramStart"/>
      <w:r>
        <w:t>were</w:t>
      </w:r>
      <w:proofErr w:type="gramEnd"/>
      <w:r>
        <w:t xml:space="preserve"> represented in the meeting: </w:t>
      </w:r>
      <w:r w:rsidR="0072492E">
        <w:t>Azerbaijan,</w:t>
      </w:r>
      <w:r>
        <w:t xml:space="preserve"> Russian Federation</w:t>
      </w:r>
      <w:r w:rsidR="00AA4CE1">
        <w:t>, Spain, Sweden</w:t>
      </w:r>
      <w:r w:rsidR="002C348D">
        <w:t>,</w:t>
      </w:r>
      <w:r w:rsidR="00AA4CE1">
        <w:t xml:space="preserve"> </w:t>
      </w:r>
      <w:r>
        <w:t xml:space="preserve">Switzerland, the former Yugoslav Republic of Macedonia and Ukraine. </w:t>
      </w:r>
    </w:p>
    <w:p w:rsidR="005E701E" w:rsidRDefault="005E701E" w:rsidP="005E701E">
      <w:pPr>
        <w:pStyle w:val="SingleTxtG"/>
      </w:pPr>
      <w:r>
        <w:t>2.</w:t>
      </w:r>
      <w:r>
        <w:tab/>
        <w:t>The following non</w:t>
      </w:r>
      <w:r>
        <w:noBreakHyphen/>
        <w:t xml:space="preserve">governmental organization </w:t>
      </w:r>
      <w:proofErr w:type="gramStart"/>
      <w:r>
        <w:t>w</w:t>
      </w:r>
      <w:r w:rsidR="002C348D">
        <w:t>ere</w:t>
      </w:r>
      <w:proofErr w:type="gramEnd"/>
      <w:r>
        <w:t xml:space="preserve"> also represented: International Road Transport Union (IRU)</w:t>
      </w:r>
      <w:r w:rsidR="00FA1ED3">
        <w:t xml:space="preserve"> and </w:t>
      </w:r>
      <w:r w:rsidR="001E0442">
        <w:t>Continental Automotive GmbH as an observer</w:t>
      </w:r>
      <w:r>
        <w:t xml:space="preserve">. </w:t>
      </w:r>
    </w:p>
    <w:p w:rsidR="003E0888" w:rsidRPr="003E0888" w:rsidRDefault="003E0888" w:rsidP="003E0888">
      <w:pPr>
        <w:pStyle w:val="HChG"/>
      </w:pPr>
      <w:r>
        <w:tab/>
      </w:r>
      <w:r w:rsidRPr="003E0888">
        <w:t>II.</w:t>
      </w:r>
      <w:r w:rsidRPr="003E0888">
        <w:tab/>
        <w:t>Adoption of the Agenda (agenda item 1)</w:t>
      </w:r>
    </w:p>
    <w:p w:rsidR="003E0888" w:rsidRPr="003E0888" w:rsidRDefault="00705482" w:rsidP="003E0888">
      <w:pPr>
        <w:pStyle w:val="SingleTxtG"/>
        <w:rPr>
          <w:rStyle w:val="SingleTxtGChar"/>
        </w:rPr>
      </w:pPr>
      <w:r>
        <w:t>3.</w:t>
      </w:r>
      <w:r>
        <w:tab/>
      </w:r>
      <w:r w:rsidR="003E0888" w:rsidRPr="003E0888">
        <w:t>The Working Party adopted the session’s agenda (</w:t>
      </w:r>
      <w:r w:rsidR="003E0888" w:rsidRPr="003E0888">
        <w:rPr>
          <w:rStyle w:val="SingleTxtGChar"/>
        </w:rPr>
        <w:t>ECE/TRANS/SC.1/S/395) with two additions.  It added a presentation by the European Commission about the “</w:t>
      </w:r>
      <w:proofErr w:type="spellStart"/>
      <w:r w:rsidR="003E0888" w:rsidRPr="003E0888">
        <w:rPr>
          <w:rStyle w:val="SingleTxtGChar"/>
        </w:rPr>
        <w:t>Tachograph</w:t>
      </w:r>
      <w:proofErr w:type="spellEnd"/>
      <w:r w:rsidR="003E0888" w:rsidRPr="003E0888">
        <w:rPr>
          <w:rStyle w:val="SingleTxtGChar"/>
        </w:rPr>
        <w:t xml:space="preserve"> Forum” (Article 43 of Regulation (EU) No 165/2014) under agenda 2(a) and the “dates of next sessions of the AETR Group of Experts” under agenda item 4.</w:t>
      </w:r>
    </w:p>
    <w:p w:rsidR="003E0888" w:rsidRPr="00EA3776" w:rsidRDefault="003E0888" w:rsidP="003E0888">
      <w:pPr>
        <w:pStyle w:val="HChG"/>
      </w:pPr>
      <w:r w:rsidRPr="00EA3776">
        <w:tab/>
      </w:r>
      <w:r>
        <w:t>II</w:t>
      </w:r>
      <w:r w:rsidR="00705482">
        <w:t>I</w:t>
      </w:r>
      <w:r>
        <w:t>.</w:t>
      </w:r>
      <w:r w:rsidRPr="00EA3776">
        <w:tab/>
        <w:t>AETR Agreement</w:t>
      </w:r>
      <w:r>
        <w:t xml:space="preserve"> (agenda item 2)</w:t>
      </w:r>
    </w:p>
    <w:p w:rsidR="003E0888" w:rsidRPr="00EA3776" w:rsidRDefault="003E0888" w:rsidP="003E0888">
      <w:pPr>
        <w:pStyle w:val="H1G"/>
      </w:pPr>
      <w:r w:rsidRPr="00EA3776">
        <w:tab/>
      </w:r>
      <w:r w:rsidR="002C348D">
        <w:t>A.</w:t>
      </w:r>
      <w:r w:rsidRPr="00EA3776">
        <w:tab/>
        <w:t>Activities of interest to the Working Party</w:t>
      </w:r>
    </w:p>
    <w:p w:rsidR="003E0888" w:rsidRPr="003E0888" w:rsidRDefault="00705482" w:rsidP="003E0888">
      <w:pPr>
        <w:pStyle w:val="SingleTxtG"/>
      </w:pPr>
      <w:r>
        <w:t>4.</w:t>
      </w:r>
      <w:r>
        <w:tab/>
      </w:r>
      <w:r w:rsidR="003E0888" w:rsidRPr="003E0888">
        <w:t>The secretariat provided an update on the key decisions of the seventy-seventh session of the Inland Transport Committee</w:t>
      </w:r>
      <w:r w:rsidR="002F339F">
        <w:t xml:space="preserve"> (ITC), including the</w:t>
      </w:r>
      <w:r w:rsidR="003E0888" w:rsidRPr="003E0888">
        <w:t xml:space="preserve"> decision that “the mandate of the Group of Experts on AETR should be recommended for extension in order to continue its work” as well as on the seventy-sixth meeting of the Executive Committee which endorsed the decision</w:t>
      </w:r>
      <w:r w:rsidR="00A01820">
        <w:t xml:space="preserve"> of the ITC</w:t>
      </w:r>
      <w:r w:rsidR="003E0888" w:rsidRPr="003E0888">
        <w:t>.  As a result, the AETR Group of Experts will continue its work until 30 June 2017.</w:t>
      </w:r>
    </w:p>
    <w:p w:rsidR="003E0888" w:rsidRPr="003E0888" w:rsidRDefault="00705482" w:rsidP="003E0888">
      <w:pPr>
        <w:pStyle w:val="SingleTxtG"/>
      </w:pPr>
      <w:r>
        <w:t>5.</w:t>
      </w:r>
      <w:r>
        <w:tab/>
      </w:r>
      <w:r w:rsidR="003E0888" w:rsidRPr="003E0888">
        <w:t xml:space="preserve">The European Commission made a presentation about </w:t>
      </w:r>
      <w:r w:rsidR="00A01820">
        <w:t>establishing</w:t>
      </w:r>
      <w:r w:rsidR="003E0888" w:rsidRPr="003E0888">
        <w:t xml:space="preserve"> the “</w:t>
      </w:r>
      <w:proofErr w:type="spellStart"/>
      <w:r w:rsidR="003E0888" w:rsidRPr="003E0888">
        <w:t>Tachograph</w:t>
      </w:r>
      <w:proofErr w:type="spellEnd"/>
      <w:r w:rsidR="003E0888" w:rsidRPr="003E0888">
        <w:t xml:space="preserve"> Forum” (on the basis of Article 43 of Regulation (EU) No</w:t>
      </w:r>
      <w:r w:rsidR="00A01820">
        <w:t>.</w:t>
      </w:r>
      <w:r w:rsidR="003E0888" w:rsidRPr="003E0888">
        <w:t xml:space="preserve"> 165/2014).  It invited non-EU AETR Contracting Parties and the UNECE secretariat to host some of the “</w:t>
      </w:r>
      <w:proofErr w:type="spellStart"/>
      <w:r w:rsidR="003E0888" w:rsidRPr="003E0888">
        <w:t>Tachograph</w:t>
      </w:r>
      <w:proofErr w:type="spellEnd"/>
      <w:r w:rsidR="003E0888" w:rsidRPr="003E0888">
        <w:t xml:space="preserve"> Forum’s</w:t>
      </w:r>
      <w:r w:rsidR="00DB3422">
        <w:t xml:space="preserve">” sessions in 2016 and beyond. </w:t>
      </w:r>
      <w:r w:rsidR="003E0888" w:rsidRPr="003E0888">
        <w:t>The Working Party unanimously supported the European Commission’s proposal to hold some “</w:t>
      </w:r>
      <w:proofErr w:type="spellStart"/>
      <w:r w:rsidR="00935DBF" w:rsidRPr="003E0888">
        <w:t>Tachograph</w:t>
      </w:r>
      <w:proofErr w:type="spellEnd"/>
      <w:r w:rsidR="00935DBF" w:rsidRPr="003E0888">
        <w:t xml:space="preserve"> Forum’s</w:t>
      </w:r>
      <w:r w:rsidR="003E0888" w:rsidRPr="003E0888">
        <w:t>”</w:t>
      </w:r>
      <w:r w:rsidR="00DB3422">
        <w:t xml:space="preserve"> </w:t>
      </w:r>
      <w:r w:rsidR="003E0888" w:rsidRPr="003E0888">
        <w:t>sessions at the UNECE secretariat in Geneva and invited both the secretariat and the European Commission to begin discussions about the relevant modalities.</w:t>
      </w:r>
    </w:p>
    <w:p w:rsidR="003E0888" w:rsidRPr="00EA3776" w:rsidRDefault="003E0888" w:rsidP="00705482">
      <w:pPr>
        <w:pStyle w:val="H1G"/>
      </w:pPr>
      <w:r w:rsidRPr="00EA3776">
        <w:tab/>
      </w:r>
      <w:r w:rsidR="002F339F">
        <w:t>B.</w:t>
      </w:r>
      <w:r w:rsidRPr="00EA3776">
        <w:tab/>
        <w:t>The Memorandum of Understanding which recognizes the Joint Research Centre as the authority responsible for Root and Interoperability Certification for non-EU AETR Contracting Parties</w:t>
      </w:r>
    </w:p>
    <w:p w:rsidR="003E0888" w:rsidRPr="00705482" w:rsidRDefault="00705482" w:rsidP="003E0888">
      <w:pPr>
        <w:pStyle w:val="SingleTxtG"/>
      </w:pPr>
      <w:r>
        <w:t>6.</w:t>
      </w:r>
      <w:r>
        <w:tab/>
      </w:r>
      <w:r w:rsidR="003E0888" w:rsidRPr="00705482">
        <w:t xml:space="preserve">The Working Party discussed the text of a draft Memorandum of Understanding </w:t>
      </w:r>
      <w:r w:rsidR="00733E52">
        <w:t>(</w:t>
      </w:r>
      <w:proofErr w:type="spellStart"/>
      <w:r w:rsidR="00733E52">
        <w:t>MoU</w:t>
      </w:r>
      <w:proofErr w:type="spellEnd"/>
      <w:r w:rsidR="00733E52">
        <w:t xml:space="preserve">) </w:t>
      </w:r>
      <w:r w:rsidR="003E0888" w:rsidRPr="00705482">
        <w:t xml:space="preserve">The draft Memorandum extends the current </w:t>
      </w:r>
      <w:proofErr w:type="spellStart"/>
      <w:r w:rsidR="003E0888" w:rsidRPr="00705482">
        <w:t>M</w:t>
      </w:r>
      <w:r w:rsidR="003343EA">
        <w:t>o</w:t>
      </w:r>
      <w:r w:rsidR="003E0888" w:rsidRPr="00705482">
        <w:t>U</w:t>
      </w:r>
      <w:proofErr w:type="spellEnd"/>
      <w:r w:rsidR="003E0888" w:rsidRPr="00705482">
        <w:t xml:space="preserve"> until 30 June 2017. The Working Party adopted the draft MOU and requested the secretariat to</w:t>
      </w:r>
      <w:r w:rsidR="003E0888">
        <w:rPr>
          <w:sz w:val="28"/>
          <w:szCs w:val="28"/>
        </w:rPr>
        <w:t xml:space="preserve"> </w:t>
      </w:r>
      <w:r w:rsidR="003E0888" w:rsidRPr="00705482">
        <w:t>finalize it, commence the signature procedure and table the signed MOU (for information only) at the next AETR Group of Experts meeting.</w:t>
      </w:r>
    </w:p>
    <w:p w:rsidR="003E0888" w:rsidRPr="00EA3776" w:rsidRDefault="003E0888" w:rsidP="00705482">
      <w:pPr>
        <w:pStyle w:val="H1G"/>
      </w:pPr>
      <w:r w:rsidRPr="00EA3776">
        <w:lastRenderedPageBreak/>
        <w:tab/>
      </w:r>
      <w:r w:rsidR="00733E52">
        <w:t>C.</w:t>
      </w:r>
      <w:r w:rsidRPr="00EA3776">
        <w:tab/>
        <w:t>Proposed amendment to Article 14 of the AETR</w:t>
      </w:r>
    </w:p>
    <w:p w:rsidR="003E0888" w:rsidRPr="00705482" w:rsidRDefault="00705482" w:rsidP="00705482">
      <w:pPr>
        <w:pStyle w:val="SingleTxtG"/>
      </w:pPr>
      <w:r>
        <w:t>7.</w:t>
      </w:r>
      <w:r>
        <w:tab/>
      </w:r>
      <w:r w:rsidR="003E0888" w:rsidRPr="00705482">
        <w:t>The secretariat informed the Working Party about depositary notification (C.N136.2015.TREATIES-XII.B.21) concerning an amendment proposal to Article 14 of the AETR Agreement.  The depositary notification was issued by the United Nations Secretary-General on 18 February 2015 and AETR Contracting Parties will have six months (from the date of issuance) to inform the Secretary-General of their decision.</w:t>
      </w:r>
    </w:p>
    <w:p w:rsidR="003E0888" w:rsidRPr="00EA3776" w:rsidRDefault="003E0888" w:rsidP="00705482">
      <w:pPr>
        <w:pStyle w:val="H1G"/>
      </w:pPr>
      <w:r w:rsidRPr="00EA3776">
        <w:tab/>
      </w:r>
      <w:r w:rsidR="00733E52">
        <w:t>D.</w:t>
      </w:r>
      <w:r w:rsidRPr="00EA3776">
        <w:tab/>
        <w:t xml:space="preserve">Digital </w:t>
      </w:r>
      <w:proofErr w:type="spellStart"/>
      <w:r w:rsidRPr="00EA3776">
        <w:t>tachographs</w:t>
      </w:r>
      <w:proofErr w:type="spellEnd"/>
      <w:r w:rsidRPr="00EA3776">
        <w:t>: Costs of installation and maintenance</w:t>
      </w:r>
    </w:p>
    <w:p w:rsidR="003E0888" w:rsidRPr="00705482" w:rsidRDefault="00705482" w:rsidP="00705482">
      <w:pPr>
        <w:pStyle w:val="SingleTxtG"/>
      </w:pPr>
      <w:r>
        <w:t>8.</w:t>
      </w:r>
      <w:r>
        <w:tab/>
      </w:r>
      <w:r w:rsidR="003E0888" w:rsidRPr="00705482">
        <w:t xml:space="preserve">The Working Party thanked Continental Corporation for delivering a presentation about “Efforts of installation and maintenance of digital </w:t>
      </w:r>
      <w:proofErr w:type="spellStart"/>
      <w:r w:rsidR="003E0888" w:rsidRPr="00705482">
        <w:t>tachographs</w:t>
      </w:r>
      <w:proofErr w:type="spellEnd"/>
      <w:r w:rsidR="003E0888" w:rsidRPr="00705482">
        <w:t xml:space="preserve">”. The SC.1 Chair indicated that the issue of the financial costs of installation maintenance of digital </w:t>
      </w:r>
      <w:proofErr w:type="spellStart"/>
      <w:r w:rsidR="003E0888" w:rsidRPr="00705482">
        <w:t>tachographs</w:t>
      </w:r>
      <w:proofErr w:type="spellEnd"/>
      <w:r w:rsidR="003E0888" w:rsidRPr="00705482">
        <w:t xml:space="preserve"> will be discussed at future sessions of the AETR </w:t>
      </w:r>
      <w:r w:rsidR="00EC56A0">
        <w:t xml:space="preserve">Group </w:t>
      </w:r>
      <w:r w:rsidR="008C0540">
        <w:t xml:space="preserve">of </w:t>
      </w:r>
      <w:r w:rsidR="008C0540" w:rsidRPr="00705482">
        <w:t>Expert</w:t>
      </w:r>
      <w:r w:rsidR="008C0540">
        <w:t>s</w:t>
      </w:r>
    </w:p>
    <w:p w:rsidR="003E0888" w:rsidRPr="00EA3776" w:rsidRDefault="003E0888" w:rsidP="003E0888">
      <w:pPr>
        <w:pStyle w:val="H1G"/>
        <w:rPr>
          <w:sz w:val="28"/>
          <w:szCs w:val="28"/>
        </w:rPr>
      </w:pPr>
      <w:r w:rsidRPr="00EA3776">
        <w:rPr>
          <w:sz w:val="28"/>
          <w:szCs w:val="28"/>
        </w:rPr>
        <w:tab/>
      </w:r>
      <w:r w:rsidR="00705482">
        <w:rPr>
          <w:sz w:val="28"/>
          <w:szCs w:val="28"/>
        </w:rPr>
        <w:t>IV.</w:t>
      </w:r>
      <w:r w:rsidRPr="00EA3776">
        <w:rPr>
          <w:sz w:val="28"/>
          <w:szCs w:val="28"/>
        </w:rPr>
        <w:tab/>
        <w:t>Proposal for a global multilateral agreement on the international regular transport of passengers by coach and bus (</w:t>
      </w:r>
      <w:proofErr w:type="spellStart"/>
      <w:r w:rsidRPr="00EA3776">
        <w:rPr>
          <w:sz w:val="28"/>
          <w:szCs w:val="28"/>
        </w:rPr>
        <w:t>OmniBUS</w:t>
      </w:r>
      <w:proofErr w:type="spellEnd"/>
      <w:r w:rsidRPr="00EA3776">
        <w:rPr>
          <w:sz w:val="28"/>
          <w:szCs w:val="28"/>
        </w:rPr>
        <w:t>)</w:t>
      </w:r>
      <w:r w:rsidR="00705482">
        <w:rPr>
          <w:sz w:val="28"/>
          <w:szCs w:val="28"/>
        </w:rPr>
        <w:t xml:space="preserve"> (agenda item 3)</w:t>
      </w:r>
    </w:p>
    <w:p w:rsidR="003E0888" w:rsidRPr="00705482" w:rsidRDefault="00705482" w:rsidP="00705482">
      <w:pPr>
        <w:pStyle w:val="SingleTxtG"/>
      </w:pPr>
      <w:r>
        <w:t>9.</w:t>
      </w:r>
      <w:r>
        <w:tab/>
      </w:r>
      <w:r w:rsidR="003E0888" w:rsidRPr="00705482">
        <w:t>The Working Party continued discussing the text of a draft Omnibus agreement.  As a result, only Article 25, Article 30 and parts of Annex VI remain to be agreed upon.  The secretariat was requested to edit the text for English, verify cross referenc</w:t>
      </w:r>
      <w:r w:rsidR="008C0540">
        <w:t>es</w:t>
      </w:r>
      <w:r w:rsidR="003E0888" w:rsidRPr="00705482">
        <w:t xml:space="preserve"> and submit the text for translation into French and Russian with the aim of having the formal document (in </w:t>
      </w:r>
      <w:r w:rsidR="00EC56A0">
        <w:t xml:space="preserve">the </w:t>
      </w:r>
      <w:r w:rsidR="003E0888" w:rsidRPr="00705482">
        <w:t>three official UNECE languages) tabled at the next SC.1 session.</w:t>
      </w:r>
    </w:p>
    <w:p w:rsidR="003E0888" w:rsidRPr="00EA3776" w:rsidRDefault="003E0888" w:rsidP="00705482">
      <w:pPr>
        <w:pStyle w:val="HChG"/>
      </w:pPr>
      <w:r w:rsidRPr="00EA3776">
        <w:tab/>
      </w:r>
      <w:r w:rsidR="00705482">
        <w:t>V</w:t>
      </w:r>
      <w:r w:rsidRPr="00EA3776">
        <w:t>.</w:t>
      </w:r>
      <w:r w:rsidRPr="00EA3776">
        <w:tab/>
        <w:t>Other business</w:t>
      </w:r>
    </w:p>
    <w:p w:rsidR="003E0888" w:rsidRPr="00705482" w:rsidRDefault="00705482" w:rsidP="00705482">
      <w:pPr>
        <w:pStyle w:val="SingleTxtG"/>
      </w:pPr>
      <w:r>
        <w:t>10.</w:t>
      </w:r>
      <w:r>
        <w:tab/>
      </w:r>
      <w:r w:rsidR="003E0888" w:rsidRPr="00705482">
        <w:t xml:space="preserve">The Working Party was informed that the next SC.1 session is scheduled from the afternoon of 26 October (starting at </w:t>
      </w:r>
      <w:r w:rsidR="00EC56A0">
        <w:t>2</w:t>
      </w:r>
      <w:r w:rsidR="00EF73C3">
        <w:t>.</w:t>
      </w:r>
      <w:r w:rsidR="003E0888" w:rsidRPr="00705482">
        <w:t>30</w:t>
      </w:r>
      <w:r w:rsidR="00EC56A0">
        <w:t>pm</w:t>
      </w:r>
      <w:r w:rsidR="003E0888" w:rsidRPr="00705482">
        <w:t>) to 28 October 2015 in Geneva preceded by an AETR Expert Group meeting on the morning of 26 October 2015 (9.30-12.30) also in Geneva.</w:t>
      </w:r>
      <w:r>
        <w:t xml:space="preserve"> </w:t>
      </w:r>
    </w:p>
    <w:p w:rsidR="003E0888" w:rsidRPr="00705482" w:rsidRDefault="00705482" w:rsidP="00705482">
      <w:pPr>
        <w:pStyle w:val="SingleTxtG"/>
      </w:pPr>
      <w:r>
        <w:t>11.</w:t>
      </w:r>
      <w:r>
        <w:tab/>
      </w:r>
      <w:r w:rsidR="003E0888" w:rsidRPr="00705482">
        <w:t>SC.1 decided to cancel the session of the AETR Group of Experts scheduled for 13 July 2015.</w:t>
      </w:r>
    </w:p>
    <w:p w:rsidR="003E0888" w:rsidRPr="00EA3776" w:rsidRDefault="003E0888" w:rsidP="00705482">
      <w:pPr>
        <w:pStyle w:val="HChG"/>
      </w:pPr>
      <w:r w:rsidRPr="00EA3776">
        <w:tab/>
      </w:r>
      <w:r w:rsidR="00705482">
        <w:t>VI</w:t>
      </w:r>
      <w:r w:rsidRPr="00EA3776">
        <w:t>.</w:t>
      </w:r>
      <w:r w:rsidRPr="00EA3776">
        <w:tab/>
        <w:t>Adoption of decisions</w:t>
      </w:r>
    </w:p>
    <w:p w:rsidR="003E0888" w:rsidRPr="00705482" w:rsidRDefault="00705482" w:rsidP="00705482">
      <w:pPr>
        <w:pStyle w:val="SingleTxtG"/>
      </w:pPr>
      <w:r>
        <w:t>12.</w:t>
      </w:r>
      <w:r>
        <w:tab/>
      </w:r>
      <w:r w:rsidR="003E0888" w:rsidRPr="00705482">
        <w:t>The Working Party adopted the report of this special SC.1 session.</w:t>
      </w:r>
    </w:p>
    <w:p w:rsidR="003E0888" w:rsidRPr="00705482" w:rsidRDefault="00705482" w:rsidP="007054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01E" w:rsidRPr="005E701E" w:rsidRDefault="005E701E" w:rsidP="005E701E"/>
    <w:p w:rsidR="00340973" w:rsidRPr="00E434E7" w:rsidRDefault="00340973" w:rsidP="005E701E">
      <w:pPr>
        <w:pStyle w:val="HChG"/>
      </w:pPr>
      <w:r>
        <w:tab/>
      </w:r>
    </w:p>
    <w:p w:rsidR="00340973" w:rsidRPr="0039062E" w:rsidRDefault="00340973" w:rsidP="0034097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before="120" w:line="240" w:lineRule="auto"/>
      </w:pPr>
    </w:p>
    <w:sectPr w:rsidR="00340973" w:rsidRPr="0039062E" w:rsidSect="00716B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77" w:rsidRDefault="00716B77"/>
  </w:endnote>
  <w:endnote w:type="continuationSeparator" w:id="0">
    <w:p w:rsidR="00716B77" w:rsidRDefault="00716B77"/>
  </w:endnote>
  <w:endnote w:type="continuationNotice" w:id="1">
    <w:p w:rsidR="00716B77" w:rsidRDefault="00716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7" w:rsidRPr="00716B77" w:rsidRDefault="00716B77" w:rsidP="00716B77">
    <w:pPr>
      <w:pStyle w:val="Footer"/>
      <w:tabs>
        <w:tab w:val="right" w:pos="9638"/>
      </w:tabs>
      <w:rPr>
        <w:sz w:val="18"/>
      </w:rPr>
    </w:pPr>
    <w:r w:rsidRPr="00716B77">
      <w:rPr>
        <w:b/>
        <w:sz w:val="18"/>
      </w:rPr>
      <w:fldChar w:fldCharType="begin"/>
    </w:r>
    <w:r w:rsidRPr="00716B77">
      <w:rPr>
        <w:b/>
        <w:sz w:val="18"/>
      </w:rPr>
      <w:instrText xml:space="preserve"> PAGE  \* MERGEFORMAT </w:instrText>
    </w:r>
    <w:r w:rsidRPr="00716B77">
      <w:rPr>
        <w:b/>
        <w:sz w:val="18"/>
      </w:rPr>
      <w:fldChar w:fldCharType="separate"/>
    </w:r>
    <w:r w:rsidR="003517F2">
      <w:rPr>
        <w:b/>
        <w:noProof/>
        <w:sz w:val="18"/>
      </w:rPr>
      <w:t>2</w:t>
    </w:r>
    <w:r w:rsidRPr="00716B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7" w:rsidRPr="00716B77" w:rsidRDefault="00716B77" w:rsidP="00716B77">
    <w:pPr>
      <w:pStyle w:val="Footer"/>
      <w:tabs>
        <w:tab w:val="right" w:pos="9638"/>
      </w:tabs>
      <w:rPr>
        <w:b/>
        <w:sz w:val="18"/>
      </w:rPr>
    </w:pPr>
    <w:r>
      <w:tab/>
    </w:r>
    <w:r w:rsidRPr="00716B77">
      <w:rPr>
        <w:b/>
        <w:sz w:val="18"/>
      </w:rPr>
      <w:fldChar w:fldCharType="begin"/>
    </w:r>
    <w:r w:rsidRPr="00716B77">
      <w:rPr>
        <w:b/>
        <w:sz w:val="18"/>
      </w:rPr>
      <w:instrText xml:space="preserve"> PAGE  \* MERGEFORMAT </w:instrText>
    </w:r>
    <w:r w:rsidRPr="00716B77">
      <w:rPr>
        <w:b/>
        <w:sz w:val="18"/>
      </w:rPr>
      <w:fldChar w:fldCharType="separate"/>
    </w:r>
    <w:r w:rsidR="003517F2">
      <w:rPr>
        <w:b/>
        <w:noProof/>
        <w:sz w:val="18"/>
      </w:rPr>
      <w:t>3</w:t>
    </w:r>
    <w:r w:rsidRPr="00716B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28" w:rsidRPr="00716B77" w:rsidRDefault="007B601A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77">
      <w:rPr>
        <w:sz w:val="20"/>
      </w:rPr>
      <w:t>GE.</w:t>
    </w:r>
    <w:r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77" w:rsidRPr="000B175B" w:rsidRDefault="00716B7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6B77" w:rsidRPr="00FC68B7" w:rsidRDefault="00716B7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6B77" w:rsidRDefault="00716B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7" w:rsidRPr="00716B77" w:rsidRDefault="00716B77">
    <w:pPr>
      <w:pStyle w:val="Header"/>
    </w:pPr>
    <w:r>
      <w:t>ECE/TRANS/SC.1/S/396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77" w:rsidRPr="00716B77" w:rsidRDefault="00716B77" w:rsidP="00716B77">
    <w:pPr>
      <w:pStyle w:val="Header"/>
      <w:jc w:val="right"/>
    </w:pPr>
    <w:r>
      <w:t>ECE/TRANS/SC.1/S/396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01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359D7"/>
    <w:rsid w:val="001639A2"/>
    <w:rsid w:val="00165F3A"/>
    <w:rsid w:val="0017462F"/>
    <w:rsid w:val="001B4B04"/>
    <w:rsid w:val="001C6663"/>
    <w:rsid w:val="001C7895"/>
    <w:rsid w:val="001D0C8C"/>
    <w:rsid w:val="001D1419"/>
    <w:rsid w:val="001D26DF"/>
    <w:rsid w:val="001D3A03"/>
    <w:rsid w:val="001E0442"/>
    <w:rsid w:val="001E2797"/>
    <w:rsid w:val="001E7B67"/>
    <w:rsid w:val="00202DA8"/>
    <w:rsid w:val="00211E0B"/>
    <w:rsid w:val="0024772E"/>
    <w:rsid w:val="00267F5F"/>
    <w:rsid w:val="00286B4D"/>
    <w:rsid w:val="002C348D"/>
    <w:rsid w:val="002D4643"/>
    <w:rsid w:val="002E702A"/>
    <w:rsid w:val="002F175C"/>
    <w:rsid w:val="002F339F"/>
    <w:rsid w:val="00302E18"/>
    <w:rsid w:val="003229D8"/>
    <w:rsid w:val="003343EA"/>
    <w:rsid w:val="00340973"/>
    <w:rsid w:val="003517F2"/>
    <w:rsid w:val="00352709"/>
    <w:rsid w:val="003619B5"/>
    <w:rsid w:val="00365763"/>
    <w:rsid w:val="00371178"/>
    <w:rsid w:val="0039062E"/>
    <w:rsid w:val="00392E47"/>
    <w:rsid w:val="003A6810"/>
    <w:rsid w:val="003B1C0B"/>
    <w:rsid w:val="003C217C"/>
    <w:rsid w:val="003C2CC4"/>
    <w:rsid w:val="003D1847"/>
    <w:rsid w:val="003D4B23"/>
    <w:rsid w:val="003E0888"/>
    <w:rsid w:val="003E130E"/>
    <w:rsid w:val="00410C89"/>
    <w:rsid w:val="00422E03"/>
    <w:rsid w:val="00426B9B"/>
    <w:rsid w:val="004325CB"/>
    <w:rsid w:val="00432DFE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56970"/>
    <w:rsid w:val="005628B6"/>
    <w:rsid w:val="00592635"/>
    <w:rsid w:val="005941EC"/>
    <w:rsid w:val="0059724D"/>
    <w:rsid w:val="005B3DB3"/>
    <w:rsid w:val="005B4E13"/>
    <w:rsid w:val="005C342F"/>
    <w:rsid w:val="005C4CF0"/>
    <w:rsid w:val="005E701E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A2530"/>
    <w:rsid w:val="006B58CA"/>
    <w:rsid w:val="006C3589"/>
    <w:rsid w:val="006D37AF"/>
    <w:rsid w:val="006D51D0"/>
    <w:rsid w:val="006D5FB9"/>
    <w:rsid w:val="006E564B"/>
    <w:rsid w:val="006E7191"/>
    <w:rsid w:val="00703577"/>
    <w:rsid w:val="007048FD"/>
    <w:rsid w:val="00705482"/>
    <w:rsid w:val="00705894"/>
    <w:rsid w:val="00716B77"/>
    <w:rsid w:val="0072492E"/>
    <w:rsid w:val="0072632A"/>
    <w:rsid w:val="00726728"/>
    <w:rsid w:val="007327D5"/>
    <w:rsid w:val="00733E52"/>
    <w:rsid w:val="007629C8"/>
    <w:rsid w:val="0077047D"/>
    <w:rsid w:val="007B601A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71CAB"/>
    <w:rsid w:val="00877591"/>
    <w:rsid w:val="008878DE"/>
    <w:rsid w:val="008979B1"/>
    <w:rsid w:val="008A6B25"/>
    <w:rsid w:val="008A6C4F"/>
    <w:rsid w:val="008B2335"/>
    <w:rsid w:val="008C0540"/>
    <w:rsid w:val="008C4401"/>
    <w:rsid w:val="008D606D"/>
    <w:rsid w:val="008E0678"/>
    <w:rsid w:val="008F31D2"/>
    <w:rsid w:val="00917FDE"/>
    <w:rsid w:val="009223CA"/>
    <w:rsid w:val="0093024C"/>
    <w:rsid w:val="00935DBF"/>
    <w:rsid w:val="00940F93"/>
    <w:rsid w:val="009760F3"/>
    <w:rsid w:val="00976CFB"/>
    <w:rsid w:val="009A0830"/>
    <w:rsid w:val="009A0E8D"/>
    <w:rsid w:val="009B26E7"/>
    <w:rsid w:val="009F524E"/>
    <w:rsid w:val="00A00697"/>
    <w:rsid w:val="00A00A3F"/>
    <w:rsid w:val="00A01489"/>
    <w:rsid w:val="00A01820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0A9C"/>
    <w:rsid w:val="00A94361"/>
    <w:rsid w:val="00AA293C"/>
    <w:rsid w:val="00AA4CE1"/>
    <w:rsid w:val="00B23327"/>
    <w:rsid w:val="00B24485"/>
    <w:rsid w:val="00B26E22"/>
    <w:rsid w:val="00B30179"/>
    <w:rsid w:val="00B421C1"/>
    <w:rsid w:val="00B55C71"/>
    <w:rsid w:val="00B56E4A"/>
    <w:rsid w:val="00B56E9C"/>
    <w:rsid w:val="00B64B1F"/>
    <w:rsid w:val="00B6553F"/>
    <w:rsid w:val="00B71847"/>
    <w:rsid w:val="00B77D05"/>
    <w:rsid w:val="00B81206"/>
    <w:rsid w:val="00B81E12"/>
    <w:rsid w:val="00BA404C"/>
    <w:rsid w:val="00BC3FA0"/>
    <w:rsid w:val="00BC74E9"/>
    <w:rsid w:val="00BE1751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7EEA"/>
    <w:rsid w:val="00D773DF"/>
    <w:rsid w:val="00D95303"/>
    <w:rsid w:val="00D978C6"/>
    <w:rsid w:val="00DA3C1C"/>
    <w:rsid w:val="00DB3422"/>
    <w:rsid w:val="00DE3D59"/>
    <w:rsid w:val="00E046DF"/>
    <w:rsid w:val="00E27346"/>
    <w:rsid w:val="00E3412C"/>
    <w:rsid w:val="00E71BC8"/>
    <w:rsid w:val="00E7260F"/>
    <w:rsid w:val="00E73F5D"/>
    <w:rsid w:val="00E77E4E"/>
    <w:rsid w:val="00E96630"/>
    <w:rsid w:val="00EC56A0"/>
    <w:rsid w:val="00ED7A2A"/>
    <w:rsid w:val="00EF1D7F"/>
    <w:rsid w:val="00EF73C3"/>
    <w:rsid w:val="00F31E5F"/>
    <w:rsid w:val="00F6100A"/>
    <w:rsid w:val="00F93781"/>
    <w:rsid w:val="00FA1ED3"/>
    <w:rsid w:val="00FA7D6D"/>
    <w:rsid w:val="00FB613B"/>
    <w:rsid w:val="00FC68B7"/>
    <w:rsid w:val="00FD3F98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B23327"/>
    <w:rPr>
      <w:b/>
      <w:sz w:val="24"/>
      <w:lang w:eastAsia="en-US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409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B23327"/>
    <w:rPr>
      <w:b/>
      <w:sz w:val="24"/>
      <w:lang w:eastAsia="en-US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3409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iku\AppData\Roaming\Microsoft\Templates\TRANS\TRANS_WP11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TRANS_WP11_E</Template>
  <TotalTime>267</TotalTime>
  <Pages>3</Pages>
  <Words>909</Words>
  <Characters>4886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Josephine Ayiku</dc:creator>
  <cp:lastModifiedBy>Josephine Ayiku</cp:lastModifiedBy>
  <cp:revision>41</cp:revision>
  <cp:lastPrinted>2015-05-06T13:36:00Z</cp:lastPrinted>
  <dcterms:created xsi:type="dcterms:W3CDTF">2015-05-01T13:16:00Z</dcterms:created>
  <dcterms:modified xsi:type="dcterms:W3CDTF">2015-05-07T08:35:00Z</dcterms:modified>
</cp:coreProperties>
</file>