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924BC5">
                <w:t>TRANS/WP.15/AC.2/2015/32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D80A4F">
        <w:trPr>
          <w:trHeight w:val="2777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202834" wp14:editId="47B30EC2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42E2E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924BC5">
                <w:t>2 June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42E2E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F3115" w:rsidRPr="001F3115" w:rsidRDefault="001F3115" w:rsidP="001F3115">
      <w:pPr>
        <w:spacing w:before="120" w:line="240" w:lineRule="auto"/>
        <w:rPr>
          <w:sz w:val="28"/>
          <w:szCs w:val="28"/>
          <w:lang w:val="en-US"/>
        </w:rPr>
      </w:pPr>
      <w:r w:rsidRPr="001F3115">
        <w:rPr>
          <w:sz w:val="28"/>
          <w:szCs w:val="28"/>
          <w:lang w:val="en-US"/>
        </w:rPr>
        <w:t>Комитет по внутреннему транспорту</w:t>
      </w:r>
    </w:p>
    <w:p w:rsidR="001F3115" w:rsidRPr="001F3115" w:rsidRDefault="001F3115" w:rsidP="001F3115">
      <w:pPr>
        <w:spacing w:before="120" w:line="240" w:lineRule="auto"/>
        <w:rPr>
          <w:b/>
          <w:sz w:val="24"/>
          <w:szCs w:val="24"/>
        </w:rPr>
      </w:pPr>
      <w:r w:rsidRPr="001F3115">
        <w:rPr>
          <w:b/>
          <w:sz w:val="24"/>
          <w:szCs w:val="24"/>
        </w:rPr>
        <w:t>Рабочая группа по перевозкам опасных грузов</w:t>
      </w:r>
    </w:p>
    <w:p w:rsidR="001F3115" w:rsidRPr="001F3115" w:rsidRDefault="001F3115" w:rsidP="001F3115">
      <w:pPr>
        <w:spacing w:before="120" w:line="240" w:lineRule="auto"/>
        <w:rPr>
          <w:b/>
        </w:rPr>
      </w:pPr>
      <w:r w:rsidRPr="001F3115">
        <w:rPr>
          <w:b/>
        </w:rPr>
        <w:t xml:space="preserve">Совместное совещание экспертов по Правилам, </w:t>
      </w:r>
      <w:r w:rsidRPr="001F3115">
        <w:rPr>
          <w:b/>
        </w:rPr>
        <w:br/>
        <w:t xml:space="preserve">прилагаемым к Европейскому соглашению </w:t>
      </w:r>
      <w:r>
        <w:rPr>
          <w:b/>
          <w:lang w:val="en-US"/>
        </w:rPr>
        <w:br/>
      </w:r>
      <w:r w:rsidRPr="001F3115">
        <w:rPr>
          <w:b/>
        </w:rPr>
        <w:t xml:space="preserve">о международной перевозке опасных грузов </w:t>
      </w:r>
      <w:r w:rsidRPr="001F3115">
        <w:rPr>
          <w:b/>
        </w:rPr>
        <w:br/>
        <w:t xml:space="preserve">по внутренним водным путям (ВОПОГ) </w:t>
      </w:r>
      <w:r w:rsidRPr="001F3115">
        <w:rPr>
          <w:b/>
        </w:rPr>
        <w:br/>
        <w:t>(Комитет по вопросам безопасности ВОПОГ)</w:t>
      </w:r>
    </w:p>
    <w:p w:rsidR="001F3115" w:rsidRPr="001F3115" w:rsidRDefault="001F3115" w:rsidP="001F3115">
      <w:pPr>
        <w:spacing w:before="120" w:line="240" w:lineRule="auto"/>
        <w:rPr>
          <w:b/>
        </w:rPr>
      </w:pPr>
      <w:r w:rsidRPr="001F3115">
        <w:rPr>
          <w:b/>
        </w:rPr>
        <w:t>Двадцать седьмая сессия</w:t>
      </w:r>
    </w:p>
    <w:p w:rsidR="001F3115" w:rsidRPr="001F3115" w:rsidRDefault="001F3115" w:rsidP="001F3115">
      <w:pPr>
        <w:spacing w:line="240" w:lineRule="auto"/>
      </w:pPr>
      <w:r w:rsidRPr="001F3115">
        <w:t>Женева, 24−28 августа 2015 года</w:t>
      </w:r>
    </w:p>
    <w:p w:rsidR="001F3115" w:rsidRPr="001F3115" w:rsidRDefault="001F3115" w:rsidP="001F3115">
      <w:pPr>
        <w:spacing w:line="240" w:lineRule="auto"/>
      </w:pPr>
      <w:r w:rsidRPr="001F3115">
        <w:t xml:space="preserve">Пункты 3 с) и 4 </w:t>
      </w:r>
      <w:r w:rsidRPr="001F3115">
        <w:rPr>
          <w:lang w:val="en-US"/>
        </w:rPr>
        <w:t>b</w:t>
      </w:r>
      <w:r w:rsidRPr="001F3115">
        <w:t>) предварительной повестки дня</w:t>
      </w:r>
    </w:p>
    <w:p w:rsidR="001F3115" w:rsidRPr="001F3115" w:rsidRDefault="001F3115" w:rsidP="001F3115">
      <w:pPr>
        <w:spacing w:line="240" w:lineRule="auto"/>
        <w:rPr>
          <w:b/>
        </w:rPr>
      </w:pPr>
      <w:r w:rsidRPr="001F3115">
        <w:rPr>
          <w:b/>
        </w:rPr>
        <w:t xml:space="preserve">Применение ВОПОГ: </w:t>
      </w:r>
      <w:r w:rsidR="00C86353">
        <w:rPr>
          <w:b/>
        </w:rPr>
        <w:br/>
      </w:r>
      <w:r w:rsidRPr="001F3115">
        <w:rPr>
          <w:b/>
        </w:rPr>
        <w:t>Толкование Правил, прилагаемых к ВОПОГ</w:t>
      </w:r>
    </w:p>
    <w:p w:rsidR="001F3115" w:rsidRPr="001F3115" w:rsidRDefault="001F3115" w:rsidP="001F3115">
      <w:pPr>
        <w:spacing w:line="240" w:lineRule="auto"/>
        <w:rPr>
          <w:b/>
        </w:rPr>
      </w:pPr>
      <w:r w:rsidRPr="001F3115">
        <w:rPr>
          <w:b/>
        </w:rPr>
        <w:t>и</w:t>
      </w:r>
    </w:p>
    <w:p w:rsidR="001F3115" w:rsidRPr="001F3115" w:rsidRDefault="001F3115" w:rsidP="001F3115">
      <w:pPr>
        <w:spacing w:line="240" w:lineRule="auto"/>
        <w:rPr>
          <w:b/>
        </w:rPr>
      </w:pPr>
      <w:r w:rsidRPr="001F3115">
        <w:rPr>
          <w:b/>
        </w:rPr>
        <w:t xml:space="preserve">Предложения о внесении поправок в Правила, </w:t>
      </w:r>
      <w:r w:rsidRPr="001F3115">
        <w:rPr>
          <w:b/>
        </w:rPr>
        <w:br/>
        <w:t>прилагаемые к ВОПОГ:</w:t>
      </w:r>
    </w:p>
    <w:p w:rsidR="001F3115" w:rsidRPr="001F3115" w:rsidRDefault="001F3115" w:rsidP="001F3115">
      <w:pPr>
        <w:spacing w:line="240" w:lineRule="auto"/>
        <w:rPr>
          <w:b/>
        </w:rPr>
      </w:pPr>
      <w:r w:rsidRPr="001F3115">
        <w:rPr>
          <w:b/>
        </w:rPr>
        <w:t>Другие предложения</w:t>
      </w:r>
    </w:p>
    <w:p w:rsidR="001F3115" w:rsidRPr="001F3115" w:rsidRDefault="001F3115" w:rsidP="001F3115">
      <w:pPr>
        <w:pStyle w:val="HChGR"/>
      </w:pPr>
      <w:r w:rsidRPr="001F3115">
        <w:tab/>
      </w:r>
      <w:r w:rsidRPr="001F3115">
        <w:tab/>
        <w:t xml:space="preserve">Национальные толкования – ответ на документ </w:t>
      </w:r>
      <w:r w:rsidRPr="001F3115">
        <w:rPr>
          <w:lang w:val="en-US"/>
        </w:rPr>
        <w:t>ECE</w:t>
      </w:r>
      <w:r w:rsidRPr="001F3115">
        <w:t>/</w:t>
      </w:r>
      <w:r w:rsidRPr="001F3115">
        <w:rPr>
          <w:lang w:val="en-US"/>
        </w:rPr>
        <w:t>TRANS</w:t>
      </w:r>
      <w:r w:rsidRPr="001F3115">
        <w:t>/</w:t>
      </w:r>
      <w:r w:rsidRPr="001F3115">
        <w:rPr>
          <w:lang w:val="en-US"/>
        </w:rPr>
        <w:t>WP</w:t>
      </w:r>
      <w:r w:rsidRPr="001F3115">
        <w:t>.15/</w:t>
      </w:r>
      <w:r w:rsidRPr="001F3115">
        <w:rPr>
          <w:lang w:val="en-US"/>
        </w:rPr>
        <w:t>AC</w:t>
      </w:r>
      <w:r w:rsidRPr="001F3115">
        <w:t>.2/2015/18</w:t>
      </w:r>
    </w:p>
    <w:p w:rsidR="001F3115" w:rsidRPr="001F3115" w:rsidRDefault="001F3115" w:rsidP="001F3115">
      <w:pPr>
        <w:pStyle w:val="H1GR"/>
        <w:rPr>
          <w:lang w:val="en-US"/>
        </w:rPr>
      </w:pPr>
      <w:r w:rsidRPr="001F3115">
        <w:tab/>
      </w:r>
      <w:r w:rsidRPr="001F3115">
        <w:tab/>
        <w:t>Предст</w:t>
      </w:r>
      <w:r>
        <w:t>авлено правительством Германии</w:t>
      </w:r>
      <w:r w:rsidRPr="00D80A4F">
        <w:rPr>
          <w:rStyle w:val="FootnoteReference"/>
          <w:b w:val="0"/>
        </w:rPr>
        <w:footnoteReference w:id="1"/>
      </w:r>
    </w:p>
    <w:p w:rsidR="001F3115" w:rsidRPr="001F3115" w:rsidRDefault="001F3115" w:rsidP="001F3115">
      <w:pPr>
        <w:pStyle w:val="HChGR"/>
      </w:pPr>
      <w:r w:rsidRPr="001F3115">
        <w:tab/>
      </w:r>
      <w:r w:rsidRPr="001F3115">
        <w:tab/>
        <w:t>Введение</w:t>
      </w:r>
    </w:p>
    <w:p w:rsidR="001F3115" w:rsidRPr="001F3115" w:rsidRDefault="001F3115" w:rsidP="001F3115">
      <w:pPr>
        <w:pStyle w:val="SingleTxtGR"/>
      </w:pPr>
      <w:r w:rsidRPr="001F3115">
        <w:t>1.</w:t>
      </w:r>
      <w:r w:rsidRPr="001F3115">
        <w:tab/>
        <w:t xml:space="preserve">В документе </w:t>
      </w:r>
      <w:r w:rsidRPr="001F3115">
        <w:rPr>
          <w:lang w:val="en-US"/>
        </w:rPr>
        <w:t>ECE</w:t>
      </w:r>
      <w:r w:rsidRPr="001F3115">
        <w:t>/</w:t>
      </w:r>
      <w:r w:rsidRPr="001F3115">
        <w:rPr>
          <w:lang w:val="en-US"/>
        </w:rPr>
        <w:t>TRANS</w:t>
      </w:r>
      <w:r w:rsidRPr="001F3115">
        <w:t>/</w:t>
      </w:r>
      <w:r w:rsidRPr="001F3115">
        <w:rPr>
          <w:lang w:val="en-US"/>
        </w:rPr>
        <w:t>WP</w:t>
      </w:r>
      <w:r w:rsidRPr="001F3115">
        <w:t>.15/</w:t>
      </w:r>
      <w:r w:rsidRPr="001F3115">
        <w:rPr>
          <w:lang w:val="en-US"/>
        </w:rPr>
        <w:t>AC</w:t>
      </w:r>
      <w:r w:rsidRPr="001F3115">
        <w:t>.2/2015/18 делегация Нидерландов представила на рассмотрение Комитета по вопросам безопасности проблемы, связанные с толкованием.</w:t>
      </w:r>
    </w:p>
    <w:p w:rsidR="001F3115" w:rsidRPr="001F3115" w:rsidRDefault="001F3115" w:rsidP="001F3115">
      <w:pPr>
        <w:pStyle w:val="SingleTxtGR"/>
      </w:pPr>
      <w:r w:rsidRPr="001F3115">
        <w:t>2.</w:t>
      </w:r>
      <w:r w:rsidRPr="001F3115">
        <w:tab/>
        <w:t>В отношении "постоянного надлежащего наблюдения во время разгру</w:t>
      </w:r>
      <w:r w:rsidRPr="001F3115">
        <w:t>з</w:t>
      </w:r>
      <w:r w:rsidRPr="001F3115">
        <w:t xml:space="preserve">ки" (пункт 2 в приложении к документу </w:t>
      </w:r>
      <w:r w:rsidRPr="001F3115">
        <w:rPr>
          <w:lang w:val="en-US"/>
        </w:rPr>
        <w:t>ECE</w:t>
      </w:r>
      <w:r w:rsidRPr="001F3115">
        <w:t>/</w:t>
      </w:r>
      <w:r w:rsidRPr="001F3115">
        <w:rPr>
          <w:lang w:val="en-US"/>
        </w:rPr>
        <w:t>TRANS</w:t>
      </w:r>
      <w:r w:rsidRPr="001F3115">
        <w:t>/</w:t>
      </w:r>
      <w:r w:rsidRPr="001F3115">
        <w:rPr>
          <w:lang w:val="en-US"/>
        </w:rPr>
        <w:t>WP</w:t>
      </w:r>
      <w:r w:rsidRPr="001F3115">
        <w:t>.15/</w:t>
      </w:r>
      <w:r w:rsidRPr="001F3115">
        <w:rPr>
          <w:lang w:val="en-US"/>
        </w:rPr>
        <w:t>AC</w:t>
      </w:r>
      <w:r w:rsidRPr="001F3115">
        <w:t xml:space="preserve">.2/2015/18) в </w:t>
      </w:r>
      <w:r w:rsidRPr="001F3115">
        <w:lastRenderedPageBreak/>
        <w:t>Германии существуют письменные разъяснения, которые прилагаются к наст</w:t>
      </w:r>
      <w:r w:rsidRPr="001F3115">
        <w:t>о</w:t>
      </w:r>
      <w:r w:rsidRPr="001F3115">
        <w:t>ящему документу.</w:t>
      </w:r>
    </w:p>
    <w:p w:rsidR="001F3115" w:rsidRPr="001F3115" w:rsidRDefault="001F3115" w:rsidP="001F3115">
      <w:pPr>
        <w:pStyle w:val="HChGR"/>
      </w:pPr>
      <w:r w:rsidRPr="001F3115">
        <w:tab/>
      </w:r>
      <w:r w:rsidRPr="001F3115">
        <w:tab/>
        <w:t>Толкование</w:t>
      </w:r>
      <w:r>
        <w:t xml:space="preserve"> Правил, прилагаемых к ВОПОГ, в</w:t>
      </w:r>
      <w:r>
        <w:rPr>
          <w:lang w:val="en-US"/>
        </w:rPr>
        <w:t> </w:t>
      </w:r>
      <w:r w:rsidRPr="001F3115">
        <w:t>Германии</w:t>
      </w:r>
    </w:p>
    <w:p w:rsidR="001F3115" w:rsidRDefault="001F3115" w:rsidP="00C86353">
      <w:pPr>
        <w:pStyle w:val="SingleTxtGR"/>
      </w:pPr>
      <w:r w:rsidRPr="001F3115">
        <w:t>3.</w:t>
      </w:r>
      <w:r w:rsidRPr="001F3115">
        <w:tab/>
        <w:t>Наблюдение за разгрузкой.</w:t>
      </w:r>
    </w:p>
    <w:tbl>
      <w:tblPr>
        <w:tblStyle w:val="TableGrid"/>
        <w:tblW w:w="0" w:type="auto"/>
        <w:tblInd w:w="1256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7"/>
      </w:tblGrid>
      <w:tr w:rsidR="00120237" w:rsidRPr="00120237" w:rsidTr="00120237">
        <w:tc>
          <w:tcPr>
            <w:tcW w:w="7377" w:type="dxa"/>
            <w:tcBorders>
              <w:top w:val="single" w:sz="4" w:space="0" w:color="auto"/>
              <w:bottom w:val="nil"/>
            </w:tcBorders>
          </w:tcPr>
          <w:p w:rsidR="00120237" w:rsidRPr="00120237" w:rsidRDefault="00120237" w:rsidP="00C86353">
            <w:pPr>
              <w:pStyle w:val="SingleTxtGR"/>
              <w:ind w:left="227" w:right="0"/>
              <w:rPr>
                <w:b/>
              </w:rPr>
            </w:pPr>
            <w:r w:rsidRPr="00120237">
              <w:rPr>
                <w:b/>
              </w:rPr>
              <w:t>Руководящие принципы выполнения правил, касающихся перевозки опасных грузов автомобильным, железнодорожным и внутренним водным транспортом (</w:t>
            </w:r>
            <w:r w:rsidRPr="00120237">
              <w:rPr>
                <w:b/>
                <w:lang w:val="en-US"/>
              </w:rPr>
              <w:t>GGVSEB</w:t>
            </w:r>
            <w:r w:rsidRPr="00120237">
              <w:rPr>
                <w:b/>
              </w:rPr>
              <w:t xml:space="preserve">) (руководящие принципы </w:t>
            </w:r>
            <w:r w:rsidRPr="00120237">
              <w:rPr>
                <w:b/>
                <w:lang w:val="en-US"/>
              </w:rPr>
              <w:t>GGVSEB</w:t>
            </w:r>
            <w:r w:rsidRPr="00120237">
              <w:rPr>
                <w:b/>
              </w:rPr>
              <w:t>-</w:t>
            </w:r>
            <w:r w:rsidRPr="00120237">
              <w:rPr>
                <w:b/>
                <w:lang w:val="en-US"/>
              </w:rPr>
              <w:t>RSEB</w:t>
            </w:r>
            <w:r w:rsidRPr="00120237">
              <w:rPr>
                <w:b/>
              </w:rPr>
              <w:t>)</w:t>
            </w:r>
          </w:p>
        </w:tc>
      </w:tr>
      <w:tr w:rsidR="00120237" w:rsidRPr="00120237" w:rsidTr="00120237">
        <w:tc>
          <w:tcPr>
            <w:tcW w:w="7377" w:type="dxa"/>
            <w:tcBorders>
              <w:top w:val="nil"/>
              <w:bottom w:val="nil"/>
            </w:tcBorders>
          </w:tcPr>
          <w:p w:rsidR="00120237" w:rsidRPr="001F3115" w:rsidRDefault="00A52E0C" w:rsidP="00C86353">
            <w:pPr>
              <w:pStyle w:val="SingleTxtGR"/>
              <w:tabs>
                <w:tab w:val="left" w:pos="424"/>
              </w:tabs>
              <w:ind w:left="227" w:right="0"/>
            </w:pPr>
            <w:r>
              <w:t>-</w:t>
            </w:r>
            <w:r>
              <w:tab/>
            </w:r>
            <w:r w:rsidR="00120237">
              <w:t>Относительно пункта 1.4.</w:t>
            </w:r>
            <w:r w:rsidR="00120237" w:rsidRPr="001F3115">
              <w:t>3.</w:t>
            </w:r>
            <w:r w:rsidR="00120237">
              <w:t>7.</w:t>
            </w:r>
            <w:r w:rsidR="00120237" w:rsidRPr="001F3115">
              <w:t>1 ВОПОГ</w:t>
            </w:r>
          </w:p>
        </w:tc>
      </w:tr>
      <w:tr w:rsidR="00120237" w:rsidRPr="00120237" w:rsidTr="00120237">
        <w:tc>
          <w:tcPr>
            <w:tcW w:w="7377" w:type="dxa"/>
            <w:tcBorders>
              <w:top w:val="nil"/>
              <w:bottom w:val="nil"/>
            </w:tcBorders>
          </w:tcPr>
          <w:p w:rsidR="00120237" w:rsidRDefault="00120237" w:rsidP="00C86353">
            <w:pPr>
              <w:pStyle w:val="SingleTxtGR"/>
              <w:ind w:left="227" w:right="0"/>
            </w:pPr>
            <w:r w:rsidRPr="001F3115">
              <w:t>Речные правила, касающиеся обращения с веществами</w:t>
            </w:r>
            <w:r>
              <w:t>,</w:t>
            </w:r>
            <w:r w:rsidRPr="001F3115">
              <w:t xml:space="preserve"> опасными </w:t>
            </w:r>
            <w:r>
              <w:t>для во</w:t>
            </w:r>
            <w:r>
              <w:t>д</w:t>
            </w:r>
            <w:r>
              <w:t>ной среды,</w:t>
            </w:r>
            <w:r w:rsidRPr="001F3115">
              <w:t xml:space="preserve"> требуют также постоянного </w:t>
            </w:r>
            <w:r w:rsidRPr="00120237">
              <w:rPr>
                <w:b/>
              </w:rPr>
              <w:t>наблюдения</w:t>
            </w:r>
            <w:r w:rsidRPr="001F3115">
              <w:t xml:space="preserve"> с берега на всем пр</w:t>
            </w:r>
            <w:r w:rsidRPr="001F3115">
              <w:t>о</w:t>
            </w:r>
            <w:r w:rsidRPr="001F3115">
              <w:t xml:space="preserve">тяжении разгрузки, с тем чтобы можно было </w:t>
            </w:r>
            <w:r>
              <w:t>незамедлительно</w:t>
            </w:r>
            <w:r w:rsidRPr="001F3115">
              <w:t xml:space="preserve"> отреагир</w:t>
            </w:r>
            <w:r w:rsidRPr="001F3115">
              <w:t>о</w:t>
            </w:r>
            <w:r w:rsidRPr="001F3115">
              <w:t xml:space="preserve">вать на </w:t>
            </w:r>
            <w:r>
              <w:t>возникшую</w:t>
            </w:r>
            <w:r w:rsidRPr="001F3115">
              <w:t xml:space="preserve"> ситуацию, а также принять необходимые и </w:t>
            </w:r>
            <w:r>
              <w:t>достаточные</w:t>
            </w:r>
            <w:r w:rsidRPr="001F3115">
              <w:t xml:space="preserve"> меры или инициировать</w:t>
            </w:r>
            <w:r>
              <w:t xml:space="preserve"> их принятие</w:t>
            </w:r>
            <w:r w:rsidRPr="001F3115">
              <w:t>.</w:t>
            </w:r>
          </w:p>
        </w:tc>
      </w:tr>
      <w:tr w:rsidR="00120237" w:rsidRPr="00120237" w:rsidTr="00120237">
        <w:tc>
          <w:tcPr>
            <w:tcW w:w="7377" w:type="dxa"/>
            <w:tcBorders>
              <w:top w:val="nil"/>
            </w:tcBorders>
          </w:tcPr>
          <w:p w:rsidR="00120237" w:rsidRPr="001F3115" w:rsidRDefault="00A52E0C" w:rsidP="00C86353">
            <w:pPr>
              <w:pStyle w:val="SingleTxtGR"/>
              <w:ind w:left="227" w:right="0"/>
            </w:pPr>
            <w:r w:rsidRPr="001F3115">
              <w:t xml:space="preserve">Наблюдение может также считаться </w:t>
            </w:r>
            <w:r w:rsidRPr="00A52E0C">
              <w:rPr>
                <w:b/>
              </w:rPr>
              <w:t>надлежащим</w:t>
            </w:r>
            <w:r w:rsidRPr="001F3115">
              <w:t>, если оно производится при помощи вспомогательных технических средств, позволяющих перед</w:t>
            </w:r>
            <w:r w:rsidRPr="001F3115">
              <w:t>а</w:t>
            </w:r>
            <w:r w:rsidRPr="001F3115">
              <w:t>вать в пункт управления, в том числе в условиях плохой видимости, дост</w:t>
            </w:r>
            <w:r w:rsidRPr="001F3115">
              <w:t>а</w:t>
            </w:r>
            <w:r w:rsidRPr="001F3115">
              <w:t>точно четкие изображения (включая детали), в частности, разгрузочного трубопровода и соединительных элементов. Должна быть обеспечена во</w:t>
            </w:r>
            <w:r w:rsidRPr="001F3115">
              <w:t>з</w:t>
            </w:r>
            <w:r w:rsidRPr="001F3115">
              <w:t>можность считывания показателей аппаратуры для измерения давления в любых погодных условиях. Должна быть обеспечена возможность неме</w:t>
            </w:r>
            <w:r w:rsidRPr="001F3115">
              <w:t>д</w:t>
            </w:r>
            <w:r w:rsidRPr="001F3115">
              <w:t>ленного прекращения процесса разгрузки, и должна постоянно действ</w:t>
            </w:r>
            <w:r w:rsidRPr="001F3115">
              <w:t>о</w:t>
            </w:r>
            <w:r w:rsidRPr="001F3115">
              <w:t xml:space="preserve">вать связь между судном и </w:t>
            </w:r>
            <w:r>
              <w:t>берегом</w:t>
            </w:r>
            <w:r w:rsidRPr="001F3115">
              <w:t>. Портовый оператор должен предвар</w:t>
            </w:r>
            <w:r w:rsidRPr="001F3115">
              <w:t>и</w:t>
            </w:r>
            <w:r w:rsidRPr="001F3115">
              <w:t>тельно одобрить использование вспомогательных технических средств.</w:t>
            </w:r>
          </w:p>
        </w:tc>
      </w:tr>
    </w:tbl>
    <w:p w:rsidR="001F3115" w:rsidRPr="001F3115" w:rsidRDefault="001F3115" w:rsidP="00A52E0C">
      <w:pPr>
        <w:pStyle w:val="HChGR"/>
      </w:pPr>
      <w:r w:rsidRPr="001F3115">
        <w:tab/>
      </w:r>
      <w:r w:rsidRPr="001F3115">
        <w:tab/>
        <w:t>Просьба о внесении изменения</w:t>
      </w:r>
    </w:p>
    <w:p w:rsidR="001F3115" w:rsidRPr="001F3115" w:rsidRDefault="001F3115" w:rsidP="001F3115">
      <w:pPr>
        <w:pStyle w:val="SingleTxtGR"/>
      </w:pPr>
      <w:r w:rsidRPr="001F3115">
        <w:t>4.</w:t>
      </w:r>
      <w:r w:rsidRPr="001F3115">
        <w:tab/>
        <w:t>В подразделе 1.4.3.3 ВОПОГ (</w:t>
      </w:r>
      <w:r w:rsidRPr="00A52E0C">
        <w:rPr>
          <w:b/>
        </w:rPr>
        <w:t>Ответственный за наполнение</w:t>
      </w:r>
      <w:r w:rsidRPr="001F3115">
        <w:t xml:space="preserve">) изменить подпункт </w:t>
      </w:r>
      <w:r w:rsidRPr="001F3115">
        <w:rPr>
          <w:lang w:val="en-US"/>
        </w:rPr>
        <w:t>u</w:t>
      </w:r>
      <w:r w:rsidRPr="001F3115">
        <w:t>) следующим образом:</w:t>
      </w:r>
    </w:p>
    <w:p w:rsidR="001F3115" w:rsidRPr="001F3115" w:rsidRDefault="001F3115" w:rsidP="001F3115">
      <w:pPr>
        <w:pStyle w:val="SingleTxtGR"/>
      </w:pPr>
      <w:r w:rsidRPr="001F3115">
        <w:t>(текст, подлежащий удалению, зачеркнут)</w:t>
      </w:r>
    </w:p>
    <w:p w:rsidR="001F3115" w:rsidRPr="001F3115" w:rsidRDefault="001F3115" w:rsidP="00A52E0C">
      <w:pPr>
        <w:pStyle w:val="SingleTxtGR"/>
        <w:ind w:left="1701"/>
      </w:pPr>
      <w:r w:rsidRPr="001F3115">
        <w:t>"</w:t>
      </w:r>
      <w:r w:rsidRPr="001F3115">
        <w:rPr>
          <w:lang w:val="en-US"/>
        </w:rPr>
        <w:t>u</w:t>
      </w:r>
      <w:r w:rsidRPr="001F3115">
        <w:t>)</w:t>
      </w:r>
      <w:r w:rsidRPr="001F3115">
        <w:tab/>
        <w:t xml:space="preserve">он должен удостовериться в том, что на всем протяжении погрузки </w:t>
      </w:r>
      <w:r w:rsidRPr="00A52E0C">
        <w:rPr>
          <w:strike/>
        </w:rPr>
        <w:t>или разгрузки</w:t>
      </w:r>
      <w:r w:rsidRPr="001F3115">
        <w:t xml:space="preserve"> обеспечено постоянное надлежащее наблюдение за </w:t>
      </w:r>
      <w:r w:rsidRPr="00A52E0C">
        <w:rPr>
          <w:strike/>
        </w:rPr>
        <w:t>этими операциями</w:t>
      </w:r>
      <w:r w:rsidRPr="001F3115">
        <w:t xml:space="preserve"> этой операцией".</w:t>
      </w:r>
    </w:p>
    <w:p w:rsidR="009D6B18" w:rsidRDefault="001F3115" w:rsidP="00A52E0C">
      <w:pPr>
        <w:pStyle w:val="SingleTxtGR"/>
      </w:pPr>
      <w:r w:rsidRPr="001F3115">
        <w:t>Обоснование: ответственный за наполнение производит только погрузку.</w:t>
      </w:r>
    </w:p>
    <w:p w:rsidR="00A52E0C" w:rsidRPr="00A52E0C" w:rsidRDefault="00A52E0C" w:rsidP="00A52E0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2E0C" w:rsidRPr="00A52E0C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C5" w:rsidRDefault="00924BC5">
      <w:r>
        <w:rPr>
          <w:lang w:val="en-US"/>
        </w:rPr>
        <w:tab/>
      </w:r>
      <w:r>
        <w:separator/>
      </w:r>
    </w:p>
  </w:endnote>
  <w:endnote w:type="continuationSeparator" w:id="0">
    <w:p w:rsidR="00924BC5" w:rsidRDefault="0092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A52E0C" w:rsidRDefault="00A1484B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2E2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A52E0C">
      <w:rPr>
        <w:lang w:val="ru-RU"/>
      </w:rPr>
      <w:t>08752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17"/>
      <w:gridCol w:w="4642"/>
      <w:gridCol w:w="12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Pr="00A52E0C" w:rsidRDefault="00485980" w:rsidP="00A52E0C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A52E0C">
            <w:t>08752</w:t>
          </w:r>
          <w:r w:rsidR="00A1484B">
            <w:rPr>
              <w:lang w:val="en-US"/>
            </w:rPr>
            <w:t xml:space="preserve">  (R)</w:t>
          </w:r>
          <w:r w:rsidR="00A52E0C">
            <w:t xml:space="preserve">  300615  300615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1426E71" wp14:editId="7C93C255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D80A4F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83491" cy="683491"/>
                <wp:effectExtent l="0" t="0" r="2540" b="2540"/>
                <wp:docPr id="3" name="Рисунок 3" descr="http://undocs.org/m2/QRCode2.ashx?DS=ECE/TRANS/WP.15/AC.2/2015/32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32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292" cy="681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A52E0C" w:rsidRDefault="00A52E0C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</w:pPr>
          <w:r w:rsidRPr="00A52E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52E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52E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52E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52E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52E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52E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52E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52E0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C5" w:rsidRPr="00F71F63" w:rsidRDefault="00924BC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24BC5" w:rsidRPr="00F71F63" w:rsidRDefault="00924BC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24BC5" w:rsidRPr="00635E86" w:rsidRDefault="00924BC5" w:rsidP="00635E86">
      <w:pPr>
        <w:pStyle w:val="Footer"/>
      </w:pPr>
    </w:p>
  </w:footnote>
  <w:footnote w:id="1">
    <w:p w:rsidR="001F3115" w:rsidRPr="001F3115" w:rsidRDefault="001F311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F3115">
        <w:rPr>
          <w:lang w:val="ru-RU"/>
        </w:rPr>
        <w:tab/>
        <w:t>Распространено на немецком языке Центральной к</w:t>
      </w:r>
      <w:r>
        <w:rPr>
          <w:lang w:val="ru-RU"/>
        </w:rPr>
        <w:t>омиссией судоходства по Рейну в</w:t>
      </w:r>
      <w:r>
        <w:rPr>
          <w:lang w:val="en-US"/>
        </w:rPr>
        <w:t> </w:t>
      </w:r>
      <w:r w:rsidRPr="001F3115">
        <w:rPr>
          <w:lang w:val="ru-RU"/>
        </w:rPr>
        <w:t xml:space="preserve">качестве документа </w:t>
      </w:r>
      <w:r w:rsidRPr="001F3115">
        <w:t>CCNR</w:t>
      </w:r>
      <w:r w:rsidRPr="001F3115">
        <w:rPr>
          <w:lang w:val="ru-RU"/>
        </w:rPr>
        <w:t>-</w:t>
      </w:r>
      <w:r w:rsidRPr="001F3115">
        <w:t>ZKR</w:t>
      </w:r>
      <w:r w:rsidRPr="001F3115">
        <w:rPr>
          <w:lang w:val="ru-RU"/>
        </w:rPr>
        <w:t>/</w:t>
      </w:r>
      <w:r w:rsidRPr="001F3115">
        <w:t>ADN</w:t>
      </w:r>
      <w:r w:rsidRPr="001F3115">
        <w:rPr>
          <w:lang w:val="ru-RU"/>
        </w:rPr>
        <w:t>/</w:t>
      </w:r>
      <w:r w:rsidRPr="001F3115">
        <w:t>WP</w:t>
      </w:r>
      <w:r w:rsidRPr="001F3115">
        <w:rPr>
          <w:lang w:val="ru-RU"/>
        </w:rPr>
        <w:t>.15/</w:t>
      </w:r>
      <w:r w:rsidRPr="001F3115">
        <w:t>AC</w:t>
      </w:r>
      <w:r w:rsidRPr="001F3115">
        <w:rPr>
          <w:lang w:val="ru-RU"/>
        </w:rPr>
        <w:t>.2/2015/32.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A52E0C" w:rsidRPr="00A52E0C">
      <w:rPr>
        <w:lang w:val="ru-RU"/>
      </w:rPr>
      <w:t>TRANS/WP.15/AC.2/2015/32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C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457E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0237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1F3115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42E2E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0E70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1FC1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4BC5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52E0C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86353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0A4F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730F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1508752</vt:lpstr>
      <vt:lpstr>1508752</vt:lpstr>
    </vt:vector>
  </TitlesOfParts>
  <Company>CSD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1508752</dc:title>
  <dc:subject>ECE/TRANS/WP.15/AC.2/2015/32</dc:subject>
  <dc:creator>Petelina Anna</dc:creator>
  <dc:description>Final</dc:description>
  <cp:lastModifiedBy>Christopher Smith</cp:lastModifiedBy>
  <cp:revision>2</cp:revision>
  <cp:lastPrinted>2015-06-30T14:58:00Z</cp:lastPrinted>
  <dcterms:created xsi:type="dcterms:W3CDTF">2015-07-07T14:56:00Z</dcterms:created>
  <dcterms:modified xsi:type="dcterms:W3CDTF">2015-07-07T14:56:00Z</dcterms:modified>
</cp:coreProperties>
</file>