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4B500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266" w:rsidRDefault="00717266" w:rsidP="004B500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266" w:rsidRPr="004B500B" w:rsidRDefault="00717266" w:rsidP="004B500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B500B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266" w:rsidRPr="00D47EEA" w:rsidRDefault="00911601" w:rsidP="007B0AB4">
            <w:pPr>
              <w:suppressAutoHyphens w:val="0"/>
              <w:spacing w:after="20"/>
              <w:jc w:val="right"/>
            </w:pPr>
            <w:r w:rsidRPr="004B500B">
              <w:rPr>
                <w:sz w:val="40"/>
              </w:rPr>
              <w:t>ECE</w:t>
            </w:r>
            <w:r>
              <w:t>/TRANS/WP.15/AC.2/2015/</w:t>
            </w:r>
            <w:r w:rsidR="007B0AB4">
              <w:t>30</w:t>
            </w:r>
          </w:p>
        </w:tc>
      </w:tr>
      <w:tr w:rsidR="00717266" w:rsidTr="004B500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17266" w:rsidRDefault="008076E2" w:rsidP="004B500B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17266" w:rsidRPr="004B500B" w:rsidRDefault="00717266" w:rsidP="004B500B">
            <w:pPr>
              <w:spacing w:before="120" w:line="420" w:lineRule="exact"/>
              <w:rPr>
                <w:sz w:val="40"/>
                <w:szCs w:val="40"/>
              </w:rPr>
            </w:pPr>
            <w:r w:rsidRPr="004B500B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17266" w:rsidRDefault="00911601" w:rsidP="004B500B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911601" w:rsidRDefault="007B0AB4" w:rsidP="004B500B">
            <w:pPr>
              <w:suppressAutoHyphens w:val="0"/>
            </w:pPr>
            <w:r>
              <w:t>2</w:t>
            </w:r>
            <w:r w:rsidR="00B13858">
              <w:t xml:space="preserve"> June</w:t>
            </w:r>
            <w:r>
              <w:t xml:space="preserve"> 2015</w:t>
            </w:r>
          </w:p>
          <w:p w:rsidR="00D238A2" w:rsidRDefault="00D238A2" w:rsidP="004B500B">
            <w:pPr>
              <w:suppressAutoHyphens w:val="0"/>
            </w:pPr>
          </w:p>
          <w:p w:rsidR="00911601" w:rsidRDefault="00911601" w:rsidP="000B7930">
            <w:pPr>
              <w:suppressAutoHyphens w:val="0"/>
            </w:pPr>
            <w:r>
              <w:t xml:space="preserve">Original: </w:t>
            </w:r>
            <w:r w:rsidR="000B7930">
              <w:t>English</w:t>
            </w:r>
          </w:p>
        </w:tc>
      </w:tr>
    </w:tbl>
    <w:p w:rsidR="00D60C0E" w:rsidRDefault="00D60C0E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D60C0E" w:rsidRDefault="00D60C0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D60C0E" w:rsidRDefault="00D60C0E" w:rsidP="00D60C0E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Pr="00D60C0E">
        <w:rPr>
          <w:b/>
          <w:sz w:val="24"/>
          <w:szCs w:val="24"/>
        </w:rPr>
        <w:t>Dangerous Goods</w:t>
      </w:r>
    </w:p>
    <w:p w:rsidR="00911601" w:rsidRPr="00D60C0E" w:rsidRDefault="00911601" w:rsidP="00D60C0E">
      <w:pPr>
        <w:rPr>
          <w:b/>
          <w:bCs/>
        </w:rPr>
      </w:pPr>
      <w:r w:rsidRPr="00D60C0E">
        <w:rPr>
          <w:b/>
          <w:bCs/>
        </w:rPr>
        <w:t xml:space="preserve">Joint Meeting of Experts on the Regulations annexed </w:t>
      </w:r>
      <w:r w:rsidR="00D60C0E" w:rsidRPr="00D60C0E">
        <w:rPr>
          <w:b/>
          <w:bCs/>
        </w:rPr>
        <w:t xml:space="preserve">to the </w:t>
      </w:r>
      <w:r w:rsidR="00D60C0E">
        <w:rPr>
          <w:b/>
          <w:bCs/>
        </w:rPr>
        <w:br/>
      </w:r>
      <w:r w:rsidR="00D60C0E" w:rsidRPr="00D60C0E">
        <w:rPr>
          <w:b/>
          <w:bCs/>
        </w:rPr>
        <w:t>European Agreement</w:t>
      </w:r>
      <w:r w:rsidR="00D60C0E">
        <w:rPr>
          <w:b/>
          <w:bCs/>
        </w:rPr>
        <w:t xml:space="preserve"> </w:t>
      </w:r>
      <w:r w:rsidRPr="00D60C0E">
        <w:rPr>
          <w:b/>
          <w:bCs/>
        </w:rPr>
        <w:t xml:space="preserve">concerning the </w:t>
      </w:r>
      <w:r w:rsidR="00D60C0E" w:rsidRPr="00D60C0E">
        <w:rPr>
          <w:b/>
          <w:bCs/>
        </w:rPr>
        <w:t xml:space="preserve">International Carriage </w:t>
      </w:r>
      <w:r w:rsidR="00D60C0E">
        <w:rPr>
          <w:b/>
          <w:bCs/>
        </w:rPr>
        <w:br/>
      </w:r>
      <w:r w:rsidR="00D60C0E" w:rsidRPr="00D60C0E">
        <w:rPr>
          <w:b/>
          <w:bCs/>
        </w:rPr>
        <w:t>of Dangerous Goods by Inland Waterways (ADN</w:t>
      </w:r>
      <w:proofErr w:type="gramStart"/>
      <w:r w:rsidR="00D60C0E" w:rsidRPr="00D60C0E">
        <w:rPr>
          <w:b/>
          <w:bCs/>
        </w:rPr>
        <w:t>)</w:t>
      </w:r>
      <w:proofErr w:type="gramEnd"/>
      <w:r w:rsidR="00D60C0E">
        <w:rPr>
          <w:b/>
          <w:bCs/>
        </w:rPr>
        <w:br/>
      </w:r>
      <w:r w:rsidRPr="00D60C0E">
        <w:rPr>
          <w:b/>
          <w:bCs/>
        </w:rPr>
        <w:t>(ADN Safety Committee)</w:t>
      </w:r>
    </w:p>
    <w:p w:rsidR="00911601" w:rsidRPr="00D60C0E" w:rsidRDefault="00911601" w:rsidP="00D60C0E">
      <w:pPr>
        <w:spacing w:before="120"/>
        <w:rPr>
          <w:b/>
          <w:bCs/>
        </w:rPr>
      </w:pPr>
      <w:r w:rsidRPr="00D60C0E">
        <w:rPr>
          <w:b/>
          <w:bCs/>
        </w:rPr>
        <w:t>Twenty-s</w:t>
      </w:r>
      <w:r w:rsidR="000B7930">
        <w:rPr>
          <w:b/>
          <w:bCs/>
        </w:rPr>
        <w:t>eventh</w:t>
      </w:r>
      <w:r w:rsidRPr="00D60C0E">
        <w:rPr>
          <w:b/>
          <w:bCs/>
        </w:rPr>
        <w:t xml:space="preserve"> </w:t>
      </w:r>
      <w:proofErr w:type="gramStart"/>
      <w:r w:rsidRPr="00D60C0E">
        <w:rPr>
          <w:b/>
          <w:bCs/>
        </w:rPr>
        <w:t>session</w:t>
      </w:r>
      <w:proofErr w:type="gramEnd"/>
    </w:p>
    <w:p w:rsidR="00911601" w:rsidRPr="002B7D6D" w:rsidRDefault="000B7930" w:rsidP="00E61B76">
      <w:r>
        <w:t>Geneva, 24</w:t>
      </w:r>
      <w:r w:rsidR="00E61B76">
        <w:t>–</w:t>
      </w:r>
      <w:r>
        <w:t>28</w:t>
      </w:r>
      <w:r w:rsidR="00911601" w:rsidRPr="002B7D6D">
        <w:t xml:space="preserve"> </w:t>
      </w:r>
      <w:r>
        <w:t>August</w:t>
      </w:r>
      <w:r w:rsidR="00911601" w:rsidRPr="002B7D6D">
        <w:t xml:space="preserve"> 2015 </w:t>
      </w:r>
    </w:p>
    <w:p w:rsidR="00911601" w:rsidRPr="002B7D6D" w:rsidRDefault="000B7930" w:rsidP="00911601">
      <w:r>
        <w:t>Item 3 (c</w:t>
      </w:r>
      <w:r w:rsidR="00911601" w:rsidRPr="002B7D6D">
        <w:t xml:space="preserve">) of the provisional agenda </w:t>
      </w:r>
    </w:p>
    <w:p w:rsidR="00911601" w:rsidRPr="00D60C0E" w:rsidRDefault="000B7930" w:rsidP="00911601">
      <w:pPr>
        <w:rPr>
          <w:b/>
          <w:bCs/>
        </w:rPr>
      </w:pPr>
      <w:r>
        <w:rPr>
          <w:b/>
          <w:bCs/>
        </w:rPr>
        <w:t xml:space="preserve">Implementation of ADN: </w:t>
      </w:r>
      <w:r>
        <w:rPr>
          <w:b/>
          <w:bCs/>
        </w:rPr>
        <w:br/>
        <w:t>Interpretation of the Regulations annexed to ADN</w:t>
      </w:r>
    </w:p>
    <w:p w:rsidR="000B7930" w:rsidRPr="00E77435" w:rsidRDefault="00911601" w:rsidP="005F5DFC">
      <w:pPr>
        <w:pStyle w:val="HChG"/>
      </w:pPr>
      <w:r w:rsidRPr="002B7D6D">
        <w:tab/>
      </w:r>
      <w:r w:rsidRPr="002B7D6D">
        <w:tab/>
      </w:r>
      <w:r w:rsidR="00D238A2">
        <w:t xml:space="preserve">Request for </w:t>
      </w:r>
      <w:r w:rsidR="00D238A2" w:rsidRPr="005F5DFC">
        <w:t>interpretation</w:t>
      </w:r>
      <w:r w:rsidR="007B0AB4">
        <w:t xml:space="preserve"> - </w:t>
      </w:r>
      <w:r w:rsidR="00D3327D">
        <w:t>1.6.7.4.1</w:t>
      </w:r>
    </w:p>
    <w:p w:rsidR="000B7930" w:rsidRPr="00E77435" w:rsidRDefault="000B7930" w:rsidP="005F5DFC">
      <w:pPr>
        <w:pStyle w:val="H1G"/>
      </w:pPr>
      <w:r w:rsidRPr="00E77435">
        <w:tab/>
      </w:r>
      <w:r w:rsidRPr="00E77435">
        <w:tab/>
        <w:t xml:space="preserve">Transmitted by the Government of </w:t>
      </w:r>
      <w:r w:rsidRPr="005F5DFC">
        <w:t>the</w:t>
      </w:r>
      <w:r w:rsidRPr="00E77435">
        <w:t xml:space="preserve"> Netherlands</w:t>
      </w:r>
      <w:r w:rsidR="007B0AB4" w:rsidRPr="005F5DFC">
        <w:rPr>
          <w:bCs/>
          <w:szCs w:val="24"/>
          <w:vertAlign w:val="superscript"/>
        </w:rPr>
        <w:footnoteReference w:id="1"/>
      </w:r>
    </w:p>
    <w:p w:rsidR="000B7930" w:rsidRPr="00E77435" w:rsidRDefault="000B7930" w:rsidP="005F5DFC">
      <w:pPr>
        <w:pStyle w:val="HChG"/>
      </w:pPr>
      <w:r w:rsidRPr="00E77435">
        <w:tab/>
      </w:r>
      <w:r w:rsidR="00A55448">
        <w:tab/>
      </w:r>
      <w:r w:rsidRPr="005F5DFC">
        <w:t>Introduction</w:t>
      </w:r>
    </w:p>
    <w:p w:rsidR="009D7354" w:rsidRPr="007B0AB4" w:rsidRDefault="007B0AB4" w:rsidP="005F5DFC">
      <w:pPr>
        <w:pStyle w:val="SingleTxtG"/>
      </w:pPr>
      <w:r>
        <w:t>1.</w:t>
      </w:r>
      <w:r>
        <w:tab/>
      </w:r>
      <w:r w:rsidR="00896720" w:rsidRPr="007B0AB4">
        <w:t>The Dutch delegation</w:t>
      </w:r>
      <w:r w:rsidR="00D23CBB" w:rsidRPr="007B0AB4">
        <w:t xml:space="preserve"> has received questions on the interpretation </w:t>
      </w:r>
      <w:r w:rsidR="001B4F68" w:rsidRPr="007B0AB4">
        <w:t>of 1.6.7.4.1</w:t>
      </w:r>
      <w:r>
        <w:t xml:space="preserve"> which </w:t>
      </w:r>
      <w:r w:rsidR="003759FC" w:rsidRPr="007B0AB4">
        <w:t xml:space="preserve">is a transitional provision for small single-hull tank, supply- and oil separator vessels. </w:t>
      </w:r>
      <w:r w:rsidR="007C6A5B" w:rsidRPr="007B0AB4">
        <w:t>As the consequences of this</w:t>
      </w:r>
      <w:r w:rsidR="00896720" w:rsidRPr="007B0AB4">
        <w:t xml:space="preserve"> </w:t>
      </w:r>
      <w:r w:rsidR="00896720" w:rsidRPr="005F5DFC">
        <w:t>interpretation</w:t>
      </w:r>
      <w:r w:rsidR="00896720" w:rsidRPr="007B0AB4">
        <w:t xml:space="preserve"> can </w:t>
      </w:r>
      <w:r w:rsidR="007C6A5B" w:rsidRPr="007B0AB4">
        <w:t>have quite an impact from both a</w:t>
      </w:r>
      <w:r>
        <w:t>n environmental and economic</w:t>
      </w:r>
      <w:r w:rsidR="007C6A5B" w:rsidRPr="007B0AB4">
        <w:t xml:space="preserve"> point of view</w:t>
      </w:r>
      <w:r w:rsidR="00896720" w:rsidRPr="007B0AB4">
        <w:t xml:space="preserve">, </w:t>
      </w:r>
      <w:r>
        <w:t>it has been</w:t>
      </w:r>
      <w:r w:rsidR="00896720" w:rsidRPr="007B0AB4">
        <w:t xml:space="preserve"> chosen to address this in the ADN Safety Committee.</w:t>
      </w:r>
    </w:p>
    <w:p w:rsidR="001B4F68" w:rsidRPr="007B0AB4" w:rsidRDefault="007B0AB4" w:rsidP="007B0AB4">
      <w:pPr>
        <w:pStyle w:val="SingleTxtG"/>
      </w:pPr>
      <w:r>
        <w:t>2.</w:t>
      </w:r>
      <w:r>
        <w:tab/>
      </w:r>
      <w:r w:rsidR="001B4F68" w:rsidRPr="007B0AB4">
        <w:t>1.6.7.4.1</w:t>
      </w:r>
      <w:r>
        <w:t xml:space="preserve"> reads as follows</w:t>
      </w:r>
      <w:r w:rsidR="001B4F68" w:rsidRPr="007B0AB4">
        <w:t>:</w:t>
      </w:r>
    </w:p>
    <w:p w:rsidR="001D2BCA" w:rsidRPr="007B0AB4" w:rsidRDefault="007B0AB4" w:rsidP="007B0AB4">
      <w:pPr>
        <w:pStyle w:val="SingleTxtG"/>
      </w:pPr>
      <w:r>
        <w:t>"</w:t>
      </w:r>
      <w:r w:rsidR="001D2BCA" w:rsidRPr="007B0AB4">
        <w:t>1.6.7.4</w:t>
      </w:r>
      <w:r>
        <w:tab/>
      </w:r>
      <w:r w:rsidR="001D2BCA" w:rsidRPr="007B0AB4">
        <w:rPr>
          <w:b/>
          <w:i/>
        </w:rPr>
        <w:t>Transitional provisions concerning the transport of substances hazardous to the</w:t>
      </w:r>
      <w:r w:rsidR="000F7808" w:rsidRPr="007B0AB4">
        <w:rPr>
          <w:b/>
          <w:i/>
        </w:rPr>
        <w:t xml:space="preserve"> </w:t>
      </w:r>
      <w:r w:rsidR="001D2BCA" w:rsidRPr="007B0AB4">
        <w:rPr>
          <w:b/>
          <w:i/>
        </w:rPr>
        <w:t>environment or to health</w:t>
      </w:r>
    </w:p>
    <w:p w:rsidR="001D2BCA" w:rsidRPr="007B0AB4" w:rsidRDefault="001D2BCA" w:rsidP="007B0AB4">
      <w:pPr>
        <w:pStyle w:val="SingleTxtG"/>
      </w:pPr>
      <w:r w:rsidRPr="007B0AB4">
        <w:t>1.6.7.4.1</w:t>
      </w:r>
      <w:r w:rsidR="007B0AB4">
        <w:tab/>
      </w:r>
      <w:r w:rsidRPr="007B0AB4">
        <w:t xml:space="preserve"> </w:t>
      </w:r>
      <w:r w:rsidRPr="007B0AB4">
        <w:rPr>
          <w:i/>
        </w:rPr>
        <w:t>Transitional provisions: vessels</w:t>
      </w:r>
    </w:p>
    <w:p w:rsidR="001D2BCA" w:rsidRPr="007B0AB4" w:rsidRDefault="001D2BCA" w:rsidP="007B0AB4">
      <w:pPr>
        <w:pStyle w:val="SingleTxtG"/>
      </w:pPr>
      <w:r w:rsidRPr="007B0AB4">
        <w:t>Single-hull tank vessels in service on 1 January 2009 with a dead weight on 1 January 2007</w:t>
      </w:r>
      <w:r w:rsidR="00CB0E42" w:rsidRPr="007B0AB4">
        <w:t xml:space="preserve"> </w:t>
      </w:r>
      <w:r w:rsidRPr="007B0AB4">
        <w:t>of less than 1,000 tonnes may continue to transport the substances they were authorized to</w:t>
      </w:r>
      <w:r w:rsidR="000F7808" w:rsidRPr="007B0AB4">
        <w:t xml:space="preserve"> </w:t>
      </w:r>
      <w:r w:rsidRPr="007B0AB4">
        <w:t>carry on 31 December 2008 until 31 December 2018.</w:t>
      </w:r>
    </w:p>
    <w:p w:rsidR="001B4F68" w:rsidRPr="007B0AB4" w:rsidRDefault="001D2BCA" w:rsidP="007B0AB4">
      <w:pPr>
        <w:pStyle w:val="SingleTxtG"/>
      </w:pPr>
      <w:r w:rsidRPr="007B0AB4">
        <w:lastRenderedPageBreak/>
        <w:t>Supply vessels and oil separator vessels in service on 1 January 2009 with a dead weight on</w:t>
      </w:r>
      <w:r w:rsidR="000F7808" w:rsidRPr="007B0AB4">
        <w:t xml:space="preserve"> </w:t>
      </w:r>
      <w:r w:rsidRPr="007B0AB4">
        <w:t>1 January 2007 of less than 300 tonnes may continue to transport the substances they were</w:t>
      </w:r>
      <w:r w:rsidR="000F7808" w:rsidRPr="007B0AB4">
        <w:t xml:space="preserve"> </w:t>
      </w:r>
      <w:r w:rsidRPr="007B0AB4">
        <w:t>authorized to carry on 31 December 2008 until 31 December 2038.</w:t>
      </w:r>
      <w:r w:rsidR="007B0AB4">
        <w:t>"</w:t>
      </w:r>
    </w:p>
    <w:p w:rsidR="000B7930" w:rsidRPr="000B7930" w:rsidRDefault="006031B7" w:rsidP="005F5DFC">
      <w:pPr>
        <w:pStyle w:val="HChG"/>
      </w:pPr>
      <w:r>
        <w:tab/>
      </w:r>
      <w:r>
        <w:tab/>
      </w:r>
      <w:r w:rsidRPr="005F5DFC">
        <w:t>Explanation</w:t>
      </w:r>
    </w:p>
    <w:p w:rsidR="00721426" w:rsidRPr="007B0AB4" w:rsidRDefault="007B0AB4" w:rsidP="005F5DFC">
      <w:pPr>
        <w:pStyle w:val="SingleTxtG"/>
      </w:pPr>
      <w:r>
        <w:t>3.</w:t>
      </w:r>
      <w:r>
        <w:tab/>
      </w:r>
      <w:r w:rsidR="00721426" w:rsidRPr="007B0AB4">
        <w:t xml:space="preserve">Based upon 1.6.7.4.1, </w:t>
      </w:r>
      <w:r w:rsidR="00B37FF0" w:rsidRPr="007B0AB4">
        <w:t>s</w:t>
      </w:r>
      <w:r w:rsidR="00721426" w:rsidRPr="007B0AB4">
        <w:t>ingle-hull tank vessels in service on 1 January 2009 with a dead weight on 1 January 2007 of less than 1,</w:t>
      </w:r>
      <w:r w:rsidR="00721426" w:rsidRPr="005F5DFC">
        <w:t>000</w:t>
      </w:r>
      <w:r w:rsidR="00721426" w:rsidRPr="007B0AB4">
        <w:t xml:space="preserve"> tonnes, and </w:t>
      </w:r>
      <w:r w:rsidR="00553747" w:rsidRPr="007B0AB4">
        <w:t>s</w:t>
      </w:r>
      <w:r w:rsidR="00721426" w:rsidRPr="007B0AB4">
        <w:t xml:space="preserve">upply vessels and oil separator vessels in service on 1 January 2009 with a dead weight on 1 January 2007 of less than 300 tonnes, are allowed to </w:t>
      </w:r>
      <w:r w:rsidR="00553747" w:rsidRPr="007B0AB4">
        <w:t xml:space="preserve">carry </w:t>
      </w:r>
      <w:r w:rsidR="00721426" w:rsidRPr="007B0AB4">
        <w:t xml:space="preserve">the substances they were authorized to carry on </w:t>
      </w:r>
      <w:r>
        <w:br/>
      </w:r>
      <w:r w:rsidR="00721426" w:rsidRPr="007B0AB4">
        <w:t>31 December 2008</w:t>
      </w:r>
      <w:r w:rsidR="00553747" w:rsidRPr="007B0AB4">
        <w:t xml:space="preserve"> until 31 December 2018 and 31 December 2038 respectively. </w:t>
      </w:r>
    </w:p>
    <w:p w:rsidR="00273E85" w:rsidRPr="007B0AB4" w:rsidRDefault="007B0AB4" w:rsidP="007B0AB4">
      <w:pPr>
        <w:pStyle w:val="SingleTxtG"/>
      </w:pPr>
      <w:r>
        <w:t>4.</w:t>
      </w:r>
      <w:r>
        <w:tab/>
      </w:r>
      <w:r w:rsidR="00273E85" w:rsidRPr="007B0AB4">
        <w:t xml:space="preserve">For substances </w:t>
      </w:r>
      <w:r>
        <w:t>already on the vessel substances</w:t>
      </w:r>
      <w:r w:rsidR="00273E85" w:rsidRPr="007B0AB4">
        <w:t xml:space="preserve"> list on 31</w:t>
      </w:r>
      <w:r>
        <w:t xml:space="preserve"> December 2008, and for non-</w:t>
      </w:r>
      <w:r w:rsidR="00273E85" w:rsidRPr="007B0AB4">
        <w:t>dangerous goods this is quite clear</w:t>
      </w:r>
      <w:r>
        <w:t>. They</w:t>
      </w:r>
      <w:r w:rsidR="00273E85" w:rsidRPr="007B0AB4">
        <w:t xml:space="preserve"> remain on the substances list until 31 December 2008</w:t>
      </w:r>
      <w:r w:rsidR="00154EA7" w:rsidRPr="007B0AB4">
        <w:t xml:space="preserve"> or</w:t>
      </w:r>
      <w:r w:rsidR="00273E85" w:rsidRPr="007B0AB4">
        <w:t xml:space="preserve"> 31 December 2038 respectively. </w:t>
      </w:r>
    </w:p>
    <w:p w:rsidR="00420899" w:rsidRPr="007B0AB4" w:rsidRDefault="007B0AB4" w:rsidP="007B0AB4">
      <w:pPr>
        <w:pStyle w:val="SingleTxtG"/>
      </w:pPr>
      <w:r>
        <w:t>5.</w:t>
      </w:r>
      <w:r>
        <w:tab/>
      </w:r>
      <w:r w:rsidR="00964B83" w:rsidRPr="007B0AB4">
        <w:t>However, h</w:t>
      </w:r>
      <w:r w:rsidR="00CC2B3A" w:rsidRPr="007B0AB4">
        <w:t xml:space="preserve">eavy heating oil has only been considered </w:t>
      </w:r>
      <w:r w:rsidR="00E323CB" w:rsidRPr="007B0AB4">
        <w:t xml:space="preserve">a dangerous substance since </w:t>
      </w:r>
      <w:r>
        <w:br/>
      </w:r>
      <w:r w:rsidR="00E323CB" w:rsidRPr="007B0AB4">
        <w:t xml:space="preserve">1 January </w:t>
      </w:r>
      <w:r w:rsidR="004621EE" w:rsidRPr="007B0AB4">
        <w:t xml:space="preserve">2013. </w:t>
      </w:r>
      <w:r w:rsidR="00CC2B3A" w:rsidRPr="007B0AB4">
        <w:t xml:space="preserve">In </w:t>
      </w:r>
      <w:r>
        <w:t xml:space="preserve">ADN </w:t>
      </w:r>
      <w:r w:rsidR="00CC2B3A" w:rsidRPr="007B0AB4">
        <w:t xml:space="preserve">2013 a specific </w:t>
      </w:r>
      <w:r w:rsidR="00420899" w:rsidRPr="007B0AB4">
        <w:t xml:space="preserve">entry was included </w:t>
      </w:r>
      <w:r w:rsidR="000B24EB" w:rsidRPr="007B0AB4">
        <w:t xml:space="preserve">in Table C of 3.2.3 </w:t>
      </w:r>
      <w:r w:rsidR="00420899" w:rsidRPr="007B0AB4">
        <w:t>for heavy heating</w:t>
      </w:r>
      <w:r w:rsidR="005F5091" w:rsidRPr="007B0AB4">
        <w:t xml:space="preserve"> oil</w:t>
      </w:r>
      <w:r w:rsidR="00420899" w:rsidRPr="007B0AB4">
        <w:t xml:space="preserve">, UN </w:t>
      </w:r>
      <w:r w:rsidR="00410700">
        <w:t xml:space="preserve">No. </w:t>
      </w:r>
      <w:r w:rsidR="00420899" w:rsidRPr="007B0AB4">
        <w:t xml:space="preserve">3082 </w:t>
      </w:r>
      <w:r w:rsidR="005F5091" w:rsidRPr="007B0AB4">
        <w:t>ENVIRONMENTALLY HAZARDOUS SUBSTANCE; LIQUID, N.O.S. (HEAVY</w:t>
      </w:r>
      <w:r w:rsidR="00410700">
        <w:t xml:space="preserve"> </w:t>
      </w:r>
      <w:r w:rsidR="005F5091" w:rsidRPr="007B0AB4">
        <w:t>HEATING OIL).</w:t>
      </w:r>
    </w:p>
    <w:p w:rsidR="000B7930" w:rsidRPr="007B0AB4" w:rsidRDefault="00410700" w:rsidP="005F5DFC">
      <w:pPr>
        <w:pStyle w:val="SingleTxtG"/>
      </w:pPr>
      <w:r>
        <w:t>6</w:t>
      </w:r>
      <w:r w:rsidR="000B7930" w:rsidRPr="007B0AB4">
        <w:t>.</w:t>
      </w:r>
      <w:r w:rsidR="000B7930" w:rsidRPr="007B0AB4">
        <w:tab/>
      </w:r>
      <w:r w:rsidR="00264FB8" w:rsidRPr="007B0AB4">
        <w:t xml:space="preserve">The question which </w:t>
      </w:r>
      <w:r w:rsidR="00264FB8" w:rsidRPr="005F5DFC">
        <w:t>the</w:t>
      </w:r>
      <w:r w:rsidR="00264FB8" w:rsidRPr="007B0AB4">
        <w:t xml:space="preserve"> Dutch delegation would like to discuss </w:t>
      </w:r>
      <w:r>
        <w:t>in</w:t>
      </w:r>
      <w:r w:rsidR="00264FB8" w:rsidRPr="007B0AB4">
        <w:t xml:space="preserve"> the </w:t>
      </w:r>
      <w:r>
        <w:t>Safety</w:t>
      </w:r>
      <w:r w:rsidR="00264FB8" w:rsidRPr="007B0AB4">
        <w:t xml:space="preserve"> Committee is whether </w:t>
      </w:r>
      <w:r>
        <w:t>the single-</w:t>
      </w:r>
      <w:r w:rsidR="00964B83" w:rsidRPr="007B0AB4">
        <w:t>hull vessel</w:t>
      </w:r>
      <w:r>
        <w:t>s</w:t>
      </w:r>
      <w:r w:rsidR="00964B83" w:rsidRPr="007B0AB4">
        <w:t xml:space="preserve">, supply vessels and oil separator vessels involved are </w:t>
      </w:r>
      <w:r>
        <w:t xml:space="preserve">also </w:t>
      </w:r>
      <w:r w:rsidR="00964B83" w:rsidRPr="007B0AB4">
        <w:t xml:space="preserve">allowed to carry and put on the </w:t>
      </w:r>
      <w:r w:rsidR="00E24DB2" w:rsidRPr="007B0AB4">
        <w:t xml:space="preserve">current </w:t>
      </w:r>
      <w:r w:rsidR="00964B83" w:rsidRPr="007B0AB4">
        <w:t xml:space="preserve">vessel substances list </w:t>
      </w:r>
      <w:r>
        <w:br/>
      </w:r>
      <w:r w:rsidR="00964B83" w:rsidRPr="007B0AB4">
        <w:t xml:space="preserve">UN </w:t>
      </w:r>
      <w:r>
        <w:t xml:space="preserve">No. </w:t>
      </w:r>
      <w:r w:rsidR="00964B83" w:rsidRPr="007B0AB4">
        <w:t>3082 ENVIRONMENTALLY HAZARDOUS SUBSTANCE; LIQUID, N.O.S. (HEAVY</w:t>
      </w:r>
      <w:r>
        <w:t xml:space="preserve"> </w:t>
      </w:r>
      <w:r w:rsidR="00964B83" w:rsidRPr="007B0AB4">
        <w:t xml:space="preserve">HEATING OIL). </w:t>
      </w:r>
    </w:p>
    <w:p w:rsidR="006031B7" w:rsidRPr="00410700" w:rsidRDefault="00410700" w:rsidP="005F5DFC">
      <w:pPr>
        <w:pStyle w:val="HChG"/>
      </w:pPr>
      <w:r>
        <w:tab/>
      </w:r>
      <w:r>
        <w:tab/>
      </w:r>
      <w:r w:rsidR="006031B7" w:rsidRPr="005F5DFC">
        <w:t>Considerations</w:t>
      </w:r>
    </w:p>
    <w:p w:rsidR="00323227" w:rsidRPr="00410700" w:rsidRDefault="00410700" w:rsidP="00410700">
      <w:pPr>
        <w:pStyle w:val="SingleTxtG"/>
      </w:pPr>
      <w:r>
        <w:t>7.</w:t>
      </w:r>
      <w:r>
        <w:tab/>
      </w:r>
      <w:r w:rsidR="00C15303" w:rsidRPr="00410700">
        <w:t>In 1.2.1 there</w:t>
      </w:r>
      <w:r>
        <w:t xml:space="preserve"> i</w:t>
      </w:r>
      <w:r w:rsidR="00C15303" w:rsidRPr="00410700">
        <w:t>s a</w:t>
      </w:r>
      <w:r>
        <w:t xml:space="preserve"> definition of supply vessels: "</w:t>
      </w:r>
      <w:r w:rsidR="00537955" w:rsidRPr="00410700">
        <w:t>Supply vessel means an open type N tank vessel with a dead weight of up to 300 tonnes, constructed and fitted for the carriage and delivery to other vessels of products intended for the operation of vessels</w:t>
      </w:r>
      <w:r>
        <w:t>."</w:t>
      </w:r>
      <w:r w:rsidR="00E24DB2" w:rsidRPr="00410700">
        <w:t xml:space="preserve"> This justifies the conclusion that on 31 December 2008 supply vessels were allowed to carry heavy heating oil.</w:t>
      </w:r>
    </w:p>
    <w:p w:rsidR="008971BA" w:rsidRPr="00410700" w:rsidRDefault="00410700" w:rsidP="00410700">
      <w:pPr>
        <w:pStyle w:val="SingleTxtG"/>
      </w:pPr>
      <w:r>
        <w:t>8.</w:t>
      </w:r>
      <w:r>
        <w:tab/>
      </w:r>
      <w:r w:rsidR="00EE2894" w:rsidRPr="00410700">
        <w:t xml:space="preserve">Based on 1.6.7.4.1, supply vessels are allowed to carry heavy heating oil until </w:t>
      </w:r>
      <w:r>
        <w:br/>
      </w:r>
      <w:r w:rsidR="00EE2894" w:rsidRPr="00410700">
        <w:t xml:space="preserve">31 December 2018. </w:t>
      </w:r>
      <w:r w:rsidR="00E21C89" w:rsidRPr="00410700">
        <w:t xml:space="preserve">As a consequence, UN </w:t>
      </w:r>
      <w:r>
        <w:t xml:space="preserve">No. </w:t>
      </w:r>
      <w:r w:rsidR="00E21C89" w:rsidRPr="00410700">
        <w:t xml:space="preserve">3082 has to be added to the vessel substances list. </w:t>
      </w:r>
    </w:p>
    <w:p w:rsidR="00E57DC5" w:rsidRPr="00410700" w:rsidRDefault="00410700" w:rsidP="00410700">
      <w:pPr>
        <w:pStyle w:val="SingleTxtG"/>
      </w:pPr>
      <w:r>
        <w:t>9.</w:t>
      </w:r>
      <w:r>
        <w:tab/>
        <w:t xml:space="preserve">It therefore </w:t>
      </w:r>
      <w:r w:rsidR="00E57DC5" w:rsidRPr="00410700">
        <w:t xml:space="preserve">seems logical to apply the same reasoning to the relevant single-hull tank vessels and oil separator vessels. </w:t>
      </w:r>
    </w:p>
    <w:p w:rsidR="0008636A" w:rsidRPr="00410700" w:rsidRDefault="00410700" w:rsidP="00410700">
      <w:pPr>
        <w:pStyle w:val="HChG"/>
      </w:pPr>
      <w:r>
        <w:tab/>
      </w:r>
      <w:r>
        <w:tab/>
      </w:r>
      <w:r w:rsidR="0008636A" w:rsidRPr="00410700">
        <w:t>Proposal</w:t>
      </w:r>
    </w:p>
    <w:p w:rsidR="0008636A" w:rsidRPr="00410700" w:rsidRDefault="00410700" w:rsidP="00410700">
      <w:pPr>
        <w:pStyle w:val="SingleTxtG"/>
      </w:pPr>
      <w:r>
        <w:t>10.</w:t>
      </w:r>
      <w:r>
        <w:tab/>
      </w:r>
      <w:r w:rsidR="0048425F" w:rsidRPr="00410700">
        <w:t xml:space="preserve">The Dutch delegation </w:t>
      </w:r>
      <w:r w:rsidR="005F2D49" w:rsidRPr="00410700">
        <w:t xml:space="preserve">would </w:t>
      </w:r>
      <w:r>
        <w:t xml:space="preserve">therefore </w:t>
      </w:r>
      <w:r w:rsidR="005F2D49" w:rsidRPr="00410700">
        <w:t>like to propose the followed</w:t>
      </w:r>
      <w:r w:rsidR="0048425F" w:rsidRPr="00410700">
        <w:t xml:space="preserve"> interpretation:</w:t>
      </w:r>
    </w:p>
    <w:p w:rsidR="0048425F" w:rsidRPr="00410700" w:rsidRDefault="00410700" w:rsidP="00410700">
      <w:pPr>
        <w:pStyle w:val="SingleTxtG"/>
      </w:pPr>
      <w:r>
        <w:t>"</w:t>
      </w:r>
      <w:r w:rsidR="0048425F" w:rsidRPr="00410700">
        <w:t xml:space="preserve">Interpretation </w:t>
      </w:r>
      <w:r>
        <w:t>of</w:t>
      </w:r>
      <w:r w:rsidR="0048425F" w:rsidRPr="00410700">
        <w:t xml:space="preserve"> 1.6.7.4.1</w:t>
      </w:r>
    </w:p>
    <w:p w:rsidR="0048425F" w:rsidRPr="00410700" w:rsidRDefault="0048425F" w:rsidP="00410700">
      <w:pPr>
        <w:pStyle w:val="SingleTxtG"/>
      </w:pPr>
      <w:r w:rsidRPr="00410700">
        <w:t xml:space="preserve">Single-hull tank vessels in service on 1 January 2009 with a dead weight on 1 January 2007 of less than 1,000 tonnes are allowed to carry UN </w:t>
      </w:r>
      <w:r w:rsidR="00410700">
        <w:t xml:space="preserve">No. 3082 </w:t>
      </w:r>
      <w:r w:rsidRPr="00410700">
        <w:t>ENVIRONMENTALLY HAZARDOUS SUBSTANCE; LIQUID, N.O.S. (HEAVY</w:t>
      </w:r>
      <w:r w:rsidR="00410700">
        <w:t xml:space="preserve"> </w:t>
      </w:r>
      <w:r w:rsidRPr="00410700">
        <w:t xml:space="preserve">HEATING OIL) until </w:t>
      </w:r>
      <w:r w:rsidR="00410700">
        <w:br/>
      </w:r>
      <w:r w:rsidRPr="00410700">
        <w:t>31 December 2018.</w:t>
      </w:r>
    </w:p>
    <w:p w:rsidR="00342A01" w:rsidRPr="00410700" w:rsidRDefault="0048425F" w:rsidP="00410700">
      <w:pPr>
        <w:pStyle w:val="SingleTxtG"/>
      </w:pPr>
      <w:r w:rsidRPr="00410700">
        <w:t xml:space="preserve">Supply vessels and oil separator vessels in service on 1 January 2009 with a dead weight on 1 January 2007 of less than 300 tonnes are allowed to carry UN </w:t>
      </w:r>
      <w:r w:rsidR="00410700">
        <w:t xml:space="preserve">No. </w:t>
      </w:r>
      <w:r w:rsidRPr="00410700">
        <w:t xml:space="preserve">3082 </w:t>
      </w:r>
      <w:r w:rsidRPr="00410700">
        <w:lastRenderedPageBreak/>
        <w:t>ENVIRONMENTALLY HAZARDOUS SUBSTANCE; LIQUID, N.O.S. (HEAVY</w:t>
      </w:r>
      <w:r w:rsidR="00410700">
        <w:t xml:space="preserve"> </w:t>
      </w:r>
      <w:r w:rsidRPr="00410700">
        <w:t>HEATING OIL) until 31 December 2038.</w:t>
      </w:r>
      <w:r w:rsidR="00342A01" w:rsidRPr="00410700">
        <w:t xml:space="preserve"> </w:t>
      </w:r>
    </w:p>
    <w:p w:rsidR="00323227" w:rsidRPr="0048425F" w:rsidRDefault="0048425F" w:rsidP="00410700">
      <w:pPr>
        <w:pStyle w:val="SingleTxtG"/>
      </w:pPr>
      <w:r w:rsidRPr="00410700">
        <w:t xml:space="preserve">UN </w:t>
      </w:r>
      <w:r w:rsidR="00410700">
        <w:t xml:space="preserve">No. </w:t>
      </w:r>
      <w:r w:rsidRPr="00410700">
        <w:t>3082 ENVIRONMENTALLY HAZARDOUS SUBSTANCE; LIQUID, N.O.S. (HEAVY</w:t>
      </w:r>
      <w:r w:rsidR="00410700">
        <w:t xml:space="preserve"> </w:t>
      </w:r>
      <w:r w:rsidRPr="00410700">
        <w:t>HEATING OIL) has to be added to the substances list of the vessels involved.</w:t>
      </w:r>
    </w:p>
    <w:p w:rsidR="00911601" w:rsidRPr="00106A43" w:rsidRDefault="0091160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11601" w:rsidRPr="00106A43" w:rsidSect="00481A89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47" w:rsidRPr="00FB1744" w:rsidRDefault="00553747" w:rsidP="00FB1744">
      <w:pPr>
        <w:pStyle w:val="Footer"/>
      </w:pPr>
    </w:p>
  </w:endnote>
  <w:endnote w:type="continuationSeparator" w:id="0">
    <w:p w:rsidR="00553747" w:rsidRPr="00FB1744" w:rsidRDefault="00553747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47" w:rsidRPr="00911601" w:rsidRDefault="009D521C" w:rsidP="00911601">
    <w:pPr>
      <w:pStyle w:val="Footer"/>
      <w:tabs>
        <w:tab w:val="right" w:pos="9598"/>
      </w:tabs>
    </w:pPr>
    <w:r w:rsidRPr="00911601">
      <w:rPr>
        <w:b/>
        <w:sz w:val="18"/>
      </w:rPr>
      <w:fldChar w:fldCharType="begin"/>
    </w:r>
    <w:r w:rsidR="00553747" w:rsidRPr="00911601">
      <w:rPr>
        <w:b/>
        <w:sz w:val="18"/>
      </w:rPr>
      <w:instrText xml:space="preserve"> PAGE  \* MERGEFORMAT </w:instrText>
    </w:r>
    <w:r w:rsidRPr="00911601">
      <w:rPr>
        <w:b/>
        <w:sz w:val="18"/>
      </w:rPr>
      <w:fldChar w:fldCharType="separate"/>
    </w:r>
    <w:r w:rsidR="005F5DFC">
      <w:rPr>
        <w:b/>
        <w:noProof/>
        <w:sz w:val="18"/>
      </w:rPr>
      <w:t>2</w:t>
    </w:r>
    <w:r w:rsidRPr="00911601">
      <w:rPr>
        <w:b/>
        <w:sz w:val="18"/>
      </w:rPr>
      <w:fldChar w:fldCharType="end"/>
    </w:r>
    <w:r w:rsidR="00553747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47" w:rsidRPr="00911601" w:rsidRDefault="00553747" w:rsidP="00911601">
    <w:pPr>
      <w:pStyle w:val="Footer"/>
      <w:tabs>
        <w:tab w:val="right" w:pos="9598"/>
      </w:tabs>
      <w:rPr>
        <w:b/>
        <w:sz w:val="18"/>
      </w:rPr>
    </w:pPr>
    <w:r>
      <w:tab/>
    </w:r>
    <w:r w:rsidR="009D521C" w:rsidRPr="00911601">
      <w:rPr>
        <w:b/>
        <w:sz w:val="18"/>
      </w:rPr>
      <w:fldChar w:fldCharType="begin"/>
    </w:r>
    <w:r w:rsidRPr="00911601">
      <w:rPr>
        <w:b/>
        <w:sz w:val="18"/>
      </w:rPr>
      <w:instrText xml:space="preserve"> PAGE  \* MERGEFORMAT </w:instrText>
    </w:r>
    <w:r w:rsidR="009D521C" w:rsidRPr="00911601">
      <w:rPr>
        <w:b/>
        <w:sz w:val="18"/>
      </w:rPr>
      <w:fldChar w:fldCharType="separate"/>
    </w:r>
    <w:r w:rsidR="005F5DFC">
      <w:rPr>
        <w:b/>
        <w:noProof/>
        <w:sz w:val="18"/>
      </w:rPr>
      <w:t>3</w:t>
    </w:r>
    <w:r w:rsidR="009D521C" w:rsidRPr="0091160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47" w:rsidRPr="00FB1744" w:rsidRDefault="00553747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553747" w:rsidRPr="00FB1744" w:rsidRDefault="00553747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7B0AB4" w:rsidRDefault="007B0AB4" w:rsidP="005F5DFC">
      <w:pPr>
        <w:pStyle w:val="FootnoteText"/>
      </w:pPr>
      <w:r>
        <w:rPr>
          <w:szCs w:val="24"/>
        </w:rPr>
        <w:tab/>
      </w:r>
      <w:r>
        <w:rPr>
          <w:rStyle w:val="FootnoteReference"/>
        </w:rPr>
        <w:footnoteRef/>
      </w:r>
      <w:r>
        <w:rPr>
          <w:szCs w:val="24"/>
        </w:rPr>
        <w:tab/>
      </w:r>
      <w:proofErr w:type="gramStart"/>
      <w:r>
        <w:t xml:space="preserve">Distributed in </w:t>
      </w:r>
      <w:r w:rsidRPr="005F5DFC">
        <w:t>G</w:t>
      </w:r>
      <w:bookmarkStart w:id="0" w:name="_GoBack"/>
      <w:bookmarkEnd w:id="0"/>
      <w:r w:rsidRPr="005F5DFC">
        <w:t>erman</w:t>
      </w:r>
      <w:r>
        <w:t xml:space="preserve"> by the Central Commission for the Navigation of the Rhine under the symbol CCNR</w:t>
      </w:r>
      <w:r w:rsidR="005F5DFC">
        <w:t>-</w:t>
      </w:r>
      <w:r>
        <w:t>ZKR/ADN/WP.15/AC.2/2015/30.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47" w:rsidRPr="00911601" w:rsidRDefault="007B0AB4" w:rsidP="00911601">
    <w:pPr>
      <w:pStyle w:val="Header"/>
    </w:pPr>
    <w:r>
      <w:t>ECE/TRANS/WP.15/AC.2/2015/30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47" w:rsidRPr="00911601" w:rsidRDefault="00410700" w:rsidP="00911601">
    <w:pPr>
      <w:pStyle w:val="Header"/>
      <w:jc w:val="right"/>
    </w:pPr>
    <w:r>
      <w:t>ECE/TRANS/WP.15/AC.2/2015/30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A3ADF"/>
    <w:multiLevelType w:val="hybridMultilevel"/>
    <w:tmpl w:val="B0BCB1D0"/>
    <w:lvl w:ilvl="0" w:tplc="4E300E3E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45CD79C2"/>
    <w:multiLevelType w:val="hybridMultilevel"/>
    <w:tmpl w:val="52E6D2D2"/>
    <w:lvl w:ilvl="0" w:tplc="F612AFAE">
      <w:start w:val="1"/>
      <w:numFmt w:val="decimal"/>
      <w:lvlText w:val="%1."/>
      <w:lvlJc w:val="left"/>
      <w:pPr>
        <w:ind w:left="464" w:hanging="360"/>
      </w:pPr>
      <w:rPr>
        <w:rFonts w:eastAsia="Calibri" w:hint="default"/>
      </w:rPr>
    </w:lvl>
    <w:lvl w:ilvl="1" w:tplc="04130019" w:tentative="1">
      <w:start w:val="1"/>
      <w:numFmt w:val="lowerLetter"/>
      <w:lvlText w:val="%2."/>
      <w:lvlJc w:val="left"/>
      <w:pPr>
        <w:ind w:left="1184" w:hanging="360"/>
      </w:pPr>
    </w:lvl>
    <w:lvl w:ilvl="2" w:tplc="0413001B" w:tentative="1">
      <w:start w:val="1"/>
      <w:numFmt w:val="lowerRoman"/>
      <w:lvlText w:val="%3."/>
      <w:lvlJc w:val="right"/>
      <w:pPr>
        <w:ind w:left="1904" w:hanging="180"/>
      </w:pPr>
    </w:lvl>
    <w:lvl w:ilvl="3" w:tplc="0413000F" w:tentative="1">
      <w:start w:val="1"/>
      <w:numFmt w:val="decimal"/>
      <w:lvlText w:val="%4."/>
      <w:lvlJc w:val="left"/>
      <w:pPr>
        <w:ind w:left="2624" w:hanging="360"/>
      </w:pPr>
    </w:lvl>
    <w:lvl w:ilvl="4" w:tplc="04130019" w:tentative="1">
      <w:start w:val="1"/>
      <w:numFmt w:val="lowerLetter"/>
      <w:lvlText w:val="%5."/>
      <w:lvlJc w:val="left"/>
      <w:pPr>
        <w:ind w:left="3344" w:hanging="360"/>
      </w:pPr>
    </w:lvl>
    <w:lvl w:ilvl="5" w:tplc="0413001B" w:tentative="1">
      <w:start w:val="1"/>
      <w:numFmt w:val="lowerRoman"/>
      <w:lvlText w:val="%6."/>
      <w:lvlJc w:val="right"/>
      <w:pPr>
        <w:ind w:left="4064" w:hanging="180"/>
      </w:pPr>
    </w:lvl>
    <w:lvl w:ilvl="6" w:tplc="0413000F" w:tentative="1">
      <w:start w:val="1"/>
      <w:numFmt w:val="decimal"/>
      <w:lvlText w:val="%7."/>
      <w:lvlJc w:val="left"/>
      <w:pPr>
        <w:ind w:left="4784" w:hanging="360"/>
      </w:pPr>
    </w:lvl>
    <w:lvl w:ilvl="7" w:tplc="04130019" w:tentative="1">
      <w:start w:val="1"/>
      <w:numFmt w:val="lowerLetter"/>
      <w:lvlText w:val="%8."/>
      <w:lvlJc w:val="left"/>
      <w:pPr>
        <w:ind w:left="5504" w:hanging="360"/>
      </w:pPr>
    </w:lvl>
    <w:lvl w:ilvl="8" w:tplc="0413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6">
    <w:nsid w:val="5BD07134"/>
    <w:multiLevelType w:val="hybridMultilevel"/>
    <w:tmpl w:val="79A40656"/>
    <w:lvl w:ilvl="0" w:tplc="0374DBF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0"/>
    <w:rsid w:val="0004480D"/>
    <w:rsid w:val="00046E92"/>
    <w:rsid w:val="000548A2"/>
    <w:rsid w:val="0008636A"/>
    <w:rsid w:val="00096DE5"/>
    <w:rsid w:val="0009775E"/>
    <w:rsid w:val="000B24EB"/>
    <w:rsid w:val="000B4F8A"/>
    <w:rsid w:val="000B7930"/>
    <w:rsid w:val="000B7A3F"/>
    <w:rsid w:val="000F7808"/>
    <w:rsid w:val="001170DC"/>
    <w:rsid w:val="00154EA7"/>
    <w:rsid w:val="00175F00"/>
    <w:rsid w:val="00195430"/>
    <w:rsid w:val="001B4F68"/>
    <w:rsid w:val="001D2BCA"/>
    <w:rsid w:val="001D2EBB"/>
    <w:rsid w:val="00224184"/>
    <w:rsid w:val="0022759A"/>
    <w:rsid w:val="00247E2C"/>
    <w:rsid w:val="0025153E"/>
    <w:rsid w:val="002631A9"/>
    <w:rsid w:val="00264FB8"/>
    <w:rsid w:val="00273E85"/>
    <w:rsid w:val="002A0A91"/>
    <w:rsid w:val="002D6C53"/>
    <w:rsid w:val="002E537A"/>
    <w:rsid w:val="002F5595"/>
    <w:rsid w:val="00323227"/>
    <w:rsid w:val="003247D2"/>
    <w:rsid w:val="00334F6A"/>
    <w:rsid w:val="00342A01"/>
    <w:rsid w:val="00342AC8"/>
    <w:rsid w:val="00350ED9"/>
    <w:rsid w:val="00353778"/>
    <w:rsid w:val="003759FC"/>
    <w:rsid w:val="00386C14"/>
    <w:rsid w:val="003B2376"/>
    <w:rsid w:val="003B4550"/>
    <w:rsid w:val="003D4A65"/>
    <w:rsid w:val="00410700"/>
    <w:rsid w:val="00420899"/>
    <w:rsid w:val="0044422E"/>
    <w:rsid w:val="00461253"/>
    <w:rsid w:val="004621EE"/>
    <w:rsid w:val="00481A89"/>
    <w:rsid w:val="0048425F"/>
    <w:rsid w:val="004A058C"/>
    <w:rsid w:val="004A176D"/>
    <w:rsid w:val="004B500B"/>
    <w:rsid w:val="004E29CA"/>
    <w:rsid w:val="005042C2"/>
    <w:rsid w:val="00537955"/>
    <w:rsid w:val="00553747"/>
    <w:rsid w:val="005540E3"/>
    <w:rsid w:val="00581F02"/>
    <w:rsid w:val="00585778"/>
    <w:rsid w:val="005F2D49"/>
    <w:rsid w:val="005F5091"/>
    <w:rsid w:val="005F5DFC"/>
    <w:rsid w:val="005F7064"/>
    <w:rsid w:val="006031B7"/>
    <w:rsid w:val="00611E6B"/>
    <w:rsid w:val="0061697B"/>
    <w:rsid w:val="00671529"/>
    <w:rsid w:val="006962F0"/>
    <w:rsid w:val="00717266"/>
    <w:rsid w:val="00721426"/>
    <w:rsid w:val="007268F9"/>
    <w:rsid w:val="00736593"/>
    <w:rsid w:val="007A5AB7"/>
    <w:rsid w:val="007B0AB4"/>
    <w:rsid w:val="007B60E2"/>
    <w:rsid w:val="007C52B0"/>
    <w:rsid w:val="007C59C8"/>
    <w:rsid w:val="007C6A5B"/>
    <w:rsid w:val="008076E2"/>
    <w:rsid w:val="00833D8E"/>
    <w:rsid w:val="008518FC"/>
    <w:rsid w:val="00894069"/>
    <w:rsid w:val="00896720"/>
    <w:rsid w:val="008971BA"/>
    <w:rsid w:val="008B4637"/>
    <w:rsid w:val="00906234"/>
    <w:rsid w:val="00906BF3"/>
    <w:rsid w:val="00911601"/>
    <w:rsid w:val="009259A5"/>
    <w:rsid w:val="009411B4"/>
    <w:rsid w:val="0095616B"/>
    <w:rsid w:val="00964B83"/>
    <w:rsid w:val="00970E19"/>
    <w:rsid w:val="00977233"/>
    <w:rsid w:val="009B5E6D"/>
    <w:rsid w:val="009D0139"/>
    <w:rsid w:val="009D521C"/>
    <w:rsid w:val="009D7354"/>
    <w:rsid w:val="009E1D0B"/>
    <w:rsid w:val="009F5297"/>
    <w:rsid w:val="009F5CDC"/>
    <w:rsid w:val="00A1418F"/>
    <w:rsid w:val="00A35586"/>
    <w:rsid w:val="00A55448"/>
    <w:rsid w:val="00A70285"/>
    <w:rsid w:val="00A775CF"/>
    <w:rsid w:val="00AA1988"/>
    <w:rsid w:val="00AB3C7E"/>
    <w:rsid w:val="00AB6803"/>
    <w:rsid w:val="00AE5645"/>
    <w:rsid w:val="00B06045"/>
    <w:rsid w:val="00B13858"/>
    <w:rsid w:val="00B23C3F"/>
    <w:rsid w:val="00B37FF0"/>
    <w:rsid w:val="00B53F6A"/>
    <w:rsid w:val="00B72F7F"/>
    <w:rsid w:val="00B812C8"/>
    <w:rsid w:val="00BA07E8"/>
    <w:rsid w:val="00BA7256"/>
    <w:rsid w:val="00BB2858"/>
    <w:rsid w:val="00BC67F5"/>
    <w:rsid w:val="00BD09CD"/>
    <w:rsid w:val="00BD2213"/>
    <w:rsid w:val="00C15303"/>
    <w:rsid w:val="00C205F2"/>
    <w:rsid w:val="00C35A27"/>
    <w:rsid w:val="00C52560"/>
    <w:rsid w:val="00CA168F"/>
    <w:rsid w:val="00CB0E42"/>
    <w:rsid w:val="00CC2B3A"/>
    <w:rsid w:val="00CE48AC"/>
    <w:rsid w:val="00CF4248"/>
    <w:rsid w:val="00D238A2"/>
    <w:rsid w:val="00D23CBB"/>
    <w:rsid w:val="00D3327D"/>
    <w:rsid w:val="00D60C0E"/>
    <w:rsid w:val="00D95D9A"/>
    <w:rsid w:val="00D97556"/>
    <w:rsid w:val="00DB1B6D"/>
    <w:rsid w:val="00DB563B"/>
    <w:rsid w:val="00DC5E60"/>
    <w:rsid w:val="00E02C2B"/>
    <w:rsid w:val="00E03CE1"/>
    <w:rsid w:val="00E10A28"/>
    <w:rsid w:val="00E21C89"/>
    <w:rsid w:val="00E24DB2"/>
    <w:rsid w:val="00E2708D"/>
    <w:rsid w:val="00E323CB"/>
    <w:rsid w:val="00E341DD"/>
    <w:rsid w:val="00E347A1"/>
    <w:rsid w:val="00E57DC5"/>
    <w:rsid w:val="00E61B76"/>
    <w:rsid w:val="00E77BF4"/>
    <w:rsid w:val="00ED4A82"/>
    <w:rsid w:val="00ED6C48"/>
    <w:rsid w:val="00EE2894"/>
    <w:rsid w:val="00EE4023"/>
    <w:rsid w:val="00F36B90"/>
    <w:rsid w:val="00F41220"/>
    <w:rsid w:val="00F43912"/>
    <w:rsid w:val="00F65F5D"/>
    <w:rsid w:val="00F77A75"/>
    <w:rsid w:val="00F86A3A"/>
    <w:rsid w:val="00F9458F"/>
    <w:rsid w:val="00FA7D6D"/>
    <w:rsid w:val="00FB1744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Body Text" w:uiPriority="1" w:qFormat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line="240" w:lineRule="atLeast"/>
    </w:pPr>
    <w:rPr>
      <w:rFonts w:ascii="Times New Roman" w:eastAsia="Times New Roman" w:hAnsi="Times New Roman" w:cs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paragraph" w:styleId="BodyText">
    <w:name w:val="Body Text"/>
    <w:basedOn w:val="Normal"/>
    <w:next w:val="Normal"/>
    <w:link w:val="BodyTextChar"/>
    <w:uiPriority w:val="1"/>
    <w:qFormat/>
    <w:rsid w:val="000B7930"/>
  </w:style>
  <w:style w:type="character" w:customStyle="1" w:styleId="BodyTextChar">
    <w:name w:val="Body Text Char"/>
    <w:link w:val="BodyText"/>
    <w:uiPriority w:val="1"/>
    <w:rsid w:val="000B7930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B7930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Body Text" w:uiPriority="1" w:qFormat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line="240" w:lineRule="atLeast"/>
    </w:pPr>
    <w:rPr>
      <w:rFonts w:ascii="Times New Roman" w:eastAsia="Times New Roman" w:hAnsi="Times New Roman" w:cs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paragraph" w:styleId="BodyText">
    <w:name w:val="Body Text"/>
    <w:basedOn w:val="Normal"/>
    <w:next w:val="Normal"/>
    <w:link w:val="BodyTextChar"/>
    <w:uiPriority w:val="1"/>
    <w:qFormat/>
    <w:rsid w:val="000B7930"/>
  </w:style>
  <w:style w:type="character" w:customStyle="1" w:styleId="BodyTextChar">
    <w:name w:val="Body Text Char"/>
    <w:link w:val="BodyText"/>
    <w:uiPriority w:val="1"/>
    <w:rsid w:val="000B7930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B7930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E521-1D7B-48F0-805E-5891F0D6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1419618(E)</vt:lpstr>
      <vt:lpstr>1419618(E)</vt:lpstr>
    </vt:vector>
  </TitlesOfParts>
  <Company>DCM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1419618(E)</dc:title>
  <dc:subject>ECE/TRANS/WP.15/AC.2/2015/1</dc:subject>
  <dc:creator>Escalante</dc:creator>
  <dc:description>final</dc:description>
  <cp:lastModifiedBy>Luciolle</cp:lastModifiedBy>
  <cp:revision>5</cp:revision>
  <cp:lastPrinted>2015-05-28T09:46:00Z</cp:lastPrinted>
  <dcterms:created xsi:type="dcterms:W3CDTF">2015-05-29T08:38:00Z</dcterms:created>
  <dcterms:modified xsi:type="dcterms:W3CDTF">2015-06-02T08:49:00Z</dcterms:modified>
</cp:coreProperties>
</file>