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10" w:rsidRPr="003531C7" w:rsidRDefault="00503510" w:rsidP="00503510">
      <w:pPr>
        <w:spacing w:line="240" w:lineRule="auto"/>
        <w:rPr>
          <w:sz w:val="2"/>
        </w:rPr>
        <w:sectPr w:rsidR="00503510" w:rsidRPr="003531C7" w:rsidSect="0050351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503510" w:rsidRPr="00D429F6" w:rsidRDefault="00503510" w:rsidP="00503510">
      <w:pPr>
        <w:pStyle w:val="H1"/>
        <w:spacing w:after="120"/>
        <w:rPr>
          <w:sz w:val="28"/>
          <w:lang w:val="fr-FR"/>
        </w:rPr>
      </w:pPr>
      <w:r w:rsidRPr="00D429F6">
        <w:rPr>
          <w:sz w:val="28"/>
          <w:lang w:val="fr-FR"/>
        </w:rPr>
        <w:lastRenderedPageBreak/>
        <w:t>Commission économique pour l’Europe</w:t>
      </w:r>
    </w:p>
    <w:p w:rsidR="00503510" w:rsidRPr="00D429F6" w:rsidRDefault="00503510" w:rsidP="00503510">
      <w:pPr>
        <w:pStyle w:val="H1"/>
        <w:spacing w:after="120" w:line="300" w:lineRule="exact"/>
        <w:rPr>
          <w:b w:val="0"/>
          <w:sz w:val="28"/>
          <w:lang w:val="fr-FR"/>
        </w:rPr>
      </w:pPr>
      <w:r w:rsidRPr="00D429F6">
        <w:rPr>
          <w:b w:val="0"/>
          <w:sz w:val="28"/>
          <w:lang w:val="fr-FR"/>
        </w:rPr>
        <w:t>Comité des transports intérieurs</w:t>
      </w:r>
    </w:p>
    <w:p w:rsidR="00625FB5" w:rsidRPr="00D429F6" w:rsidRDefault="00625FB5" w:rsidP="00A1565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lang w:val="fr-FR"/>
        </w:rPr>
      </w:pPr>
      <w:r w:rsidRPr="00D429F6">
        <w:rPr>
          <w:lang w:val="fr-FR"/>
        </w:rPr>
        <w:t>Groupe de travail des transports</w:t>
      </w:r>
      <w:r w:rsidRPr="00D429F6">
        <w:rPr>
          <w:lang w:val="fr-FR"/>
        </w:rPr>
        <w:br/>
        <w:t>de marchandises dangereuses</w:t>
      </w:r>
    </w:p>
    <w:p w:rsidR="00625FB5" w:rsidRPr="00D429F6" w:rsidRDefault="00625FB5" w:rsidP="003F2D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szCs w:val="20"/>
          <w:lang w:val="fr-FR"/>
        </w:rPr>
      </w:pPr>
      <w:r w:rsidRPr="00D429F6">
        <w:rPr>
          <w:lang w:val="fr-FR"/>
        </w:rPr>
        <w:t>Réunion commune d’experts sur le Règlement annexé</w:t>
      </w:r>
      <w:bookmarkStart w:id="1" w:name="insstart"/>
      <w:bookmarkEnd w:id="1"/>
      <w:r w:rsidR="00A1565E" w:rsidRPr="00D429F6">
        <w:rPr>
          <w:lang w:val="fr-FR"/>
        </w:rPr>
        <w:t xml:space="preserve"> </w:t>
      </w:r>
      <w:r w:rsidRPr="00D429F6">
        <w:rPr>
          <w:lang w:val="fr-FR"/>
        </w:rPr>
        <w:t xml:space="preserve">à l’Accord </w:t>
      </w:r>
      <w:r w:rsidR="00A1565E" w:rsidRPr="00D429F6">
        <w:rPr>
          <w:lang w:val="fr-FR"/>
        </w:rPr>
        <w:br/>
      </w:r>
      <w:r w:rsidRPr="00D429F6">
        <w:rPr>
          <w:lang w:val="fr-FR"/>
        </w:rPr>
        <w:t>européen relatif au transport international</w:t>
      </w:r>
      <w:r w:rsidR="00A1565E" w:rsidRPr="00D429F6">
        <w:rPr>
          <w:lang w:val="fr-FR"/>
        </w:rPr>
        <w:t xml:space="preserve"> </w:t>
      </w:r>
      <w:r w:rsidRPr="00D429F6">
        <w:rPr>
          <w:lang w:val="fr-FR"/>
        </w:rPr>
        <w:t xml:space="preserve">des marchandises </w:t>
      </w:r>
      <w:r w:rsidR="00A1565E" w:rsidRPr="00D429F6">
        <w:rPr>
          <w:lang w:val="fr-FR"/>
        </w:rPr>
        <w:br/>
      </w:r>
      <w:r w:rsidRPr="00D429F6">
        <w:rPr>
          <w:bCs/>
          <w:iCs/>
          <w:lang w:val="fr-FR"/>
        </w:rPr>
        <w:t>dangereuses par voies de navigation</w:t>
      </w:r>
      <w:r w:rsidR="00A1565E" w:rsidRPr="00D429F6">
        <w:rPr>
          <w:bCs/>
          <w:iCs/>
          <w:lang w:val="fr-FR"/>
        </w:rPr>
        <w:t xml:space="preserve"> </w:t>
      </w:r>
      <w:r w:rsidRPr="00D429F6">
        <w:rPr>
          <w:bCs/>
          <w:iCs/>
          <w:lang w:val="fr-FR"/>
        </w:rPr>
        <w:t xml:space="preserve">intérieures (ADN) </w:t>
      </w:r>
      <w:r w:rsidR="00A1565E" w:rsidRPr="00D429F6">
        <w:rPr>
          <w:bCs/>
          <w:iCs/>
          <w:lang w:val="fr-FR"/>
        </w:rPr>
        <w:br/>
      </w:r>
      <w:r w:rsidRPr="00D429F6">
        <w:rPr>
          <w:bCs/>
          <w:lang w:val="fr-FR"/>
        </w:rPr>
        <w:t>(Comité de sécurité de l’ADN)</w:t>
      </w:r>
    </w:p>
    <w:p w:rsidR="00625FB5" w:rsidRPr="00D429F6" w:rsidRDefault="00625FB5" w:rsidP="003F2D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429F6">
        <w:rPr>
          <w:lang w:val="fr-FR"/>
        </w:rPr>
        <w:t>Vingt-septième session</w:t>
      </w:r>
    </w:p>
    <w:p w:rsidR="00625FB5" w:rsidRPr="00D429F6" w:rsidRDefault="00625FB5" w:rsidP="003F2DB3">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429F6">
        <w:rPr>
          <w:lang w:val="fr-FR"/>
        </w:rPr>
        <w:t>Genève, 24-28 août 2015</w:t>
      </w:r>
    </w:p>
    <w:p w:rsidR="00625FB5" w:rsidRPr="00D429F6" w:rsidRDefault="00625FB5" w:rsidP="003F2DB3">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429F6">
        <w:rPr>
          <w:lang w:val="fr-FR"/>
        </w:rPr>
        <w:t xml:space="preserve">Point 4 b) de l’ordre du jour provisoire </w:t>
      </w:r>
    </w:p>
    <w:p w:rsidR="00625FB5" w:rsidRPr="00D429F6" w:rsidRDefault="00625FB5" w:rsidP="00467E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429F6">
        <w:rPr>
          <w:lang w:val="fr-FR"/>
        </w:rPr>
        <w:t>Propositions d’amendements au Règlement annexé à l’ADN</w:t>
      </w:r>
      <w:r w:rsidR="003F2DB3" w:rsidRPr="00D429F6">
        <w:rPr>
          <w:lang w:val="fr-FR"/>
        </w:rPr>
        <w:t> </w:t>
      </w:r>
      <w:r w:rsidRPr="00D429F6">
        <w:rPr>
          <w:lang w:val="fr-FR"/>
        </w:rPr>
        <w:t xml:space="preserve">: </w:t>
      </w:r>
      <w:r w:rsidR="00467E93" w:rsidRPr="00D429F6">
        <w:rPr>
          <w:lang w:val="fr-FR"/>
        </w:rPr>
        <w:br/>
      </w:r>
      <w:r w:rsidRPr="00D429F6">
        <w:rPr>
          <w:lang w:val="fr-FR"/>
        </w:rPr>
        <w:t>Autres propositions</w:t>
      </w:r>
    </w:p>
    <w:p w:rsidR="00132CCC" w:rsidRPr="00D429F6" w:rsidRDefault="00132CCC" w:rsidP="00132CCC">
      <w:pPr>
        <w:spacing w:line="120" w:lineRule="exact"/>
        <w:rPr>
          <w:sz w:val="10"/>
          <w:lang w:val="fr-FR"/>
        </w:rPr>
      </w:pPr>
    </w:p>
    <w:p w:rsidR="00132CCC" w:rsidRPr="00D429F6" w:rsidRDefault="00132CCC" w:rsidP="00132CCC">
      <w:pPr>
        <w:spacing w:line="120" w:lineRule="exact"/>
        <w:rPr>
          <w:sz w:val="10"/>
          <w:lang w:val="fr-FR"/>
        </w:rPr>
      </w:pPr>
    </w:p>
    <w:p w:rsidR="00132CCC" w:rsidRPr="00D429F6" w:rsidRDefault="00132CCC" w:rsidP="00132CCC">
      <w:pPr>
        <w:spacing w:line="120" w:lineRule="exact"/>
        <w:rPr>
          <w:sz w:val="10"/>
          <w:lang w:val="fr-FR"/>
        </w:rPr>
      </w:pPr>
    </w:p>
    <w:p w:rsidR="00625FB5" w:rsidRPr="00D429F6" w:rsidRDefault="00625FB5" w:rsidP="00132C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429F6">
        <w:rPr>
          <w:lang w:val="fr-FR"/>
        </w:rPr>
        <w:tab/>
      </w:r>
      <w:r w:rsidRPr="00D429F6">
        <w:rPr>
          <w:lang w:val="fr-FR"/>
        </w:rPr>
        <w:tab/>
        <w:t xml:space="preserve">Dispositions transitoires concernant la modification </w:t>
      </w:r>
      <w:r w:rsidR="00132CCC" w:rsidRPr="00D429F6">
        <w:rPr>
          <w:lang w:val="fr-FR"/>
        </w:rPr>
        <w:br/>
      </w:r>
      <w:r w:rsidRPr="00D429F6">
        <w:rPr>
          <w:lang w:val="fr-FR"/>
        </w:rPr>
        <w:t>d’un bateau-citerne au paragraphe 1.6.7.5.1 c)</w:t>
      </w:r>
    </w:p>
    <w:p w:rsidR="00132CCC" w:rsidRPr="00D429F6" w:rsidRDefault="00132CCC" w:rsidP="00132CCC">
      <w:pPr>
        <w:pStyle w:val="SingleTxt"/>
        <w:spacing w:after="0" w:line="120" w:lineRule="exact"/>
        <w:rPr>
          <w:sz w:val="10"/>
          <w:lang w:val="fr-FR"/>
        </w:rPr>
      </w:pPr>
    </w:p>
    <w:p w:rsidR="00132CCC" w:rsidRPr="00D429F6" w:rsidRDefault="00132CCC" w:rsidP="00132CCC">
      <w:pPr>
        <w:pStyle w:val="SingleTxt"/>
        <w:spacing w:after="0" w:line="120" w:lineRule="exact"/>
        <w:rPr>
          <w:sz w:val="10"/>
          <w:lang w:val="fr-FR"/>
        </w:rPr>
      </w:pPr>
    </w:p>
    <w:p w:rsidR="00625FB5" w:rsidRPr="00D429F6" w:rsidRDefault="00625FB5" w:rsidP="00132CC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bidi="en-GB"/>
        </w:rPr>
      </w:pPr>
      <w:r w:rsidRPr="00D429F6">
        <w:rPr>
          <w:lang w:val="fr-FR" w:bidi="en-GB"/>
        </w:rPr>
        <w:tab/>
      </w:r>
      <w:r w:rsidRPr="00D429F6">
        <w:rPr>
          <w:lang w:val="fr-FR" w:bidi="en-GB"/>
        </w:rPr>
        <w:tab/>
        <w:t>Communication des sociétés de classification recommandées ADN</w:t>
      </w:r>
      <w:r w:rsidRPr="001326D1">
        <w:rPr>
          <w:b w:val="0"/>
          <w:bCs/>
          <w:sz w:val="20"/>
          <w:szCs w:val="20"/>
          <w:vertAlign w:val="superscript"/>
          <w:lang w:val="fr-FR"/>
        </w:rPr>
        <w:footnoteReference w:id="1"/>
      </w:r>
    </w:p>
    <w:p w:rsidR="00132CCC" w:rsidRPr="00D429F6" w:rsidRDefault="00132CCC" w:rsidP="00132CCC">
      <w:pPr>
        <w:spacing w:line="120" w:lineRule="exact"/>
        <w:rPr>
          <w:sz w:val="10"/>
          <w:lang w:val="fr-FR" w:bidi="en-GB"/>
        </w:rPr>
      </w:pPr>
    </w:p>
    <w:p w:rsidR="00132CCC" w:rsidRPr="00D429F6" w:rsidRDefault="00132CCC" w:rsidP="00132CCC">
      <w:pPr>
        <w:spacing w:line="120" w:lineRule="exact"/>
        <w:rPr>
          <w:sz w:val="10"/>
          <w:lang w:val="fr-FR" w:bidi="en-GB"/>
        </w:rPr>
      </w:pPr>
    </w:p>
    <w:p w:rsidR="00625FB5" w:rsidRPr="00D429F6" w:rsidRDefault="00625FB5" w:rsidP="00132CC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429F6">
        <w:rPr>
          <w:lang w:val="fr-FR"/>
        </w:rPr>
        <w:tab/>
      </w:r>
      <w:r w:rsidRPr="00D429F6">
        <w:rPr>
          <w:lang w:val="fr-FR"/>
        </w:rPr>
        <w:tab/>
        <w:t>Introduction</w:t>
      </w:r>
    </w:p>
    <w:p w:rsidR="00132CCC" w:rsidRPr="00D429F6" w:rsidRDefault="00132CCC" w:rsidP="00132CCC">
      <w:pPr>
        <w:spacing w:line="120" w:lineRule="exact"/>
        <w:rPr>
          <w:sz w:val="10"/>
          <w:lang w:val="fr-FR"/>
        </w:rPr>
      </w:pPr>
    </w:p>
    <w:p w:rsidR="00132CCC" w:rsidRPr="00D429F6" w:rsidRDefault="00132CCC" w:rsidP="00132CCC">
      <w:pPr>
        <w:spacing w:line="120" w:lineRule="exact"/>
        <w:rPr>
          <w:sz w:val="10"/>
          <w:lang w:val="fr-FR"/>
        </w:rPr>
      </w:pPr>
    </w:p>
    <w:p w:rsidR="00625FB5" w:rsidRPr="00D429F6" w:rsidRDefault="00625FB5" w:rsidP="003531C7">
      <w:pPr>
        <w:pStyle w:val="SingleTxt"/>
        <w:rPr>
          <w:lang w:val="fr-FR"/>
        </w:rPr>
      </w:pPr>
      <w:r w:rsidRPr="00D429F6">
        <w:rPr>
          <w:lang w:val="fr-FR"/>
        </w:rPr>
        <w:t>1.</w:t>
      </w:r>
      <w:r w:rsidRPr="00D429F6">
        <w:rPr>
          <w:lang w:val="fr-FR"/>
        </w:rPr>
        <w:tab/>
        <w:t>Des dispositions transitoires concernant la modification d’un bateau-citerne afin d’obtenir un bateau à double coque de type N figurent au paragraphe</w:t>
      </w:r>
      <w:r w:rsidR="00946D50">
        <w:rPr>
          <w:lang w:val="fr-FR"/>
        </w:rPr>
        <w:t xml:space="preserve"> </w:t>
      </w:r>
      <w:r w:rsidRPr="00D429F6">
        <w:rPr>
          <w:lang w:val="fr-FR"/>
        </w:rPr>
        <w:t>1.6.7.5.1</w:t>
      </w:r>
      <w:r w:rsidR="003531C7" w:rsidRPr="00D429F6">
        <w:rPr>
          <w:lang w:val="fr-FR"/>
        </w:rPr>
        <w:t> </w:t>
      </w:r>
      <w:r w:rsidRPr="00D429F6">
        <w:rPr>
          <w:lang w:val="fr-FR"/>
        </w:rPr>
        <w:t>:</w:t>
      </w:r>
    </w:p>
    <w:p w:rsidR="00625FB5" w:rsidRPr="00D429F6" w:rsidRDefault="00625FB5" w:rsidP="00396D39">
      <w:pPr>
        <w:pStyle w:val="SingleTxt"/>
        <w:tabs>
          <w:tab w:val="clear" w:pos="2218"/>
          <w:tab w:val="left" w:pos="2340"/>
        </w:tabs>
        <w:ind w:left="2340" w:hanging="1073"/>
        <w:rPr>
          <w:lang w:val="fr-FR"/>
        </w:rPr>
      </w:pPr>
      <w:r w:rsidRPr="00D429F6">
        <w:rPr>
          <w:lang w:val="fr-FR"/>
        </w:rPr>
        <w:t>«</w:t>
      </w:r>
      <w:r w:rsidR="003531C7" w:rsidRPr="00D429F6">
        <w:rPr>
          <w:lang w:val="fr-FR"/>
        </w:rPr>
        <w:t> </w:t>
      </w:r>
      <w:r w:rsidRPr="00D429F6">
        <w:rPr>
          <w:lang w:val="fr-FR"/>
        </w:rPr>
        <w:t>1.6.7.5.1</w:t>
      </w:r>
      <w:r w:rsidRPr="00D429F6">
        <w:rPr>
          <w:lang w:val="fr-FR"/>
        </w:rPr>
        <w:tab/>
        <w:t>La modification de la zone de cargaison d’un bateau afin d’obtenir un bateau à double coque de type N est permise jusqu’au 31</w:t>
      </w:r>
      <w:r w:rsidR="003531C7" w:rsidRPr="00D429F6">
        <w:rPr>
          <w:lang w:val="fr-FR"/>
        </w:rPr>
        <w:t> </w:t>
      </w:r>
      <w:r w:rsidRPr="00D429F6">
        <w:rPr>
          <w:lang w:val="fr-FR"/>
        </w:rPr>
        <w:t>décembre 2018, selon les conditions suivantes</w:t>
      </w:r>
      <w:r w:rsidR="003531C7" w:rsidRPr="00D429F6">
        <w:rPr>
          <w:lang w:val="fr-FR"/>
        </w:rPr>
        <w:t> </w:t>
      </w:r>
      <w:r w:rsidRPr="00D429F6">
        <w:rPr>
          <w:lang w:val="fr-FR"/>
        </w:rPr>
        <w:t>:</w:t>
      </w:r>
    </w:p>
    <w:p w:rsidR="00625FB5" w:rsidRPr="00D429F6" w:rsidRDefault="003531C7" w:rsidP="00D86236">
      <w:pPr>
        <w:pStyle w:val="SingleTxt"/>
        <w:tabs>
          <w:tab w:val="clear" w:pos="2218"/>
          <w:tab w:val="left" w:pos="2340"/>
        </w:tabs>
        <w:rPr>
          <w:lang w:val="fr-FR"/>
        </w:rPr>
      </w:pPr>
      <w:r w:rsidRPr="00D429F6">
        <w:rPr>
          <w:lang w:val="fr-FR"/>
        </w:rPr>
        <w:tab/>
      </w:r>
      <w:r w:rsidR="00396D39">
        <w:rPr>
          <w:lang w:val="fr-FR"/>
        </w:rPr>
        <w:tab/>
      </w:r>
      <w:r w:rsidR="00625FB5" w:rsidRPr="00D429F6">
        <w:rPr>
          <w:lang w:val="fr-FR"/>
        </w:rPr>
        <w:t>a)</w:t>
      </w:r>
      <w:r w:rsidRPr="00D429F6">
        <w:rPr>
          <w:lang w:val="fr-FR"/>
        </w:rPr>
        <w:tab/>
        <w:t>…</w:t>
      </w:r>
    </w:p>
    <w:p w:rsidR="00625FB5" w:rsidRPr="00D429F6" w:rsidRDefault="003531C7" w:rsidP="00D86236">
      <w:pPr>
        <w:pStyle w:val="SingleTxt"/>
        <w:tabs>
          <w:tab w:val="clear" w:pos="2218"/>
          <w:tab w:val="left" w:pos="2340"/>
        </w:tabs>
        <w:rPr>
          <w:lang w:val="fr-FR"/>
        </w:rPr>
      </w:pPr>
      <w:r w:rsidRPr="00D429F6">
        <w:rPr>
          <w:lang w:val="fr-FR"/>
        </w:rPr>
        <w:tab/>
      </w:r>
      <w:r w:rsidR="00396D39">
        <w:rPr>
          <w:lang w:val="fr-FR"/>
        </w:rPr>
        <w:tab/>
      </w:r>
      <w:r w:rsidR="00625FB5" w:rsidRPr="00D429F6">
        <w:rPr>
          <w:lang w:val="fr-FR"/>
        </w:rPr>
        <w:t>b)</w:t>
      </w:r>
      <w:r w:rsidRPr="00D429F6">
        <w:rPr>
          <w:lang w:val="fr-FR"/>
        </w:rPr>
        <w:tab/>
        <w:t>…</w:t>
      </w:r>
    </w:p>
    <w:p w:rsidR="00625FB5" w:rsidRPr="00D429F6" w:rsidRDefault="003531C7" w:rsidP="00396D39">
      <w:pPr>
        <w:pStyle w:val="SingleTxt"/>
        <w:tabs>
          <w:tab w:val="clear" w:pos="2218"/>
          <w:tab w:val="left" w:pos="2340"/>
        </w:tabs>
        <w:ind w:left="2693" w:hanging="1426"/>
        <w:rPr>
          <w:lang w:val="fr-FR"/>
        </w:rPr>
      </w:pPr>
      <w:r w:rsidRPr="00D429F6">
        <w:rPr>
          <w:lang w:val="fr-FR"/>
        </w:rPr>
        <w:tab/>
      </w:r>
      <w:r w:rsidR="00396D39">
        <w:rPr>
          <w:lang w:val="fr-FR"/>
        </w:rPr>
        <w:tab/>
      </w:r>
      <w:r w:rsidRPr="00D429F6">
        <w:rPr>
          <w:lang w:val="fr-FR"/>
        </w:rPr>
        <w:t>c)</w:t>
      </w:r>
      <w:r w:rsidR="00625FB5" w:rsidRPr="00D429F6">
        <w:rPr>
          <w:lang w:val="fr-FR"/>
        </w:rPr>
        <w:tab/>
        <w:t>Si les marchandises nécessitant une protection contre les explosions sont énumérées dans la liste conformément au paragraphe</w:t>
      </w:r>
      <w:r w:rsidR="00946D50">
        <w:rPr>
          <w:lang w:val="fr-FR"/>
        </w:rPr>
        <w:t xml:space="preserve"> </w:t>
      </w:r>
      <w:r w:rsidR="00625FB5" w:rsidRPr="00D429F6">
        <w:rPr>
          <w:lang w:val="fr-FR"/>
        </w:rPr>
        <w:t>1.16.1.2.5, les logements et les timoneries doivent être équipés d’un système d’alarme incendie conformément au 9.3.3.40.2.3;</w:t>
      </w:r>
    </w:p>
    <w:p w:rsidR="00625FB5" w:rsidRPr="00D429F6" w:rsidRDefault="003531C7" w:rsidP="00D86236">
      <w:pPr>
        <w:pStyle w:val="SingleTxt"/>
        <w:tabs>
          <w:tab w:val="clear" w:pos="2218"/>
          <w:tab w:val="left" w:pos="2340"/>
        </w:tabs>
        <w:rPr>
          <w:lang w:val="fr-FR"/>
        </w:rPr>
      </w:pPr>
      <w:r w:rsidRPr="00D429F6">
        <w:rPr>
          <w:lang w:val="fr-FR"/>
        </w:rPr>
        <w:tab/>
      </w:r>
      <w:r w:rsidR="00396D39">
        <w:rPr>
          <w:lang w:val="fr-FR"/>
        </w:rPr>
        <w:tab/>
      </w:r>
      <w:r w:rsidR="00D429F6" w:rsidRPr="00D429F6">
        <w:rPr>
          <w:lang w:val="fr-FR"/>
        </w:rPr>
        <w:t>d)</w:t>
      </w:r>
      <w:r w:rsidR="00D429F6" w:rsidRPr="00D429F6">
        <w:rPr>
          <w:lang w:val="fr-FR"/>
        </w:rPr>
        <w:tab/>
      </w:r>
      <w:r w:rsidRPr="00D429F6">
        <w:rPr>
          <w:lang w:val="fr-FR"/>
        </w:rPr>
        <w:t>… </w:t>
      </w:r>
      <w:r w:rsidR="00625FB5" w:rsidRPr="00D429F6">
        <w:rPr>
          <w:lang w:val="fr-FR"/>
        </w:rPr>
        <w:t>».</w:t>
      </w:r>
    </w:p>
    <w:p w:rsidR="00625FB5" w:rsidRPr="00D429F6" w:rsidRDefault="00625FB5" w:rsidP="003550B3">
      <w:pPr>
        <w:pStyle w:val="SingleTxt"/>
        <w:rPr>
          <w:lang w:val="fr-FR"/>
        </w:rPr>
      </w:pPr>
      <w:r w:rsidRPr="00D429F6">
        <w:rPr>
          <w:lang w:val="fr-FR"/>
        </w:rPr>
        <w:lastRenderedPageBreak/>
        <w:t>2.</w:t>
      </w:r>
      <w:r w:rsidRPr="00D429F6">
        <w:rPr>
          <w:lang w:val="fr-FR"/>
        </w:rPr>
        <w:tab/>
        <w:t>La proposition visant à ajouter une nouvelle sous-section</w:t>
      </w:r>
      <w:r w:rsidR="00B222B5">
        <w:rPr>
          <w:lang w:val="fr-FR"/>
        </w:rPr>
        <w:t xml:space="preserve"> </w:t>
      </w:r>
      <w:r w:rsidRPr="00D429F6">
        <w:rPr>
          <w:lang w:val="fr-FR"/>
        </w:rPr>
        <w:t>1.6.7.5 a été présentée par l’Allemagne en janvier 2010 dans le document informel WP.15/AC.2/16/INF.23. L’alinéa</w:t>
      </w:r>
      <w:r w:rsidR="00B222B5">
        <w:rPr>
          <w:lang w:val="fr-FR"/>
        </w:rPr>
        <w:t xml:space="preserve"> </w:t>
      </w:r>
      <w:r w:rsidRPr="00D429F6">
        <w:rPr>
          <w:lang w:val="fr-FR"/>
        </w:rPr>
        <w:t>c</w:t>
      </w:r>
      <w:r w:rsidR="003550B3" w:rsidRPr="00D429F6">
        <w:rPr>
          <w:lang w:val="fr-FR"/>
        </w:rPr>
        <w:t>)</w:t>
      </w:r>
      <w:r w:rsidRPr="00D429F6">
        <w:rPr>
          <w:i/>
          <w:lang w:val="fr-FR"/>
        </w:rPr>
        <w:t xml:space="preserve"> </w:t>
      </w:r>
      <w:r w:rsidRPr="00D429F6">
        <w:rPr>
          <w:lang w:val="fr-FR"/>
        </w:rPr>
        <w:t>a été proposé dans le document informel WP.15/AC.2/16/INF.23/Rev.1 (qui ne figure pas sur le site Web de la CEE) et figure dans l’édition 2011 de l’ADN.</w:t>
      </w:r>
    </w:p>
    <w:p w:rsidR="00625FB5" w:rsidRPr="00D429F6" w:rsidRDefault="00625FB5" w:rsidP="003550B3">
      <w:pPr>
        <w:pStyle w:val="SingleTxt"/>
        <w:rPr>
          <w:lang w:val="fr-FR"/>
        </w:rPr>
      </w:pPr>
      <w:r w:rsidRPr="00D429F6">
        <w:rPr>
          <w:lang w:val="fr-FR"/>
        </w:rPr>
        <w:t>3.</w:t>
      </w:r>
      <w:r w:rsidRPr="00D429F6">
        <w:rPr>
          <w:lang w:val="fr-FR"/>
        </w:rPr>
        <w:tab/>
        <w:t>Les raisons de cet ajout ne sont pas claires. Il n’y a pas de lien entre la nécessité d’une protection contre les explosions et la nécessité d’équiper les logements et les timoneries d’une alarme incendie. Certains experts sont d’avis que cet alinéa devrait être supprimé.</w:t>
      </w:r>
    </w:p>
    <w:p w:rsidR="00625FB5" w:rsidRPr="00D429F6" w:rsidRDefault="00625FB5" w:rsidP="003550B3">
      <w:pPr>
        <w:pStyle w:val="SingleTxt"/>
        <w:rPr>
          <w:lang w:val="fr-FR"/>
        </w:rPr>
      </w:pPr>
      <w:r w:rsidRPr="00D429F6">
        <w:rPr>
          <w:lang w:val="fr-FR"/>
        </w:rPr>
        <w:t>4.</w:t>
      </w:r>
      <w:r w:rsidRPr="00D429F6">
        <w:rPr>
          <w:lang w:val="fr-FR"/>
        </w:rPr>
        <w:tab/>
        <w:t>Actuellement, les dispositions relatives aux systèmes d’alarme incendie dans les logements et les timoneries sont les mêmes pour les bateaux de type N et les bateaux à double coque de type N.</w:t>
      </w:r>
    </w:p>
    <w:p w:rsidR="003550B3" w:rsidRPr="00D429F6" w:rsidRDefault="003550B3" w:rsidP="003550B3">
      <w:pPr>
        <w:pStyle w:val="SingleTxt"/>
        <w:spacing w:after="0" w:line="120" w:lineRule="exact"/>
        <w:rPr>
          <w:sz w:val="10"/>
          <w:lang w:val="fr-FR"/>
        </w:rPr>
      </w:pPr>
    </w:p>
    <w:p w:rsidR="003550B3" w:rsidRPr="00D429F6" w:rsidRDefault="003550B3" w:rsidP="003550B3">
      <w:pPr>
        <w:pStyle w:val="SingleTxt"/>
        <w:spacing w:after="0" w:line="120" w:lineRule="exact"/>
        <w:rPr>
          <w:sz w:val="10"/>
          <w:lang w:val="fr-FR"/>
        </w:rPr>
      </w:pPr>
    </w:p>
    <w:p w:rsidR="00625FB5" w:rsidRPr="00D429F6" w:rsidRDefault="00625FB5" w:rsidP="003550B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429F6">
        <w:rPr>
          <w:lang w:val="fr-FR"/>
        </w:rPr>
        <w:tab/>
      </w:r>
      <w:r w:rsidRPr="00D429F6">
        <w:rPr>
          <w:lang w:val="fr-FR"/>
        </w:rPr>
        <w:tab/>
        <w:t>Proposition</w:t>
      </w:r>
    </w:p>
    <w:p w:rsidR="003550B3" w:rsidRPr="00D429F6" w:rsidRDefault="003550B3" w:rsidP="003550B3">
      <w:pPr>
        <w:spacing w:line="120" w:lineRule="exact"/>
        <w:rPr>
          <w:sz w:val="10"/>
          <w:lang w:val="fr-FR"/>
        </w:rPr>
      </w:pPr>
    </w:p>
    <w:p w:rsidR="003550B3" w:rsidRPr="00D429F6" w:rsidRDefault="003550B3" w:rsidP="003550B3">
      <w:pPr>
        <w:spacing w:line="120" w:lineRule="exact"/>
        <w:rPr>
          <w:sz w:val="10"/>
          <w:lang w:val="fr-FR"/>
        </w:rPr>
      </w:pPr>
    </w:p>
    <w:p w:rsidR="00625FB5" w:rsidRPr="00D429F6" w:rsidRDefault="00625FB5" w:rsidP="003550B3">
      <w:pPr>
        <w:pStyle w:val="SingleTxt"/>
        <w:rPr>
          <w:lang w:val="fr-FR"/>
        </w:rPr>
      </w:pPr>
      <w:r w:rsidRPr="00D429F6">
        <w:rPr>
          <w:lang w:val="fr-FR"/>
        </w:rPr>
        <w:t>5.</w:t>
      </w:r>
      <w:r w:rsidRPr="00D429F6">
        <w:rPr>
          <w:lang w:val="fr-FR"/>
        </w:rPr>
        <w:tab/>
        <w:t>Supprimer l’alinéa</w:t>
      </w:r>
      <w:r w:rsidR="00B222B5">
        <w:rPr>
          <w:lang w:val="fr-FR"/>
        </w:rPr>
        <w:t xml:space="preserve"> </w:t>
      </w:r>
      <w:r w:rsidRPr="00D429F6">
        <w:rPr>
          <w:lang w:val="fr-FR"/>
        </w:rPr>
        <w:t>c</w:t>
      </w:r>
      <w:r w:rsidR="003550B3" w:rsidRPr="00D429F6">
        <w:rPr>
          <w:lang w:val="fr-FR"/>
        </w:rPr>
        <w:t>)</w:t>
      </w:r>
      <w:r w:rsidRPr="00D429F6">
        <w:rPr>
          <w:i/>
          <w:lang w:val="fr-FR"/>
        </w:rPr>
        <w:t xml:space="preserve"> </w:t>
      </w:r>
      <w:r w:rsidRPr="00D429F6">
        <w:rPr>
          <w:lang w:val="fr-FR"/>
        </w:rPr>
        <w:t>du paragraphe 1.6.7.5.1.</w:t>
      </w:r>
    </w:p>
    <w:p w:rsidR="003550B3" w:rsidRPr="00D429F6" w:rsidRDefault="003550B3" w:rsidP="003550B3">
      <w:pPr>
        <w:pStyle w:val="SingleTxt"/>
        <w:spacing w:after="0" w:line="240" w:lineRule="auto"/>
        <w:rPr>
          <w:lang w:val="fr-FR"/>
        </w:rPr>
      </w:pPr>
      <w:r w:rsidRPr="00D429F6">
        <w:rPr>
          <w:noProof/>
          <w:w w:val="100"/>
          <w:lang w:val="en-GB" w:eastAsia="en-GB"/>
        </w:rPr>
        <mc:AlternateContent>
          <mc:Choice Requires="wps">
            <w:drawing>
              <wp:anchor distT="0" distB="0" distL="114300" distR="114300" simplePos="0" relativeHeight="251659264" behindDoc="0" locked="0" layoutInCell="1" allowOverlap="1" wp14:anchorId="69BE1121" wp14:editId="3BA40A49">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550B3" w:rsidRPr="00D429F6" w:rsidSect="00503510">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D8" w:rsidRDefault="001933D8" w:rsidP="00F3330B">
      <w:pPr>
        <w:spacing w:line="240" w:lineRule="auto"/>
      </w:pPr>
      <w:r>
        <w:separator/>
      </w:r>
    </w:p>
  </w:endnote>
  <w:endnote w:type="continuationSeparator" w:id="0">
    <w:p w:rsidR="001933D8" w:rsidRDefault="001933D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03510" w:rsidTr="00503510">
      <w:trPr>
        <w:jc w:val="center"/>
      </w:trPr>
      <w:tc>
        <w:tcPr>
          <w:tcW w:w="5126" w:type="dxa"/>
          <w:shd w:val="clear" w:color="auto" w:fill="auto"/>
        </w:tcPr>
        <w:p w:rsidR="00503510" w:rsidRPr="00503510" w:rsidRDefault="00503510" w:rsidP="0050351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17605">
            <w:rPr>
              <w:b w:val="0"/>
              <w:w w:val="103"/>
              <w:sz w:val="14"/>
            </w:rPr>
            <w:t>GE.15-08464</w:t>
          </w:r>
          <w:r>
            <w:rPr>
              <w:b w:val="0"/>
              <w:w w:val="103"/>
              <w:sz w:val="14"/>
            </w:rPr>
            <w:fldChar w:fldCharType="end"/>
          </w:r>
        </w:p>
      </w:tc>
      <w:tc>
        <w:tcPr>
          <w:tcW w:w="5127" w:type="dxa"/>
          <w:shd w:val="clear" w:color="auto" w:fill="auto"/>
        </w:tcPr>
        <w:p w:rsidR="00503510" w:rsidRPr="00503510" w:rsidRDefault="00503510" w:rsidP="00503510">
          <w:pPr>
            <w:pStyle w:val="Footer"/>
            <w:rPr>
              <w:w w:val="103"/>
            </w:rPr>
          </w:pPr>
          <w:r>
            <w:rPr>
              <w:w w:val="103"/>
            </w:rPr>
            <w:fldChar w:fldCharType="begin"/>
          </w:r>
          <w:r>
            <w:rPr>
              <w:w w:val="103"/>
            </w:rPr>
            <w:instrText xml:space="preserve"> PAGE  \* Arabic  \* MERGEFORMAT </w:instrText>
          </w:r>
          <w:r>
            <w:rPr>
              <w:w w:val="103"/>
            </w:rPr>
            <w:fldChar w:fldCharType="separate"/>
          </w:r>
          <w:r w:rsidR="00B17605">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17605">
            <w:rPr>
              <w:noProof/>
              <w:w w:val="103"/>
            </w:rPr>
            <w:t>2</w:t>
          </w:r>
          <w:r>
            <w:rPr>
              <w:w w:val="103"/>
            </w:rPr>
            <w:fldChar w:fldCharType="end"/>
          </w:r>
        </w:p>
      </w:tc>
    </w:tr>
  </w:tbl>
  <w:p w:rsidR="00503510" w:rsidRPr="00503510" w:rsidRDefault="00503510" w:rsidP="00503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03510" w:rsidTr="00503510">
      <w:trPr>
        <w:jc w:val="center"/>
      </w:trPr>
      <w:tc>
        <w:tcPr>
          <w:tcW w:w="5126" w:type="dxa"/>
          <w:shd w:val="clear" w:color="auto" w:fill="auto"/>
        </w:tcPr>
        <w:p w:rsidR="00503510" w:rsidRPr="00503510" w:rsidRDefault="00503510" w:rsidP="0050351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26BD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17605">
            <w:rPr>
              <w:noProof/>
              <w:w w:val="103"/>
            </w:rPr>
            <w:t>2</w:t>
          </w:r>
          <w:r>
            <w:rPr>
              <w:w w:val="103"/>
            </w:rPr>
            <w:fldChar w:fldCharType="end"/>
          </w:r>
        </w:p>
      </w:tc>
      <w:tc>
        <w:tcPr>
          <w:tcW w:w="5127" w:type="dxa"/>
          <w:shd w:val="clear" w:color="auto" w:fill="auto"/>
        </w:tcPr>
        <w:p w:rsidR="00503510" w:rsidRPr="00503510" w:rsidRDefault="00503510" w:rsidP="0050351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17605">
            <w:rPr>
              <w:b w:val="0"/>
              <w:w w:val="103"/>
              <w:sz w:val="14"/>
            </w:rPr>
            <w:t>GE.15-08464</w:t>
          </w:r>
          <w:r>
            <w:rPr>
              <w:b w:val="0"/>
              <w:w w:val="103"/>
              <w:sz w:val="14"/>
            </w:rPr>
            <w:fldChar w:fldCharType="end"/>
          </w:r>
        </w:p>
      </w:tc>
    </w:tr>
  </w:tbl>
  <w:p w:rsidR="00503510" w:rsidRPr="00503510" w:rsidRDefault="00503510" w:rsidP="005035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10" w:rsidRDefault="00503510">
    <w:pPr>
      <w:pStyle w:val="Footer"/>
    </w:pPr>
    <w:r>
      <w:rPr>
        <w:noProof/>
        <w:lang w:val="en-GB" w:eastAsia="en-GB"/>
      </w:rPr>
      <w:drawing>
        <wp:anchor distT="0" distB="0" distL="114300" distR="114300" simplePos="0" relativeHeight="251658240" behindDoc="0" locked="0" layoutInCell="1" allowOverlap="1" wp14:anchorId="1A1B368D" wp14:editId="210877A5">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2/2015/2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5/2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03510" w:rsidTr="00503510">
      <w:tc>
        <w:tcPr>
          <w:tcW w:w="3859" w:type="dxa"/>
        </w:tcPr>
        <w:p w:rsidR="00503510" w:rsidRDefault="00503510" w:rsidP="0050351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17605">
            <w:rPr>
              <w:b w:val="0"/>
              <w:sz w:val="20"/>
            </w:rPr>
            <w:t>GE.15-08464 (F)</w:t>
          </w:r>
          <w:r>
            <w:rPr>
              <w:b w:val="0"/>
              <w:sz w:val="20"/>
            </w:rPr>
            <w:fldChar w:fldCharType="end"/>
          </w:r>
          <w:r w:rsidR="00625FB5">
            <w:rPr>
              <w:b w:val="0"/>
              <w:sz w:val="20"/>
            </w:rPr>
            <w:t xml:space="preserve">    22</w:t>
          </w:r>
          <w:r w:rsidR="00B222B5">
            <w:rPr>
              <w:b w:val="0"/>
              <w:sz w:val="20"/>
            </w:rPr>
            <w:t>0615    26</w:t>
          </w:r>
          <w:r>
            <w:rPr>
              <w:b w:val="0"/>
              <w:sz w:val="20"/>
            </w:rPr>
            <w:t>0615</w:t>
          </w:r>
        </w:p>
        <w:p w:rsidR="00503510" w:rsidRPr="00503510" w:rsidRDefault="00503510" w:rsidP="0050351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17605">
            <w:rPr>
              <w:rFonts w:ascii="Barcode 3 of 9 by request" w:hAnsi="Barcode 3 of 9 by request"/>
              <w:b w:val="0"/>
              <w:spacing w:val="0"/>
              <w:w w:val="100"/>
              <w:sz w:val="24"/>
            </w:rPr>
            <w:t>*1508464*</w:t>
          </w:r>
          <w:r>
            <w:rPr>
              <w:rFonts w:ascii="Barcode 3 of 9 by request" w:hAnsi="Barcode 3 of 9 by request"/>
              <w:b w:val="0"/>
              <w:spacing w:val="0"/>
              <w:w w:val="100"/>
              <w:sz w:val="24"/>
            </w:rPr>
            <w:fldChar w:fldCharType="end"/>
          </w:r>
        </w:p>
      </w:tc>
      <w:tc>
        <w:tcPr>
          <w:tcW w:w="5127" w:type="dxa"/>
        </w:tcPr>
        <w:p w:rsidR="00503510" w:rsidRDefault="00503510" w:rsidP="00503510">
          <w:pPr>
            <w:pStyle w:val="Footer"/>
            <w:spacing w:line="240" w:lineRule="atLeast"/>
            <w:jc w:val="right"/>
            <w:rPr>
              <w:b w:val="0"/>
              <w:sz w:val="20"/>
            </w:rPr>
          </w:pPr>
          <w:r>
            <w:rPr>
              <w:b w:val="0"/>
              <w:noProof/>
              <w:sz w:val="20"/>
              <w:lang w:val="en-GB" w:eastAsia="en-GB"/>
            </w:rPr>
            <w:drawing>
              <wp:inline distT="0" distB="0" distL="0" distR="0" wp14:anchorId="5CE2C62A" wp14:editId="02D90F3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03510" w:rsidRPr="00503510" w:rsidRDefault="00503510" w:rsidP="0050351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D8" w:rsidRPr="00132CCC" w:rsidRDefault="00132CCC" w:rsidP="00132CCC">
      <w:pPr>
        <w:pStyle w:val="Footer"/>
        <w:spacing w:after="80"/>
        <w:ind w:left="792"/>
        <w:rPr>
          <w:sz w:val="16"/>
        </w:rPr>
      </w:pPr>
      <w:r w:rsidRPr="00132CCC">
        <w:rPr>
          <w:sz w:val="16"/>
        </w:rPr>
        <w:t>__________________</w:t>
      </w:r>
    </w:p>
  </w:footnote>
  <w:footnote w:type="continuationSeparator" w:id="0">
    <w:p w:rsidR="001933D8" w:rsidRPr="00132CCC" w:rsidRDefault="00132CCC" w:rsidP="00132CCC">
      <w:pPr>
        <w:pStyle w:val="Footer"/>
        <w:spacing w:after="80"/>
        <w:ind w:left="792"/>
        <w:rPr>
          <w:sz w:val="16"/>
        </w:rPr>
      </w:pPr>
      <w:r w:rsidRPr="00132CCC">
        <w:rPr>
          <w:sz w:val="16"/>
        </w:rPr>
        <w:t>__________________</w:t>
      </w:r>
    </w:p>
  </w:footnote>
  <w:footnote w:id="1">
    <w:p w:rsidR="00625FB5" w:rsidRPr="00D429F6" w:rsidRDefault="00625FB5" w:rsidP="00132CCC">
      <w:pPr>
        <w:pStyle w:val="FootnoteText"/>
        <w:tabs>
          <w:tab w:val="right" w:pos="1195"/>
          <w:tab w:val="left" w:pos="1267"/>
          <w:tab w:val="left" w:pos="1742"/>
          <w:tab w:val="left" w:pos="2218"/>
          <w:tab w:val="left" w:pos="2693"/>
        </w:tabs>
        <w:ind w:left="1267" w:right="1260" w:hanging="432"/>
        <w:rPr>
          <w:lang w:val="fr-FR"/>
        </w:rPr>
      </w:pPr>
      <w:r w:rsidRPr="00D429F6">
        <w:rPr>
          <w:szCs w:val="24"/>
          <w:lang w:val="fr-FR"/>
        </w:rPr>
        <w:tab/>
      </w:r>
      <w:r w:rsidRPr="00D429F6">
        <w:rPr>
          <w:rStyle w:val="FootnoteReference"/>
          <w:color w:val="auto"/>
          <w:lang w:val="fr-FR"/>
        </w:rPr>
        <w:footnoteRef/>
      </w:r>
      <w:r w:rsidRPr="00D429F6">
        <w:rPr>
          <w:szCs w:val="24"/>
          <w:lang w:val="fr-FR"/>
        </w:rPr>
        <w:tab/>
      </w:r>
      <w:r w:rsidRPr="00D429F6">
        <w:rPr>
          <w:lang w:val="fr-FR"/>
        </w:rPr>
        <w:t>Distribué en langue allemande par la Commission centrale pour la navigation du Rhin sous la cote CCNR-ZKR/ADN/WP.15/AC.2/2015/26.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503510" w:rsidTr="00503510">
      <w:trPr>
        <w:trHeight w:hRule="exact" w:val="864"/>
        <w:jc w:val="center"/>
      </w:trPr>
      <w:tc>
        <w:tcPr>
          <w:tcW w:w="4882" w:type="dxa"/>
          <w:shd w:val="clear" w:color="auto" w:fill="auto"/>
          <w:vAlign w:val="bottom"/>
        </w:tcPr>
        <w:p w:rsidR="00503510" w:rsidRPr="00503510" w:rsidRDefault="00503510" w:rsidP="00503510">
          <w:pPr>
            <w:pStyle w:val="Header"/>
            <w:spacing w:after="80"/>
            <w:rPr>
              <w:b/>
            </w:rPr>
          </w:pPr>
          <w:r>
            <w:rPr>
              <w:b/>
            </w:rPr>
            <w:fldChar w:fldCharType="begin"/>
          </w:r>
          <w:r>
            <w:rPr>
              <w:b/>
            </w:rPr>
            <w:instrText xml:space="preserve"> DOCVARIABLE "sss1" \* MERGEFORMAT </w:instrText>
          </w:r>
          <w:r>
            <w:rPr>
              <w:b/>
            </w:rPr>
            <w:fldChar w:fldCharType="separate"/>
          </w:r>
          <w:r w:rsidR="00B17605">
            <w:rPr>
              <w:b/>
            </w:rPr>
            <w:t>ECE/TRANS/WP.15/AC.2/2015/26</w:t>
          </w:r>
          <w:r>
            <w:rPr>
              <w:b/>
            </w:rPr>
            <w:fldChar w:fldCharType="end"/>
          </w:r>
        </w:p>
      </w:tc>
      <w:tc>
        <w:tcPr>
          <w:tcW w:w="5127" w:type="dxa"/>
          <w:shd w:val="clear" w:color="auto" w:fill="auto"/>
          <w:vAlign w:val="bottom"/>
        </w:tcPr>
        <w:p w:rsidR="00503510" w:rsidRDefault="00503510" w:rsidP="00503510">
          <w:pPr>
            <w:pStyle w:val="Header"/>
          </w:pPr>
        </w:p>
      </w:tc>
    </w:tr>
  </w:tbl>
  <w:p w:rsidR="00503510" w:rsidRPr="00503510" w:rsidRDefault="00503510" w:rsidP="00503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503510" w:rsidTr="00503510">
      <w:trPr>
        <w:trHeight w:hRule="exact" w:val="864"/>
        <w:jc w:val="center"/>
      </w:trPr>
      <w:tc>
        <w:tcPr>
          <w:tcW w:w="4882" w:type="dxa"/>
          <w:shd w:val="clear" w:color="auto" w:fill="auto"/>
          <w:vAlign w:val="bottom"/>
        </w:tcPr>
        <w:p w:rsidR="00503510" w:rsidRDefault="00503510" w:rsidP="00503510">
          <w:pPr>
            <w:pStyle w:val="Header"/>
          </w:pPr>
        </w:p>
      </w:tc>
      <w:tc>
        <w:tcPr>
          <w:tcW w:w="5127" w:type="dxa"/>
          <w:shd w:val="clear" w:color="auto" w:fill="auto"/>
          <w:vAlign w:val="bottom"/>
        </w:tcPr>
        <w:p w:rsidR="00503510" w:rsidRPr="00503510" w:rsidRDefault="00503510" w:rsidP="00503510">
          <w:pPr>
            <w:pStyle w:val="Header"/>
            <w:spacing w:after="80"/>
            <w:jc w:val="right"/>
            <w:rPr>
              <w:b/>
            </w:rPr>
          </w:pPr>
          <w:r>
            <w:rPr>
              <w:b/>
            </w:rPr>
            <w:fldChar w:fldCharType="begin"/>
          </w:r>
          <w:r>
            <w:rPr>
              <w:b/>
            </w:rPr>
            <w:instrText xml:space="preserve"> DOCVARIABLE "sss1" \* MERGEFORMAT </w:instrText>
          </w:r>
          <w:r>
            <w:rPr>
              <w:b/>
            </w:rPr>
            <w:fldChar w:fldCharType="separate"/>
          </w:r>
          <w:r w:rsidR="00B17605">
            <w:rPr>
              <w:b/>
            </w:rPr>
            <w:t>ECE/TRANS/WP.15/AC.2/2015/26</w:t>
          </w:r>
          <w:r>
            <w:rPr>
              <w:b/>
            </w:rPr>
            <w:fldChar w:fldCharType="end"/>
          </w:r>
        </w:p>
      </w:tc>
    </w:tr>
  </w:tbl>
  <w:p w:rsidR="00503510" w:rsidRPr="00503510" w:rsidRDefault="00503510" w:rsidP="00503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03510" w:rsidRPr="00D429F6" w:rsidTr="00503510">
      <w:trPr>
        <w:trHeight w:hRule="exact" w:val="864"/>
      </w:trPr>
      <w:tc>
        <w:tcPr>
          <w:tcW w:w="1267" w:type="dxa"/>
          <w:tcBorders>
            <w:bottom w:val="single" w:sz="4" w:space="0" w:color="auto"/>
          </w:tcBorders>
          <w:shd w:val="clear" w:color="auto" w:fill="auto"/>
          <w:vAlign w:val="bottom"/>
        </w:tcPr>
        <w:p w:rsidR="00503510" w:rsidRPr="00D429F6" w:rsidRDefault="00503510" w:rsidP="00503510">
          <w:pPr>
            <w:pStyle w:val="Header"/>
            <w:spacing w:after="120"/>
            <w:rPr>
              <w:lang w:val="fr-FR"/>
            </w:rPr>
          </w:pPr>
        </w:p>
      </w:tc>
      <w:tc>
        <w:tcPr>
          <w:tcW w:w="2059" w:type="dxa"/>
          <w:tcBorders>
            <w:bottom w:val="single" w:sz="4" w:space="0" w:color="auto"/>
          </w:tcBorders>
          <w:shd w:val="clear" w:color="auto" w:fill="auto"/>
          <w:vAlign w:val="bottom"/>
        </w:tcPr>
        <w:p w:rsidR="00503510" w:rsidRPr="00D429F6" w:rsidRDefault="00503510" w:rsidP="00503510">
          <w:pPr>
            <w:pStyle w:val="HCH"/>
            <w:spacing w:after="80"/>
            <w:rPr>
              <w:b w:val="0"/>
              <w:color w:val="010000"/>
              <w:spacing w:val="2"/>
              <w:w w:val="96"/>
              <w:lang w:val="fr-FR"/>
            </w:rPr>
          </w:pPr>
          <w:r w:rsidRPr="00D429F6">
            <w:rPr>
              <w:b w:val="0"/>
              <w:color w:val="010000"/>
              <w:spacing w:val="2"/>
              <w:w w:val="96"/>
              <w:lang w:val="fr-FR"/>
            </w:rPr>
            <w:t>Nations Unies</w:t>
          </w:r>
        </w:p>
      </w:tc>
      <w:tc>
        <w:tcPr>
          <w:tcW w:w="58" w:type="dxa"/>
          <w:tcBorders>
            <w:bottom w:val="single" w:sz="4" w:space="0" w:color="auto"/>
          </w:tcBorders>
          <w:shd w:val="clear" w:color="auto" w:fill="auto"/>
          <w:vAlign w:val="bottom"/>
        </w:tcPr>
        <w:p w:rsidR="00503510" w:rsidRPr="00D429F6" w:rsidRDefault="00503510" w:rsidP="00503510">
          <w:pPr>
            <w:pStyle w:val="Header"/>
            <w:spacing w:after="120"/>
            <w:rPr>
              <w:lang w:val="fr-FR"/>
            </w:rPr>
          </w:pPr>
        </w:p>
      </w:tc>
      <w:tc>
        <w:tcPr>
          <w:tcW w:w="6653" w:type="dxa"/>
          <w:gridSpan w:val="4"/>
          <w:tcBorders>
            <w:bottom w:val="single" w:sz="4" w:space="0" w:color="auto"/>
          </w:tcBorders>
          <w:shd w:val="clear" w:color="auto" w:fill="auto"/>
          <w:vAlign w:val="bottom"/>
        </w:tcPr>
        <w:p w:rsidR="00503510" w:rsidRPr="00D429F6" w:rsidRDefault="00503510" w:rsidP="00503510">
          <w:pPr>
            <w:spacing w:after="80" w:line="240" w:lineRule="auto"/>
            <w:jc w:val="right"/>
            <w:rPr>
              <w:position w:val="-4"/>
              <w:lang w:val="fr-FR"/>
            </w:rPr>
          </w:pPr>
          <w:r w:rsidRPr="00D429F6">
            <w:rPr>
              <w:position w:val="-4"/>
              <w:sz w:val="40"/>
              <w:lang w:val="fr-FR"/>
            </w:rPr>
            <w:t>ECE</w:t>
          </w:r>
          <w:r w:rsidRPr="00D429F6">
            <w:rPr>
              <w:position w:val="-4"/>
              <w:lang w:val="fr-FR"/>
            </w:rPr>
            <w:t>/TRANS/WP.15/AC.2/2015/26</w:t>
          </w:r>
        </w:p>
      </w:tc>
    </w:tr>
    <w:tr w:rsidR="00503510" w:rsidRPr="00B17605" w:rsidTr="00503510">
      <w:trPr>
        <w:gridAfter w:val="1"/>
        <w:wAfter w:w="18" w:type="dxa"/>
        <w:trHeight w:hRule="exact" w:val="2880"/>
      </w:trPr>
      <w:tc>
        <w:tcPr>
          <w:tcW w:w="1267" w:type="dxa"/>
          <w:tcBorders>
            <w:top w:val="single" w:sz="4" w:space="0" w:color="auto"/>
            <w:bottom w:val="single" w:sz="12" w:space="0" w:color="auto"/>
          </w:tcBorders>
          <w:shd w:val="clear" w:color="auto" w:fill="auto"/>
        </w:tcPr>
        <w:p w:rsidR="00503510" w:rsidRPr="00D429F6" w:rsidRDefault="00503510" w:rsidP="00503510">
          <w:pPr>
            <w:pStyle w:val="Header"/>
            <w:spacing w:before="120" w:line="240" w:lineRule="auto"/>
            <w:ind w:left="-72"/>
            <w:jc w:val="center"/>
            <w:rPr>
              <w:lang w:val="fr-FR"/>
            </w:rPr>
          </w:pPr>
          <w:r w:rsidRPr="00D429F6">
            <w:rPr>
              <w:lang w:val="fr-FR"/>
            </w:rPr>
            <w:t xml:space="preserve">  </w:t>
          </w:r>
          <w:r w:rsidRPr="00D429F6">
            <w:rPr>
              <w:noProof/>
              <w:lang w:val="en-GB" w:eastAsia="en-GB"/>
            </w:rPr>
            <w:drawing>
              <wp:inline distT="0" distB="0" distL="0" distR="0" wp14:anchorId="23703601" wp14:editId="22D477E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03510" w:rsidRPr="00D429F6" w:rsidRDefault="00503510" w:rsidP="00503510">
          <w:pPr>
            <w:pStyle w:val="XLarge"/>
            <w:spacing w:before="109"/>
            <w:rPr>
              <w:lang w:val="fr-FR"/>
            </w:rPr>
          </w:pPr>
          <w:r w:rsidRPr="00D429F6">
            <w:rPr>
              <w:lang w:val="fr-FR"/>
            </w:rPr>
            <w:t>Conseil économique et social</w:t>
          </w:r>
        </w:p>
      </w:tc>
      <w:tc>
        <w:tcPr>
          <w:tcW w:w="245" w:type="dxa"/>
          <w:tcBorders>
            <w:top w:val="single" w:sz="4" w:space="0" w:color="auto"/>
            <w:bottom w:val="single" w:sz="12" w:space="0" w:color="auto"/>
          </w:tcBorders>
          <w:shd w:val="clear" w:color="auto" w:fill="auto"/>
        </w:tcPr>
        <w:p w:rsidR="00503510" w:rsidRPr="00D429F6" w:rsidRDefault="00503510" w:rsidP="00503510">
          <w:pPr>
            <w:pStyle w:val="Header"/>
            <w:spacing w:before="109"/>
            <w:rPr>
              <w:lang w:val="fr-FR"/>
            </w:rPr>
          </w:pPr>
        </w:p>
      </w:tc>
      <w:tc>
        <w:tcPr>
          <w:tcW w:w="3280" w:type="dxa"/>
          <w:tcBorders>
            <w:top w:val="single" w:sz="4" w:space="0" w:color="auto"/>
            <w:bottom w:val="single" w:sz="12" w:space="0" w:color="auto"/>
          </w:tcBorders>
          <w:shd w:val="clear" w:color="auto" w:fill="auto"/>
        </w:tcPr>
        <w:p w:rsidR="00503510" w:rsidRPr="00D429F6" w:rsidRDefault="00503510" w:rsidP="00503510">
          <w:pPr>
            <w:pStyle w:val="Distribution"/>
            <w:rPr>
              <w:color w:val="000000"/>
              <w:lang w:val="fr-FR"/>
            </w:rPr>
          </w:pPr>
          <w:proofErr w:type="spellStart"/>
          <w:r w:rsidRPr="00D429F6">
            <w:rPr>
              <w:color w:val="000000"/>
              <w:lang w:val="fr-FR"/>
            </w:rPr>
            <w:t>Distr</w:t>
          </w:r>
          <w:proofErr w:type="spellEnd"/>
          <w:r w:rsidRPr="00D429F6">
            <w:rPr>
              <w:color w:val="000000"/>
              <w:lang w:val="fr-FR"/>
            </w:rPr>
            <w:t>. générale</w:t>
          </w:r>
        </w:p>
        <w:p w:rsidR="00503510" w:rsidRPr="00D429F6" w:rsidRDefault="00503510" w:rsidP="00503510">
          <w:pPr>
            <w:pStyle w:val="Publication"/>
            <w:rPr>
              <w:color w:val="000000"/>
              <w:lang w:val="fr-FR"/>
            </w:rPr>
          </w:pPr>
          <w:r w:rsidRPr="00D429F6">
            <w:rPr>
              <w:color w:val="000000"/>
              <w:lang w:val="fr-FR"/>
            </w:rPr>
            <w:t>29 mai 2015</w:t>
          </w:r>
        </w:p>
        <w:p w:rsidR="00503510" w:rsidRPr="00D429F6" w:rsidRDefault="00503510" w:rsidP="00503510">
          <w:pPr>
            <w:rPr>
              <w:lang w:val="fr-FR"/>
            </w:rPr>
          </w:pPr>
          <w:r w:rsidRPr="00D429F6">
            <w:rPr>
              <w:lang w:val="fr-FR"/>
            </w:rPr>
            <w:t>Français</w:t>
          </w:r>
        </w:p>
        <w:p w:rsidR="00503510" w:rsidRPr="00D429F6" w:rsidRDefault="00503510" w:rsidP="00503510">
          <w:pPr>
            <w:pStyle w:val="Original"/>
            <w:rPr>
              <w:color w:val="000000"/>
              <w:lang w:val="fr-FR"/>
            </w:rPr>
          </w:pPr>
          <w:r w:rsidRPr="00D429F6">
            <w:rPr>
              <w:color w:val="000000"/>
              <w:lang w:val="fr-FR"/>
            </w:rPr>
            <w:t>Original : anglais</w:t>
          </w:r>
        </w:p>
      </w:tc>
    </w:tr>
  </w:tbl>
  <w:p w:rsidR="00503510" w:rsidRPr="00D429F6" w:rsidRDefault="00503510" w:rsidP="0050351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SortMethod w:val="0003"/>
  <w:defaultTabStop w:val="47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8464*"/>
    <w:docVar w:name="CreationDt" w:val="6/24/2015 4:06: PM"/>
    <w:docVar w:name="DocCategory" w:val="Doc"/>
    <w:docVar w:name="DocType" w:val="Final"/>
    <w:docVar w:name="DutyStation" w:val="Geneva"/>
    <w:docVar w:name="FooterJN" w:val="GE.15-08464"/>
    <w:docVar w:name="jobn" w:val="GE.15-08464 (F)"/>
    <w:docVar w:name="jobnDT" w:val="GE.15-08464 (F)   240615"/>
    <w:docVar w:name="jobnDTDT" w:val="GE.15-08464 (F)   240615   240615"/>
    <w:docVar w:name="JobNo" w:val="GE.1508464F"/>
    <w:docVar w:name="JobNo2" w:val="GE.1510873F"/>
    <w:docVar w:name="LocalDrive" w:val="0"/>
    <w:docVar w:name="OandT" w:val="chautagnat"/>
    <w:docVar w:name="PaperSize" w:val="A4"/>
    <w:docVar w:name="sss1" w:val="ECE/TRANS/WP.15/AC.2/2015/26"/>
    <w:docVar w:name="sss2" w:val="-"/>
    <w:docVar w:name="Symbol1" w:val="ECE/TRANS/WP.15/AC.2/2015/26"/>
    <w:docVar w:name="Symbol2" w:val="-"/>
  </w:docVars>
  <w:rsids>
    <w:rsidRoot w:val="001933D8"/>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497A"/>
    <w:rsid w:val="001156F7"/>
    <w:rsid w:val="00116149"/>
    <w:rsid w:val="00123812"/>
    <w:rsid w:val="001256F6"/>
    <w:rsid w:val="00126FB2"/>
    <w:rsid w:val="0013186C"/>
    <w:rsid w:val="001326D1"/>
    <w:rsid w:val="00132A45"/>
    <w:rsid w:val="00132CCC"/>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3D8"/>
    <w:rsid w:val="00193A8C"/>
    <w:rsid w:val="001A2E2D"/>
    <w:rsid w:val="001A4BAA"/>
    <w:rsid w:val="001A4F4E"/>
    <w:rsid w:val="001A76F3"/>
    <w:rsid w:val="001B5583"/>
    <w:rsid w:val="001B5A24"/>
    <w:rsid w:val="001C0599"/>
    <w:rsid w:val="001C3C57"/>
    <w:rsid w:val="001C4664"/>
    <w:rsid w:val="001C4EBE"/>
    <w:rsid w:val="001D0E60"/>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92E01"/>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6CA"/>
    <w:rsid w:val="00340736"/>
    <w:rsid w:val="00340E97"/>
    <w:rsid w:val="00343F8A"/>
    <w:rsid w:val="003441A5"/>
    <w:rsid w:val="003506F1"/>
    <w:rsid w:val="003531C7"/>
    <w:rsid w:val="003550B3"/>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6D39"/>
    <w:rsid w:val="00397343"/>
    <w:rsid w:val="003A2037"/>
    <w:rsid w:val="003A4ED6"/>
    <w:rsid w:val="003A56DC"/>
    <w:rsid w:val="003B411E"/>
    <w:rsid w:val="003B445F"/>
    <w:rsid w:val="003B49BF"/>
    <w:rsid w:val="003B60DA"/>
    <w:rsid w:val="003B60EE"/>
    <w:rsid w:val="003B668A"/>
    <w:rsid w:val="003C222D"/>
    <w:rsid w:val="003C252F"/>
    <w:rsid w:val="003C6DDA"/>
    <w:rsid w:val="003C7D21"/>
    <w:rsid w:val="003D35C1"/>
    <w:rsid w:val="003D635C"/>
    <w:rsid w:val="003D7BC4"/>
    <w:rsid w:val="003E1642"/>
    <w:rsid w:val="003E3E2D"/>
    <w:rsid w:val="003E3E48"/>
    <w:rsid w:val="003E47D8"/>
    <w:rsid w:val="003E4E03"/>
    <w:rsid w:val="003F108A"/>
    <w:rsid w:val="003F27A0"/>
    <w:rsid w:val="003F2DB3"/>
    <w:rsid w:val="003F57D1"/>
    <w:rsid w:val="00401219"/>
    <w:rsid w:val="004039C7"/>
    <w:rsid w:val="004065B7"/>
    <w:rsid w:val="004066EB"/>
    <w:rsid w:val="00406E1E"/>
    <w:rsid w:val="00414C9D"/>
    <w:rsid w:val="00415A2B"/>
    <w:rsid w:val="00416293"/>
    <w:rsid w:val="004204AE"/>
    <w:rsid w:val="00426BD3"/>
    <w:rsid w:val="0042753D"/>
    <w:rsid w:val="004309B5"/>
    <w:rsid w:val="0043103D"/>
    <w:rsid w:val="00432662"/>
    <w:rsid w:val="004342B2"/>
    <w:rsid w:val="00441593"/>
    <w:rsid w:val="00444609"/>
    <w:rsid w:val="004448E6"/>
    <w:rsid w:val="00450D24"/>
    <w:rsid w:val="00452DA5"/>
    <w:rsid w:val="00453DAB"/>
    <w:rsid w:val="004548AC"/>
    <w:rsid w:val="00455176"/>
    <w:rsid w:val="00455E42"/>
    <w:rsid w:val="00457D04"/>
    <w:rsid w:val="00460112"/>
    <w:rsid w:val="004627F7"/>
    <w:rsid w:val="004638A8"/>
    <w:rsid w:val="00464787"/>
    <w:rsid w:val="004669E9"/>
    <w:rsid w:val="00467E93"/>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3510"/>
    <w:rsid w:val="00505F1C"/>
    <w:rsid w:val="00506B44"/>
    <w:rsid w:val="005100B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25FB5"/>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13C"/>
    <w:rsid w:val="0076382E"/>
    <w:rsid w:val="00763AE4"/>
    <w:rsid w:val="00765152"/>
    <w:rsid w:val="00767FBE"/>
    <w:rsid w:val="00770DEF"/>
    <w:rsid w:val="00770EB4"/>
    <w:rsid w:val="00772106"/>
    <w:rsid w:val="00772CF6"/>
    <w:rsid w:val="0077589C"/>
    <w:rsid w:val="00775BFD"/>
    <w:rsid w:val="007769D2"/>
    <w:rsid w:val="00780058"/>
    <w:rsid w:val="007804F4"/>
    <w:rsid w:val="00781F43"/>
    <w:rsid w:val="0078267A"/>
    <w:rsid w:val="00783270"/>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9687D"/>
    <w:rsid w:val="007A273E"/>
    <w:rsid w:val="007A345A"/>
    <w:rsid w:val="007A78C2"/>
    <w:rsid w:val="007B05E9"/>
    <w:rsid w:val="007B1E17"/>
    <w:rsid w:val="007C0C1F"/>
    <w:rsid w:val="007C206E"/>
    <w:rsid w:val="007C2936"/>
    <w:rsid w:val="007C7D7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17D7"/>
    <w:rsid w:val="00842319"/>
    <w:rsid w:val="008435C2"/>
    <w:rsid w:val="00844B5C"/>
    <w:rsid w:val="00846431"/>
    <w:rsid w:val="00851353"/>
    <w:rsid w:val="008555BA"/>
    <w:rsid w:val="00856155"/>
    <w:rsid w:val="008579A6"/>
    <w:rsid w:val="00860226"/>
    <w:rsid w:val="00861D7A"/>
    <w:rsid w:val="00863CC3"/>
    <w:rsid w:val="00863E44"/>
    <w:rsid w:val="00865A5F"/>
    <w:rsid w:val="00867F04"/>
    <w:rsid w:val="008703DB"/>
    <w:rsid w:val="008710A1"/>
    <w:rsid w:val="008717C8"/>
    <w:rsid w:val="0087489F"/>
    <w:rsid w:val="00875E49"/>
    <w:rsid w:val="0088158E"/>
    <w:rsid w:val="008829F3"/>
    <w:rsid w:val="00882D4B"/>
    <w:rsid w:val="00890EF0"/>
    <w:rsid w:val="00891ADA"/>
    <w:rsid w:val="008962D4"/>
    <w:rsid w:val="008A4C0E"/>
    <w:rsid w:val="008A5334"/>
    <w:rsid w:val="008A630B"/>
    <w:rsid w:val="008A734B"/>
    <w:rsid w:val="008B24ED"/>
    <w:rsid w:val="008B5932"/>
    <w:rsid w:val="008C1225"/>
    <w:rsid w:val="008C1646"/>
    <w:rsid w:val="008C189A"/>
    <w:rsid w:val="008C1E51"/>
    <w:rsid w:val="008C5E6B"/>
    <w:rsid w:val="008C6672"/>
    <w:rsid w:val="008C7B0E"/>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46D50"/>
    <w:rsid w:val="0095064A"/>
    <w:rsid w:val="00951A0B"/>
    <w:rsid w:val="009535B3"/>
    <w:rsid w:val="00953A36"/>
    <w:rsid w:val="00955DBA"/>
    <w:rsid w:val="00957244"/>
    <w:rsid w:val="00962CAC"/>
    <w:rsid w:val="00964BDE"/>
    <w:rsid w:val="009676D3"/>
    <w:rsid w:val="00971E24"/>
    <w:rsid w:val="009748EE"/>
    <w:rsid w:val="0098128C"/>
    <w:rsid w:val="009813FE"/>
    <w:rsid w:val="00983DD0"/>
    <w:rsid w:val="00991387"/>
    <w:rsid w:val="00993B88"/>
    <w:rsid w:val="00993D02"/>
    <w:rsid w:val="009943AB"/>
    <w:rsid w:val="00994740"/>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65E"/>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C5A"/>
    <w:rsid w:val="00A64AD2"/>
    <w:rsid w:val="00A72C1F"/>
    <w:rsid w:val="00A75DAB"/>
    <w:rsid w:val="00A83E5E"/>
    <w:rsid w:val="00A84C12"/>
    <w:rsid w:val="00A85CA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64F"/>
    <w:rsid w:val="00AE73A1"/>
    <w:rsid w:val="00AF4648"/>
    <w:rsid w:val="00AF4DD3"/>
    <w:rsid w:val="00AF6B78"/>
    <w:rsid w:val="00B01631"/>
    <w:rsid w:val="00B01D80"/>
    <w:rsid w:val="00B05198"/>
    <w:rsid w:val="00B06C4C"/>
    <w:rsid w:val="00B10BF5"/>
    <w:rsid w:val="00B145B5"/>
    <w:rsid w:val="00B152AC"/>
    <w:rsid w:val="00B16C8B"/>
    <w:rsid w:val="00B17605"/>
    <w:rsid w:val="00B20969"/>
    <w:rsid w:val="00B222B5"/>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65B2"/>
    <w:rsid w:val="00D26BA6"/>
    <w:rsid w:val="00D27D4B"/>
    <w:rsid w:val="00D320C3"/>
    <w:rsid w:val="00D33B40"/>
    <w:rsid w:val="00D35146"/>
    <w:rsid w:val="00D3596F"/>
    <w:rsid w:val="00D429F6"/>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86236"/>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E70"/>
    <w:rsid w:val="00E86286"/>
    <w:rsid w:val="00E91E16"/>
    <w:rsid w:val="00E952EF"/>
    <w:rsid w:val="00E96437"/>
    <w:rsid w:val="00E968A0"/>
    <w:rsid w:val="00E97145"/>
    <w:rsid w:val="00EA4196"/>
    <w:rsid w:val="00EB0BAE"/>
    <w:rsid w:val="00EB1632"/>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E30B4"/>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67F5"/>
    <w:rsid w:val="00FC75B8"/>
    <w:rsid w:val="00FC75D3"/>
    <w:rsid w:val="00FD318F"/>
    <w:rsid w:val="00FD54BE"/>
    <w:rsid w:val="00FD7CD4"/>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503510"/>
    <w:rPr>
      <w:sz w:val="16"/>
      <w:szCs w:val="16"/>
    </w:rPr>
  </w:style>
  <w:style w:type="paragraph" w:styleId="CommentText">
    <w:name w:val="annotation text"/>
    <w:basedOn w:val="Normal"/>
    <w:link w:val="CommentTextChar"/>
    <w:uiPriority w:val="99"/>
    <w:semiHidden/>
    <w:unhideWhenUsed/>
    <w:rsid w:val="00503510"/>
    <w:pPr>
      <w:spacing w:line="240" w:lineRule="auto"/>
    </w:pPr>
    <w:rPr>
      <w:szCs w:val="20"/>
    </w:rPr>
  </w:style>
  <w:style w:type="character" w:customStyle="1" w:styleId="CommentTextChar">
    <w:name w:val="Comment Text Char"/>
    <w:basedOn w:val="DefaultParagraphFont"/>
    <w:link w:val="CommentText"/>
    <w:uiPriority w:val="99"/>
    <w:semiHidden/>
    <w:rsid w:val="00503510"/>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503510"/>
    <w:rPr>
      <w:b/>
      <w:bCs/>
    </w:rPr>
  </w:style>
  <w:style w:type="character" w:customStyle="1" w:styleId="CommentSubjectChar">
    <w:name w:val="Comment Subject Char"/>
    <w:basedOn w:val="CommentTextChar"/>
    <w:link w:val="CommentSubject"/>
    <w:uiPriority w:val="99"/>
    <w:semiHidden/>
    <w:rsid w:val="00503510"/>
    <w:rPr>
      <w:rFonts w:ascii="Times New Roman" w:hAnsi="Times New Roman"/>
      <w:b/>
      <w:bCs/>
      <w:spacing w:val="4"/>
      <w:w w:val="103"/>
      <w:kern w:val="14"/>
    </w:rPr>
  </w:style>
  <w:style w:type="paragraph" w:customStyle="1" w:styleId="HChG">
    <w:name w:val="_ H _Ch_G"/>
    <w:basedOn w:val="Normal"/>
    <w:next w:val="Normal"/>
    <w:qFormat/>
    <w:rsid w:val="00625FB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625FB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SingleTxtG">
    <w:name w:val="_ Single Txt_G"/>
    <w:basedOn w:val="Normal"/>
    <w:qFormat/>
    <w:rsid w:val="00625FB5"/>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styleId="Hyperlink">
    <w:name w:val="Hyperlink"/>
    <w:basedOn w:val="DefaultParagraphFont"/>
    <w:uiPriority w:val="99"/>
    <w:semiHidden/>
    <w:unhideWhenUsed/>
    <w:rsid w:val="00D429F6"/>
    <w:rPr>
      <w:color w:val="0000FF" w:themeColor="hyperlink"/>
      <w:u w:val="single"/>
    </w:rPr>
  </w:style>
  <w:style w:type="character" w:styleId="FollowedHyperlink">
    <w:name w:val="FollowedHyperlink"/>
    <w:basedOn w:val="DefaultParagraphFont"/>
    <w:uiPriority w:val="99"/>
    <w:semiHidden/>
    <w:unhideWhenUsed/>
    <w:rsid w:val="00D429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503510"/>
    <w:rPr>
      <w:sz w:val="16"/>
      <w:szCs w:val="16"/>
    </w:rPr>
  </w:style>
  <w:style w:type="paragraph" w:styleId="CommentText">
    <w:name w:val="annotation text"/>
    <w:basedOn w:val="Normal"/>
    <w:link w:val="CommentTextChar"/>
    <w:uiPriority w:val="99"/>
    <w:semiHidden/>
    <w:unhideWhenUsed/>
    <w:rsid w:val="00503510"/>
    <w:pPr>
      <w:spacing w:line="240" w:lineRule="auto"/>
    </w:pPr>
    <w:rPr>
      <w:szCs w:val="20"/>
    </w:rPr>
  </w:style>
  <w:style w:type="character" w:customStyle="1" w:styleId="CommentTextChar">
    <w:name w:val="Comment Text Char"/>
    <w:basedOn w:val="DefaultParagraphFont"/>
    <w:link w:val="CommentText"/>
    <w:uiPriority w:val="99"/>
    <w:semiHidden/>
    <w:rsid w:val="00503510"/>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503510"/>
    <w:rPr>
      <w:b/>
      <w:bCs/>
    </w:rPr>
  </w:style>
  <w:style w:type="character" w:customStyle="1" w:styleId="CommentSubjectChar">
    <w:name w:val="Comment Subject Char"/>
    <w:basedOn w:val="CommentTextChar"/>
    <w:link w:val="CommentSubject"/>
    <w:uiPriority w:val="99"/>
    <w:semiHidden/>
    <w:rsid w:val="00503510"/>
    <w:rPr>
      <w:rFonts w:ascii="Times New Roman" w:hAnsi="Times New Roman"/>
      <w:b/>
      <w:bCs/>
      <w:spacing w:val="4"/>
      <w:w w:val="103"/>
      <w:kern w:val="14"/>
    </w:rPr>
  </w:style>
  <w:style w:type="paragraph" w:customStyle="1" w:styleId="HChG">
    <w:name w:val="_ H _Ch_G"/>
    <w:basedOn w:val="Normal"/>
    <w:next w:val="Normal"/>
    <w:qFormat/>
    <w:rsid w:val="00625FB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625FB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SingleTxtG">
    <w:name w:val="_ Single Txt_G"/>
    <w:basedOn w:val="Normal"/>
    <w:qFormat/>
    <w:rsid w:val="00625FB5"/>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styleId="Hyperlink">
    <w:name w:val="Hyperlink"/>
    <w:basedOn w:val="DefaultParagraphFont"/>
    <w:uiPriority w:val="99"/>
    <w:semiHidden/>
    <w:unhideWhenUsed/>
    <w:rsid w:val="00D429F6"/>
    <w:rPr>
      <w:color w:val="0000FF" w:themeColor="hyperlink"/>
      <w:u w:val="single"/>
    </w:rPr>
  </w:style>
  <w:style w:type="character" w:styleId="FollowedHyperlink">
    <w:name w:val="FollowedHyperlink"/>
    <w:basedOn w:val="DefaultParagraphFont"/>
    <w:uiPriority w:val="99"/>
    <w:semiHidden/>
    <w:unhideWhenUsed/>
    <w:rsid w:val="00D429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B091E-66AD-4CA6-8F56-FBB3FB9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Chautagnat</dc:creator>
  <cp:lastModifiedBy>Christopher Smith</cp:lastModifiedBy>
  <cp:revision>4</cp:revision>
  <cp:lastPrinted>2015-07-02T09:12:00Z</cp:lastPrinted>
  <dcterms:created xsi:type="dcterms:W3CDTF">2015-07-02T09:10:00Z</dcterms:created>
  <dcterms:modified xsi:type="dcterms:W3CDTF">2015-07-02T09:12:00Z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1508464F</vt:lpwstr>
  </property>
  <property fmtid="{D5CDD505-2E9C-101B-9397-08002B2CF9AE}" pid="3" name="ODSRefJobNo">
    <vt:lpwstr>1510873F</vt:lpwstr>
  </property>
  <property fmtid="{D5CDD505-2E9C-101B-9397-08002B2CF9AE}" pid="4" name="Symbol1">
    <vt:lpwstr>ECE/TRANS/WP.15/AC.2/2015/26</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29 mai 2015</vt:lpwstr>
  </property>
  <property fmtid="{D5CDD505-2E9C-101B-9397-08002B2CF9AE}" pid="9" name="Original">
    <vt:lpwstr>anglais</vt:lpwstr>
  </property>
  <property fmtid="{D5CDD505-2E9C-101B-9397-08002B2CF9AE}" pid="10" name="Release Date">
    <vt:lpwstr>240615</vt:lpwstr>
  </property>
  <property fmtid="{D5CDD505-2E9C-101B-9397-08002B2CF9AE}" pid="11" name="Comment">
    <vt:lpwstr/>
  </property>
  <property fmtid="{D5CDD505-2E9C-101B-9397-08002B2CF9AE}" pid="12" name="DraftPages">
    <vt:lpwstr> </vt:lpwstr>
  </property>
  <property fmtid="{D5CDD505-2E9C-101B-9397-08002B2CF9AE}" pid="13" name="Operator">
    <vt:lpwstr>chautagnat</vt:lpwstr>
  </property>
</Properties>
</file>