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FB663C">
                <w:t>TRANS/WP.15/AC.2/2015/23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FB663C">
                <w:t>29 May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B663C" w:rsidRPr="007259B5" w:rsidRDefault="00FB663C" w:rsidP="007259B5">
      <w:pPr>
        <w:spacing w:before="120"/>
        <w:rPr>
          <w:sz w:val="28"/>
          <w:szCs w:val="28"/>
        </w:rPr>
      </w:pPr>
      <w:r w:rsidRPr="007259B5">
        <w:rPr>
          <w:sz w:val="28"/>
          <w:szCs w:val="28"/>
        </w:rPr>
        <w:t>Комитет по внутреннему транспорту</w:t>
      </w:r>
    </w:p>
    <w:p w:rsidR="00FB663C" w:rsidRPr="007259B5" w:rsidRDefault="00FB663C" w:rsidP="007259B5">
      <w:pPr>
        <w:spacing w:before="120"/>
        <w:rPr>
          <w:b/>
          <w:sz w:val="24"/>
          <w:szCs w:val="24"/>
        </w:rPr>
      </w:pPr>
      <w:r w:rsidRPr="007259B5">
        <w:rPr>
          <w:b/>
          <w:sz w:val="24"/>
          <w:szCs w:val="24"/>
        </w:rPr>
        <w:t>Рабочая группа по перевозкам опасных грузов</w:t>
      </w:r>
    </w:p>
    <w:p w:rsidR="00FB663C" w:rsidRPr="0000526B" w:rsidRDefault="00FB663C" w:rsidP="007259B5">
      <w:pPr>
        <w:spacing w:before="120"/>
        <w:rPr>
          <w:b/>
        </w:rPr>
      </w:pPr>
      <w:r w:rsidRPr="0000526B">
        <w:rPr>
          <w:b/>
        </w:rPr>
        <w:t>Совместное с</w:t>
      </w:r>
      <w:r w:rsidR="0000526B">
        <w:rPr>
          <w:b/>
        </w:rPr>
        <w:t>овещание экспертов по Правилам,</w:t>
      </w:r>
      <w:r w:rsidR="0000526B" w:rsidRPr="0000526B">
        <w:rPr>
          <w:b/>
        </w:rPr>
        <w:br/>
      </w:r>
      <w:r w:rsidRPr="0000526B">
        <w:rPr>
          <w:b/>
        </w:rPr>
        <w:t>прилаг</w:t>
      </w:r>
      <w:r w:rsidR="0000526B">
        <w:rPr>
          <w:b/>
        </w:rPr>
        <w:t>аемым к Европейскому соглашению</w:t>
      </w:r>
      <w:r w:rsidR="0000526B" w:rsidRPr="0000526B">
        <w:rPr>
          <w:b/>
        </w:rPr>
        <w:br/>
      </w:r>
      <w:r w:rsidRPr="0000526B">
        <w:rPr>
          <w:b/>
        </w:rPr>
        <w:t>о междуна</w:t>
      </w:r>
      <w:r w:rsidR="0000526B">
        <w:rPr>
          <w:b/>
        </w:rPr>
        <w:t>родной перевозке опасных грузов</w:t>
      </w:r>
      <w:r w:rsidR="0000526B" w:rsidRPr="0000526B">
        <w:rPr>
          <w:b/>
        </w:rPr>
        <w:br/>
      </w:r>
      <w:r w:rsidRPr="0000526B">
        <w:rPr>
          <w:b/>
        </w:rPr>
        <w:t>по внут</w:t>
      </w:r>
      <w:r w:rsidR="0000526B">
        <w:rPr>
          <w:b/>
        </w:rPr>
        <w:t>ренним водным путям (ВОПОГ)</w:t>
      </w:r>
      <w:r w:rsidR="0000526B" w:rsidRPr="0000526B">
        <w:rPr>
          <w:b/>
        </w:rPr>
        <w:br/>
      </w:r>
      <w:r w:rsidRPr="0000526B">
        <w:rPr>
          <w:b/>
        </w:rPr>
        <w:t>(Комитет по вопросам безопасности ВОПОГ)</w:t>
      </w:r>
    </w:p>
    <w:p w:rsidR="00FB663C" w:rsidRPr="0000526B" w:rsidRDefault="00FB663C" w:rsidP="0000526B">
      <w:pPr>
        <w:spacing w:before="120"/>
        <w:rPr>
          <w:b/>
        </w:rPr>
      </w:pPr>
      <w:r w:rsidRPr="0000526B">
        <w:rPr>
          <w:b/>
        </w:rPr>
        <w:t>Двадцать седьмая сессия</w:t>
      </w:r>
    </w:p>
    <w:p w:rsidR="00FB663C" w:rsidRPr="007259B5" w:rsidRDefault="0000526B" w:rsidP="007259B5">
      <w:r>
        <w:t>Женева, 24</w:t>
      </w:r>
      <w:r>
        <w:rPr>
          <w:lang w:val="en-US"/>
        </w:rPr>
        <w:t>−</w:t>
      </w:r>
      <w:r w:rsidR="00FB663C" w:rsidRPr="007259B5">
        <w:t xml:space="preserve">28 августа 2015 года </w:t>
      </w:r>
    </w:p>
    <w:p w:rsidR="00FB663C" w:rsidRPr="007259B5" w:rsidRDefault="00FB663C" w:rsidP="007259B5">
      <w:r w:rsidRPr="007259B5">
        <w:t xml:space="preserve">Пункт 4 b) предварительной повестки дня </w:t>
      </w:r>
    </w:p>
    <w:p w:rsidR="00FB663C" w:rsidRPr="0000526B" w:rsidRDefault="00FB663C" w:rsidP="007259B5">
      <w:pPr>
        <w:rPr>
          <w:b/>
        </w:rPr>
      </w:pPr>
      <w:r w:rsidRPr="0000526B">
        <w:rPr>
          <w:b/>
        </w:rPr>
        <w:t>Предложения</w:t>
      </w:r>
      <w:r w:rsidR="0000526B">
        <w:rPr>
          <w:b/>
        </w:rPr>
        <w:t xml:space="preserve"> о внесении поправок в Правила,</w:t>
      </w:r>
      <w:r w:rsidR="0000526B" w:rsidRPr="0000526B">
        <w:rPr>
          <w:b/>
        </w:rPr>
        <w:br/>
      </w:r>
      <w:r w:rsidRPr="0000526B">
        <w:rPr>
          <w:b/>
        </w:rPr>
        <w:t xml:space="preserve">прилагаемые к ВОПОГ: </w:t>
      </w:r>
    </w:p>
    <w:p w:rsidR="00FB663C" w:rsidRPr="0000526B" w:rsidRDefault="00FB663C" w:rsidP="007259B5">
      <w:pPr>
        <w:rPr>
          <w:b/>
        </w:rPr>
      </w:pPr>
      <w:r w:rsidRPr="0000526B">
        <w:rPr>
          <w:b/>
        </w:rPr>
        <w:t>Другие предложения</w:t>
      </w:r>
    </w:p>
    <w:p w:rsidR="00FB663C" w:rsidRPr="007259B5" w:rsidRDefault="00FB663C" w:rsidP="0000526B">
      <w:pPr>
        <w:pStyle w:val="HChGR"/>
      </w:pPr>
      <w:r w:rsidRPr="007259B5">
        <w:tab/>
      </w:r>
      <w:r w:rsidRPr="007259B5">
        <w:tab/>
        <w:t>Остойчивость неповрежденных танкеров типа N при</w:t>
      </w:r>
      <w:r w:rsidR="00627A73">
        <w:t> </w:t>
      </w:r>
      <w:r w:rsidRPr="007259B5">
        <w:t>использовании междубортовых про</w:t>
      </w:r>
      <w:r w:rsidR="00627A73">
        <w:t>странств для </w:t>
      </w:r>
      <w:r w:rsidRPr="007259B5">
        <w:t>балласта (ширина грузового танка &lt;0,7 В)</w:t>
      </w:r>
    </w:p>
    <w:p w:rsidR="00FB663C" w:rsidRPr="0000526B" w:rsidRDefault="00FB663C" w:rsidP="0000526B">
      <w:pPr>
        <w:pStyle w:val="H1GR"/>
        <w:rPr>
          <w:rStyle w:val="FootnoteReference"/>
          <w:b w:val="0"/>
          <w:spacing w:val="5"/>
          <w:w w:val="104"/>
          <w:lang w:val="en-GB"/>
        </w:rPr>
      </w:pPr>
      <w:r w:rsidRPr="007259B5">
        <w:tab/>
      </w:r>
      <w:r w:rsidRPr="007259B5">
        <w:tab/>
        <w:t>Передано Рекомендованными классификационными обществами ВОПОГ</w:t>
      </w:r>
      <w:r w:rsidRPr="0000526B">
        <w:rPr>
          <w:rStyle w:val="FootnoteReference"/>
          <w:b w:val="0"/>
          <w:spacing w:val="5"/>
          <w:w w:val="104"/>
          <w:lang w:val="en-GB"/>
        </w:rPr>
        <w:footnoteReference w:id="1"/>
      </w:r>
    </w:p>
    <w:p w:rsidR="00FB663C" w:rsidRPr="007259B5" w:rsidRDefault="00FB663C" w:rsidP="0000526B">
      <w:pPr>
        <w:pStyle w:val="HChGR"/>
      </w:pPr>
      <w:r w:rsidRPr="007259B5">
        <w:tab/>
      </w:r>
      <w:r w:rsidRPr="007259B5">
        <w:tab/>
        <w:t>Введение</w:t>
      </w:r>
    </w:p>
    <w:p w:rsidR="007259B5" w:rsidRDefault="007259B5" w:rsidP="007259B5">
      <w:pPr>
        <w:pStyle w:val="SingleTxtGR"/>
      </w:pPr>
      <w:r>
        <w:t>1.</w:t>
      </w:r>
      <w:r>
        <w:tab/>
        <w:t>Нынешние правила в отношении остойчивости неповрежденного судна гласят следующее:</w:t>
      </w:r>
    </w:p>
    <w:p w:rsidR="007259B5" w:rsidRDefault="0000526B" w:rsidP="007259B5">
      <w:pPr>
        <w:pStyle w:val="SingleTxtGR"/>
      </w:pPr>
      <w:r>
        <w:t>"9.3.3.14.1</w:t>
      </w:r>
      <w:r w:rsidRPr="0000526B">
        <w:tab/>
      </w:r>
      <w:r w:rsidR="007259B5">
        <w:t xml:space="preserve">Для судов, имеющих вкладные грузовые танки, и для конструкций с двойным корпусом и грузовыми танками, встроенными в шпангоуты судна, </w:t>
      </w:r>
      <w:r w:rsidR="007259B5">
        <w:lastRenderedPageBreak/>
        <w:t>должны полностью соблюдаться предписания в отношении остойчивости неп</w:t>
      </w:r>
      <w:r w:rsidR="007259B5">
        <w:t>о</w:t>
      </w:r>
      <w:r w:rsidR="007259B5">
        <w:t>врежденного судна, установленные на основе расчета аварийной остойчивости.</w:t>
      </w:r>
    </w:p>
    <w:p w:rsidR="007259B5" w:rsidRDefault="0000526B" w:rsidP="007259B5">
      <w:pPr>
        <w:pStyle w:val="SingleTxtGR"/>
      </w:pPr>
      <w:r>
        <w:t>9.3.3.14.2</w:t>
      </w:r>
      <w:r w:rsidRPr="0000526B">
        <w:tab/>
      </w:r>
      <w:r w:rsidR="007259B5">
        <w:t>Для судов, имеющих грузовые танки шириной более 0,70 В, дол</w:t>
      </w:r>
      <w:r w:rsidR="007259B5">
        <w:t>ж</w:t>
      </w:r>
      <w:r w:rsidR="007259B5">
        <w:t>но быть подтверждено соблюдение следующих предписаний в отношении остойчивости:</w:t>
      </w:r>
    </w:p>
    <w:p w:rsidR="007259B5" w:rsidRDefault="0000526B" w:rsidP="007259B5">
      <w:pPr>
        <w:pStyle w:val="SingleTxtGR"/>
      </w:pPr>
      <w:r>
        <w:rPr>
          <w:lang w:val="en-US"/>
        </w:rPr>
        <w:tab/>
      </w:r>
      <w:r>
        <w:t>а)</w:t>
      </w:r>
      <w:r w:rsidRPr="0000526B">
        <w:tab/>
      </w:r>
      <w:r w:rsidR="007259B5">
        <w:t>в области положительных значений кривой восстанавливающих плеч до погружения в воду первого негерметично закрывающегося отверстия плечо восстанавливающего момента (GZ) должно составлять не менее 0,10 м;</w:t>
      </w:r>
    </w:p>
    <w:p w:rsidR="007259B5" w:rsidRDefault="0000526B" w:rsidP="007259B5">
      <w:pPr>
        <w:pStyle w:val="SingleTxtGR"/>
      </w:pPr>
      <w:r>
        <w:rPr>
          <w:lang w:val="en-US"/>
        </w:rPr>
        <w:tab/>
      </w:r>
      <w:r w:rsidR="007259B5">
        <w:t>b)</w:t>
      </w:r>
      <w:r w:rsidR="007259B5">
        <w:tab/>
        <w:t>площадь области положительных значений кривой восстанавлив</w:t>
      </w:r>
      <w:r w:rsidR="007259B5">
        <w:t>а</w:t>
      </w:r>
      <w:r w:rsidR="007259B5">
        <w:t>ющих плеч до погружения в воду первого негерметично закрывающегося о</w:t>
      </w:r>
      <w:r w:rsidR="007259B5">
        <w:t>т</w:t>
      </w:r>
      <w:r w:rsidR="007259B5">
        <w:t xml:space="preserve">верстия, но при значении угла крена не более </w:t>
      </w:r>
      <w:r>
        <w:t>27°, должна быть не м</w:t>
      </w:r>
      <w:r>
        <w:t>е</w:t>
      </w:r>
      <w:r>
        <w:t>нее</w:t>
      </w:r>
      <w:r>
        <w:rPr>
          <w:lang w:val="en-US"/>
        </w:rPr>
        <w:t> </w:t>
      </w:r>
      <w:r>
        <w:t>0,024</w:t>
      </w:r>
      <w:r>
        <w:rPr>
          <w:lang w:val="en-US"/>
        </w:rPr>
        <w:t> </w:t>
      </w:r>
      <w:r w:rsidR="007259B5">
        <w:t>м • рад;</w:t>
      </w:r>
    </w:p>
    <w:p w:rsidR="007259B5" w:rsidRDefault="0000526B" w:rsidP="007259B5">
      <w:pPr>
        <w:pStyle w:val="SingleTxtGR"/>
      </w:pPr>
      <w:r w:rsidRPr="0000526B">
        <w:tab/>
      </w:r>
      <w:r w:rsidR="007259B5">
        <w:t>с)</w:t>
      </w:r>
      <w:r w:rsidRPr="0000526B">
        <w:tab/>
      </w:r>
      <w:r w:rsidR="007259B5">
        <w:t xml:space="preserve">метацентрическая высота (GM) должна составлять как минимум 0,10 м. </w:t>
      </w:r>
    </w:p>
    <w:p w:rsidR="007259B5" w:rsidRDefault="0000526B" w:rsidP="007259B5">
      <w:pPr>
        <w:pStyle w:val="SingleTxtGR"/>
      </w:pPr>
      <w:r>
        <w:rPr>
          <w:lang w:val="en-US"/>
        </w:rPr>
        <w:tab/>
      </w:r>
      <w:r w:rsidR="007259B5">
        <w:t>Эти условия должны выполняться с учетом влияния всех свободных п</w:t>
      </w:r>
      <w:r w:rsidR="007259B5">
        <w:t>о</w:t>
      </w:r>
      <w:r w:rsidR="007259B5">
        <w:t>верхностей жидкости в танках на всех стадиях загрузки и разгрузки".</w:t>
      </w:r>
    </w:p>
    <w:p w:rsidR="007259B5" w:rsidRDefault="007259B5" w:rsidP="0000526B">
      <w:pPr>
        <w:pStyle w:val="HChGR"/>
      </w:pPr>
      <w:r>
        <w:tab/>
      </w:r>
      <w:r>
        <w:tab/>
        <w:t>Обсуждение</w:t>
      </w:r>
    </w:p>
    <w:p w:rsidR="007259B5" w:rsidRDefault="007259B5" w:rsidP="007259B5">
      <w:pPr>
        <w:pStyle w:val="SingleTxtGR"/>
      </w:pPr>
      <w:r>
        <w:t>2.</w:t>
      </w:r>
      <w:r>
        <w:tab/>
        <w:t>Для танкера типа N с центральной продольной переборкой и междубо</w:t>
      </w:r>
      <w:r>
        <w:t>р</w:t>
      </w:r>
      <w:r>
        <w:t>товым пространством, используемым для балластировки, остойчивость неп</w:t>
      </w:r>
      <w:r>
        <w:t>о</w:t>
      </w:r>
      <w:r>
        <w:t>врежденного судна может в значительной степени зависеть от момента инерции площади свободной поверхности под воздействием балласта.</w:t>
      </w:r>
    </w:p>
    <w:p w:rsidR="007259B5" w:rsidRDefault="007259B5" w:rsidP="007259B5">
      <w:pPr>
        <w:pStyle w:val="SingleTxtGR"/>
      </w:pPr>
      <w:r>
        <w:t>3.</w:t>
      </w:r>
      <w:r>
        <w:tab/>
        <w:t>Конкретные критерии остойчивости неповрежденного судна должны с</w:t>
      </w:r>
      <w:r>
        <w:t>о</w:t>
      </w:r>
      <w:r>
        <w:t>блюдаться только в отношении судов, имеющих г</w:t>
      </w:r>
      <w:r w:rsidR="00627A73">
        <w:t>рузовые танки шириной более 0,7</w:t>
      </w:r>
      <w:r>
        <w:t xml:space="preserve"> В (пункт 9.3.3.14.2).</w:t>
      </w:r>
    </w:p>
    <w:p w:rsidR="007259B5" w:rsidRDefault="007259B5" w:rsidP="007259B5">
      <w:pPr>
        <w:pStyle w:val="SingleTxtGR"/>
      </w:pPr>
      <w:r>
        <w:t>4.</w:t>
      </w:r>
      <w:r>
        <w:tab/>
        <w:t>Для танкера типа N с центральной продольной переборкой (ширина гр</w:t>
      </w:r>
      <w:r>
        <w:t>у</w:t>
      </w:r>
      <w:r>
        <w:t xml:space="preserve">зового танка &lt;0,7 B) и двойным корпусом остойчивость неповрежденного судна должна соответствовать только требованиям, предъявляемым к аварийной остойчивости (пункт 9.3.3.14.1), что в данном </w:t>
      </w:r>
      <w:r w:rsidR="00494D2C">
        <w:t>случае является недостаточным с</w:t>
      </w:r>
      <w:r w:rsidR="00494D2C">
        <w:rPr>
          <w:lang w:val="en-US"/>
        </w:rPr>
        <w:t> </w:t>
      </w:r>
      <w:r>
        <w:t>точки зрения безопасности.</w:t>
      </w:r>
    </w:p>
    <w:p w:rsidR="007259B5" w:rsidRDefault="007259B5" w:rsidP="007259B5">
      <w:pPr>
        <w:pStyle w:val="SingleTxtGR"/>
      </w:pPr>
      <w:r>
        <w:t>5.</w:t>
      </w:r>
      <w:r>
        <w:tab/>
        <w:t>Такое положение, вероятно, связано с тем, что положения ВОПОГ для танкеров типа N первоначально предназначались для однокорпусных танкеров этого типа. Дополнительные положения в отношении танкеров типа N с дво</w:t>
      </w:r>
      <w:r>
        <w:t>й</w:t>
      </w:r>
      <w:r>
        <w:t xml:space="preserve">ным корпусом были подготовлены без видоизменения положений, касающихся стабильности. </w:t>
      </w:r>
    </w:p>
    <w:p w:rsidR="007259B5" w:rsidRDefault="007259B5" w:rsidP="0000526B">
      <w:pPr>
        <w:pStyle w:val="HChGR"/>
      </w:pPr>
      <w:r>
        <w:tab/>
      </w:r>
      <w:r>
        <w:tab/>
        <w:t>Предложение</w:t>
      </w:r>
    </w:p>
    <w:p w:rsidR="007259B5" w:rsidRDefault="007259B5" w:rsidP="007259B5">
      <w:pPr>
        <w:pStyle w:val="SingleTxtGR"/>
      </w:pPr>
      <w:r>
        <w:t>6.</w:t>
      </w:r>
      <w:r>
        <w:tab/>
        <w:t xml:space="preserve">Предлагается изменить пункт 9.3.3.14.2 следующим образом: </w:t>
      </w:r>
    </w:p>
    <w:p w:rsidR="007259B5" w:rsidRDefault="00627A73" w:rsidP="007259B5">
      <w:pPr>
        <w:pStyle w:val="SingleTxtGR"/>
      </w:pPr>
      <w:r>
        <w:t>"</w:t>
      </w:r>
      <w:r w:rsidR="0000526B">
        <w:t>9.3.3.14.2</w:t>
      </w:r>
      <w:r w:rsidR="0000526B" w:rsidRPr="0000526B">
        <w:tab/>
      </w:r>
      <w:r w:rsidR="007259B5">
        <w:t xml:space="preserve">Для судов, имеющих грузовые танки шириной более 0,70 В, </w:t>
      </w:r>
      <w:r w:rsidR="007259B5" w:rsidRPr="00494D2C">
        <w:rPr>
          <w:u w:val="single"/>
        </w:rPr>
        <w:t>или при использовании междубортового пространства для балластировки</w:t>
      </w:r>
      <w:r w:rsidR="007259B5">
        <w:t xml:space="preserve"> должно быть подтверждено соблюдение следующих предписаний в отношении осто</w:t>
      </w:r>
      <w:r w:rsidR="007259B5">
        <w:t>й</w:t>
      </w:r>
      <w:r w:rsidR="007259B5">
        <w:t>чивости:</w:t>
      </w:r>
    </w:p>
    <w:p w:rsidR="007259B5" w:rsidRDefault="0000526B" w:rsidP="007259B5">
      <w:pPr>
        <w:pStyle w:val="SingleTxtGR"/>
      </w:pPr>
      <w:r w:rsidRPr="0000526B">
        <w:tab/>
      </w:r>
      <w:r>
        <w:t>а)</w:t>
      </w:r>
      <w:r w:rsidRPr="0000526B">
        <w:tab/>
      </w:r>
      <w:r w:rsidR="007259B5">
        <w:t>в области положительных значений кривой восстанавливающих плеч до погружения в воду первого негерметично закрывающегося отверстия плечо восстанавливающего момента (GZ) должно составлять не менее 0,10 м;</w:t>
      </w:r>
    </w:p>
    <w:p w:rsidR="007259B5" w:rsidRDefault="00494D2C" w:rsidP="00494D2C">
      <w:pPr>
        <w:pStyle w:val="SingleTxtGR"/>
        <w:pageBreakBefore/>
      </w:pPr>
      <w:r>
        <w:rPr>
          <w:lang w:val="en-US"/>
        </w:rPr>
        <w:lastRenderedPageBreak/>
        <w:tab/>
      </w:r>
      <w:r w:rsidR="007259B5">
        <w:t>b)</w:t>
      </w:r>
      <w:r w:rsidR="007259B5">
        <w:tab/>
        <w:t>площадь области положительных значений кривой восстанавлив</w:t>
      </w:r>
      <w:r w:rsidR="007259B5">
        <w:t>а</w:t>
      </w:r>
      <w:r w:rsidR="007259B5">
        <w:t>ющих плеч до погружения в воду первого негерметично закрывающегося о</w:t>
      </w:r>
      <w:r w:rsidR="007259B5">
        <w:t>т</w:t>
      </w:r>
      <w:r w:rsidR="007259B5">
        <w:t xml:space="preserve">верстия, но при значении угла крена не более </w:t>
      </w:r>
      <w:r>
        <w:t>27°, должна быть не м</w:t>
      </w:r>
      <w:r>
        <w:t>е</w:t>
      </w:r>
      <w:r>
        <w:t>нее</w:t>
      </w:r>
      <w:r>
        <w:rPr>
          <w:lang w:val="en-US"/>
        </w:rPr>
        <w:t> </w:t>
      </w:r>
      <w:r>
        <w:t>0,024</w:t>
      </w:r>
      <w:r>
        <w:rPr>
          <w:lang w:val="en-US"/>
        </w:rPr>
        <w:t> </w:t>
      </w:r>
      <w:r w:rsidR="007259B5">
        <w:t>м • рад;</w:t>
      </w:r>
    </w:p>
    <w:p w:rsidR="007259B5" w:rsidRDefault="00494D2C" w:rsidP="007259B5">
      <w:pPr>
        <w:pStyle w:val="SingleTxtGR"/>
      </w:pPr>
      <w:r w:rsidRPr="00494D2C">
        <w:tab/>
      </w:r>
      <w:r>
        <w:t>с)</w:t>
      </w:r>
      <w:r w:rsidRPr="00494D2C">
        <w:tab/>
      </w:r>
      <w:r w:rsidR="007259B5">
        <w:t>метацентрическая высота (GM) должна составлять как минимум 0,10 м.</w:t>
      </w:r>
    </w:p>
    <w:p w:rsidR="009D6B18" w:rsidRDefault="00494D2C" w:rsidP="007259B5">
      <w:pPr>
        <w:pStyle w:val="SingleTxtGR"/>
        <w:rPr>
          <w:lang w:val="en-US"/>
        </w:rPr>
      </w:pPr>
      <w:r w:rsidRPr="00627A73">
        <w:tab/>
      </w:r>
      <w:r w:rsidR="007259B5">
        <w:t>Эти условия должны выполняться с учетом влияния всех свободных п</w:t>
      </w:r>
      <w:r w:rsidR="007259B5">
        <w:t>о</w:t>
      </w:r>
      <w:r w:rsidR="007259B5">
        <w:t>верхностей жидкости в танках на всех стадиях загрузки и разгрузки".</w:t>
      </w:r>
    </w:p>
    <w:p w:rsidR="00494D2C" w:rsidRPr="00494D2C" w:rsidRDefault="00494D2C" w:rsidP="00494D2C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94D2C" w:rsidRPr="00494D2C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3C" w:rsidRDefault="00FB663C">
      <w:r>
        <w:rPr>
          <w:lang w:val="en-US"/>
        </w:rPr>
        <w:tab/>
      </w:r>
      <w:r>
        <w:separator/>
      </w:r>
    </w:p>
  </w:endnote>
  <w:endnote w:type="continuationSeparator" w:id="0">
    <w:p w:rsidR="00FB663C" w:rsidRDefault="00F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268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  <w:r w:rsidR="00494D2C">
      <w:rPr>
        <w:lang w:val="en-US"/>
      </w:rPr>
      <w:t>GE.15-08461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494D2C">
    <w:pPr>
      <w:pStyle w:val="Footer"/>
      <w:rPr>
        <w:lang w:val="en-US"/>
      </w:rPr>
    </w:pPr>
    <w:r>
      <w:rPr>
        <w:lang w:val="en-US"/>
      </w:rPr>
      <w:t>GE.15-08461</w:t>
    </w:r>
    <w:r w:rsidR="00A1484B">
      <w:rPr>
        <w:lang w:val="en-US"/>
      </w:rPr>
      <w:tab/>
    </w:r>
    <w:r w:rsidR="00A1484B">
      <w:rPr>
        <w:rStyle w:val="PageNumber"/>
      </w:rPr>
      <w:fldChar w:fldCharType="begin"/>
    </w:r>
    <w:r w:rsidR="00A1484B">
      <w:rPr>
        <w:rStyle w:val="PageNumber"/>
      </w:rPr>
      <w:instrText xml:space="preserve"> PAGE </w:instrText>
    </w:r>
    <w:r w:rsidR="00A1484B">
      <w:rPr>
        <w:rStyle w:val="PageNumber"/>
      </w:rPr>
      <w:fldChar w:fldCharType="separate"/>
    </w:r>
    <w:r w:rsidR="004C2689">
      <w:rPr>
        <w:rStyle w:val="PageNumber"/>
        <w:noProof/>
      </w:rPr>
      <w:t>3</w:t>
    </w:r>
    <w:r w:rsidR="00A1484B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9D6B1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494D2C">
            <w:rPr>
              <w:lang w:val="en-US"/>
            </w:rPr>
            <w:t>-08461</w:t>
          </w:r>
          <w:r w:rsidR="00A1484B">
            <w:rPr>
              <w:lang w:val="en-US"/>
            </w:rPr>
            <w:t xml:space="preserve">  (R)</w:t>
          </w:r>
          <w:r w:rsidR="00494D2C">
            <w:rPr>
              <w:lang w:val="en-US"/>
            </w:rPr>
            <w:t xml:space="preserve">  160615  160615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9B066D9" wp14:editId="0F66610F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494D2C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3" name="Рисунок 3" descr="http://undocs.org/m2/QRCode2.ashx?DS=ECE/TRANS/WP.15/AC.2/2015/23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undocs.org/m2/QRCode2.ashx?DS=ECE/TRANS/WP.15/AC.2/2015/23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494D2C" w:rsidRDefault="00494D2C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94D2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3C" w:rsidRPr="00F71F63" w:rsidRDefault="00FB663C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FB663C" w:rsidRPr="00F71F63" w:rsidRDefault="00FB663C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FB663C" w:rsidRPr="00635E86" w:rsidRDefault="00FB663C" w:rsidP="00635E86">
      <w:pPr>
        <w:pStyle w:val="Footer"/>
      </w:pPr>
    </w:p>
  </w:footnote>
  <w:footnote w:id="1">
    <w:p w:rsidR="00FB663C" w:rsidRPr="00FB663C" w:rsidRDefault="00FB663C" w:rsidP="00FB663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FB663C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>
        <w:t>CCNR</w:t>
      </w:r>
      <w:r w:rsidRPr="00FB663C">
        <w:rPr>
          <w:lang w:val="ru-RU"/>
        </w:rPr>
        <w:t>-</w:t>
      </w:r>
      <w:r>
        <w:t>ZKR</w:t>
      </w:r>
      <w:r w:rsidRPr="00FB663C">
        <w:rPr>
          <w:lang w:val="ru-RU"/>
        </w:rPr>
        <w:t>/</w:t>
      </w:r>
      <w:r>
        <w:t>ADN</w:t>
      </w:r>
      <w:r w:rsidRPr="00FB663C">
        <w:rPr>
          <w:lang w:val="ru-RU"/>
        </w:rPr>
        <w:t>/</w:t>
      </w:r>
      <w:r>
        <w:t>WP</w:t>
      </w:r>
      <w:r w:rsidRPr="00FB663C">
        <w:rPr>
          <w:lang w:val="ru-RU"/>
        </w:rPr>
        <w:t>.15/</w:t>
      </w:r>
      <w:r>
        <w:t>AC</w:t>
      </w:r>
      <w:r w:rsidRPr="00FB663C">
        <w:rPr>
          <w:lang w:val="ru-RU"/>
        </w:rPr>
        <w:t>.2/2015/23.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494D2C">
      <w:rPr>
        <w:lang w:val="en-US"/>
      </w:rPr>
      <w:t>TRANS/WP.15/AC.2/2015/23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</w:r>
    <w:r w:rsidR="00494D2C">
      <w:rPr>
        <w:lang w:val="en-US"/>
      </w:rPr>
      <w:t>ECE/TRANS/WP.15/AC.2/2015/23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1"/>
  </w:num>
  <w:num w:numId="19">
    <w:abstractNumId w:val="11"/>
  </w:num>
  <w:num w:numId="20">
    <w:abstractNumId w:val="15"/>
  </w:num>
  <w:num w:numId="21">
    <w:abstractNumId w:val="11"/>
  </w:num>
  <w:num w:numId="22">
    <w:abstractNumId w:val="13"/>
  </w:num>
  <w:num w:numId="23">
    <w:abstractNumId w:val="13"/>
  </w:num>
  <w:num w:numId="2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3C"/>
    <w:rsid w:val="000033D8"/>
    <w:rsid w:val="0000526B"/>
    <w:rsid w:val="00005C1C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7975"/>
    <w:rsid w:val="000A3DDF"/>
    <w:rsid w:val="000A60A0"/>
    <w:rsid w:val="000C3688"/>
    <w:rsid w:val="000D6863"/>
    <w:rsid w:val="00117AEE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629A0"/>
    <w:rsid w:val="0028492B"/>
    <w:rsid w:val="00291C8F"/>
    <w:rsid w:val="00296D2C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57634"/>
    <w:rsid w:val="00474F42"/>
    <w:rsid w:val="0048244D"/>
    <w:rsid w:val="00485980"/>
    <w:rsid w:val="00494D2C"/>
    <w:rsid w:val="004A0DE8"/>
    <w:rsid w:val="004A4CB7"/>
    <w:rsid w:val="004A57B5"/>
    <w:rsid w:val="004B19DA"/>
    <w:rsid w:val="004C2689"/>
    <w:rsid w:val="004C2A53"/>
    <w:rsid w:val="004C3B35"/>
    <w:rsid w:val="004C43EC"/>
    <w:rsid w:val="004E65B4"/>
    <w:rsid w:val="004E6729"/>
    <w:rsid w:val="004F0E47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0A52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27A73"/>
    <w:rsid w:val="00635E86"/>
    <w:rsid w:val="00636A37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0E12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7B5F"/>
    <w:rsid w:val="00722A4D"/>
    <w:rsid w:val="007259B5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61C52"/>
    <w:rsid w:val="008727A1"/>
    <w:rsid w:val="00886B0F"/>
    <w:rsid w:val="00891C08"/>
    <w:rsid w:val="008A3879"/>
    <w:rsid w:val="008A5FA8"/>
    <w:rsid w:val="008A7575"/>
    <w:rsid w:val="008B3C02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4EEA"/>
    <w:rsid w:val="00980C86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307D1"/>
    <w:rsid w:val="00E33B4F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4942"/>
    <w:rsid w:val="00F87506"/>
    <w:rsid w:val="00F92C41"/>
    <w:rsid w:val="00FA5522"/>
    <w:rsid w:val="00FA6E4A"/>
    <w:rsid w:val="00FB1897"/>
    <w:rsid w:val="00FB2B35"/>
    <w:rsid w:val="00FB663C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3C89-830F-4710-ABC0-B3073DB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1508461</vt:lpstr>
      <vt:lpstr>1508461</vt:lpstr>
    </vt:vector>
  </TitlesOfParts>
  <Manager>Бойчук</Manager>
  <Company>CSD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1508461</dc:title>
  <dc:subject>ECE/TRANS/WP.15/AC.2/2015/23</dc:subject>
  <dc:creator>Antipova Uliana</dc:creator>
  <dc:description>Final</dc:description>
  <cp:lastModifiedBy>Luciolle</cp:lastModifiedBy>
  <cp:revision>2</cp:revision>
  <cp:lastPrinted>2015-06-16T13:02:00Z</cp:lastPrinted>
  <dcterms:created xsi:type="dcterms:W3CDTF">2015-06-24T12:53:00Z</dcterms:created>
  <dcterms:modified xsi:type="dcterms:W3CDTF">2015-06-24T12:53:00Z</dcterms:modified>
</cp:coreProperties>
</file>