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fldSimple w:instr=" FILLIN  &quot;Введите символ после ЕCE/&quot;  \* MERGEFORMAT ">
              <w:r w:rsidR="00AE782E">
                <w:t>TRANS/WP.15/AC.2/2015/19</w:t>
              </w:r>
            </w:fldSimple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AE782E">
                <w:t>12 May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25ACE" w:rsidRPr="00425ACE" w:rsidRDefault="00425ACE" w:rsidP="00425ACE">
      <w:pPr>
        <w:pStyle w:val="SingleTxtGR"/>
        <w:spacing w:before="120" w:after="0"/>
        <w:ind w:left="0" w:right="0"/>
        <w:jc w:val="left"/>
        <w:rPr>
          <w:sz w:val="28"/>
          <w:szCs w:val="28"/>
        </w:rPr>
      </w:pPr>
      <w:r w:rsidRPr="00425ACE">
        <w:rPr>
          <w:sz w:val="28"/>
          <w:szCs w:val="28"/>
        </w:rPr>
        <w:t>Комитет по внутреннему транспорту</w:t>
      </w:r>
    </w:p>
    <w:p w:rsidR="00425ACE" w:rsidRPr="00425ACE" w:rsidRDefault="00425ACE" w:rsidP="00425ACE">
      <w:pPr>
        <w:pStyle w:val="SingleTxtGR"/>
        <w:spacing w:before="120" w:after="0"/>
        <w:ind w:left="0" w:right="0"/>
        <w:jc w:val="left"/>
        <w:rPr>
          <w:b/>
          <w:bCs/>
          <w:sz w:val="24"/>
          <w:szCs w:val="24"/>
        </w:rPr>
      </w:pPr>
      <w:r w:rsidRPr="00425ACE">
        <w:rPr>
          <w:b/>
          <w:bCs/>
          <w:sz w:val="24"/>
          <w:szCs w:val="24"/>
        </w:rPr>
        <w:t>Рабочая группа по перевозкам опасных грузов</w:t>
      </w:r>
    </w:p>
    <w:p w:rsidR="00425ACE" w:rsidRPr="00425ACE" w:rsidRDefault="00425ACE" w:rsidP="002B09A5">
      <w:pPr>
        <w:pStyle w:val="SingleTxtGR"/>
        <w:spacing w:before="120" w:after="0"/>
        <w:ind w:left="0" w:right="0"/>
        <w:jc w:val="left"/>
        <w:rPr>
          <w:b/>
          <w:bCs/>
        </w:rPr>
      </w:pPr>
      <w:r w:rsidRPr="00425ACE">
        <w:rPr>
          <w:b/>
          <w:bCs/>
        </w:rPr>
        <w:t xml:space="preserve">Совместное совещание экспертов по Правилам, 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  <w:rPr>
          <w:b/>
          <w:bCs/>
        </w:rPr>
      </w:pPr>
      <w:r w:rsidRPr="00425ACE">
        <w:rPr>
          <w:b/>
          <w:bCs/>
        </w:rPr>
        <w:t xml:space="preserve">прилагаемым к Европейскому соглашению 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  <w:rPr>
          <w:b/>
          <w:bCs/>
        </w:rPr>
      </w:pPr>
      <w:r w:rsidRPr="00425ACE">
        <w:rPr>
          <w:b/>
          <w:bCs/>
        </w:rPr>
        <w:t xml:space="preserve">о международной перевозке опасных грузов 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</w:pPr>
      <w:r w:rsidRPr="00425ACE">
        <w:rPr>
          <w:b/>
          <w:bCs/>
        </w:rPr>
        <w:t>по внутренним водным путям (ВОПОГ)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  <w:rPr>
          <w:b/>
          <w:bCs/>
        </w:rPr>
      </w:pPr>
      <w:r w:rsidRPr="00425ACE">
        <w:rPr>
          <w:b/>
          <w:bCs/>
        </w:rPr>
        <w:t>(Комитет по вопросам безопасности ВОПОГ)</w:t>
      </w:r>
    </w:p>
    <w:p w:rsidR="00425ACE" w:rsidRPr="00425ACE" w:rsidRDefault="00425ACE" w:rsidP="00425ACE">
      <w:pPr>
        <w:pStyle w:val="SingleTxtGR"/>
        <w:spacing w:before="120" w:after="0"/>
        <w:ind w:left="0" w:right="0"/>
        <w:jc w:val="left"/>
        <w:rPr>
          <w:b/>
          <w:bCs/>
        </w:rPr>
      </w:pPr>
      <w:r w:rsidRPr="00425ACE">
        <w:rPr>
          <w:b/>
          <w:bCs/>
        </w:rPr>
        <w:t>Двадцать седьмая сессия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</w:pPr>
      <w:r w:rsidRPr="00425ACE">
        <w:t>Женева, 24−28 августа 2015 года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</w:pPr>
      <w:r w:rsidRPr="00425ACE">
        <w:t>Пункт 4 b) предварительной повестки дня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  <w:rPr>
          <w:b/>
          <w:bCs/>
        </w:rPr>
      </w:pPr>
      <w:r w:rsidRPr="00425ACE">
        <w:rPr>
          <w:b/>
          <w:bCs/>
        </w:rPr>
        <w:t xml:space="preserve">Предложения о внесении поправок в Правила, </w:t>
      </w:r>
      <w:r w:rsidRPr="00425ACE">
        <w:rPr>
          <w:b/>
          <w:bCs/>
        </w:rPr>
        <w:br/>
        <w:t>прилагаемые к ВОПОГ:</w:t>
      </w:r>
    </w:p>
    <w:p w:rsidR="00425ACE" w:rsidRPr="00425ACE" w:rsidRDefault="00425ACE" w:rsidP="00425ACE">
      <w:pPr>
        <w:pStyle w:val="SingleTxtGR"/>
        <w:spacing w:after="0"/>
        <w:ind w:left="0" w:right="0"/>
        <w:jc w:val="left"/>
        <w:rPr>
          <w:b/>
          <w:bCs/>
        </w:rPr>
      </w:pPr>
      <w:r w:rsidRPr="00425ACE">
        <w:rPr>
          <w:b/>
          <w:bCs/>
        </w:rPr>
        <w:t>Другие предложения</w:t>
      </w:r>
    </w:p>
    <w:p w:rsidR="00425ACE" w:rsidRPr="00425ACE" w:rsidRDefault="00425ACE" w:rsidP="00425ACE">
      <w:pPr>
        <w:pStyle w:val="HChGR"/>
      </w:pPr>
      <w:r w:rsidRPr="00425ACE">
        <w:tab/>
      </w:r>
      <w:r w:rsidRPr="002B09A5">
        <w:tab/>
      </w:r>
      <w:r w:rsidRPr="00425ACE">
        <w:t>Конструкционные материалы</w:t>
      </w:r>
    </w:p>
    <w:p w:rsidR="00425ACE" w:rsidRPr="000C365C" w:rsidRDefault="00425ACE" w:rsidP="00425ACE">
      <w:pPr>
        <w:pStyle w:val="H1GR"/>
        <w:rPr>
          <w:b w:val="0"/>
          <w:vertAlign w:val="superscript"/>
        </w:rPr>
      </w:pPr>
      <w:r w:rsidRPr="00425ACE">
        <w:tab/>
      </w:r>
      <w:r w:rsidRPr="002B09A5">
        <w:tab/>
      </w:r>
      <w:r w:rsidRPr="00425ACE">
        <w:t>Передано совместно Европейским союзом речного судоходства (ЕСРС), Европейским союзом речного и прибрежного транспорта (ЕСРПТ) и Европейской организацией судоводителей (ЕОС)</w:t>
      </w:r>
      <w:r w:rsidR="000C365C" w:rsidRPr="0070724C">
        <w:rPr>
          <w:rStyle w:val="FootnoteReference"/>
        </w:rPr>
        <w:footnoteReference w:id="1"/>
      </w:r>
    </w:p>
    <w:p w:rsidR="00425ACE" w:rsidRPr="00425ACE" w:rsidRDefault="00425ACE" w:rsidP="008255CE">
      <w:pPr>
        <w:pStyle w:val="HChGR"/>
      </w:pPr>
      <w:r w:rsidRPr="00425ACE">
        <w:rPr>
          <w:vertAlign w:val="superscript"/>
        </w:rPr>
        <w:tab/>
      </w:r>
      <w:r w:rsidR="008255CE" w:rsidRPr="002B09A5">
        <w:rPr>
          <w:vertAlign w:val="superscript"/>
        </w:rPr>
        <w:tab/>
      </w:r>
      <w:r w:rsidRPr="00425ACE">
        <w:t>Введение</w:t>
      </w:r>
    </w:p>
    <w:p w:rsidR="00425ACE" w:rsidRPr="00425ACE" w:rsidRDefault="00425ACE" w:rsidP="00425ACE">
      <w:pPr>
        <w:pStyle w:val="SingleTxtGR"/>
      </w:pPr>
      <w:r w:rsidRPr="00425ACE">
        <w:t>1.</w:t>
      </w:r>
      <w:r w:rsidRPr="00425ACE">
        <w:tab/>
        <w:t>За исключением тех случаев, когда это прямо разрешается в пун</w:t>
      </w:r>
      <w:r w:rsidRPr="00425ACE">
        <w:t>к</w:t>
      </w:r>
      <w:r w:rsidRPr="00425ACE">
        <w:t>те</w:t>
      </w:r>
      <w:r w:rsidR="002B09A5">
        <w:rPr>
          <w:lang w:val="en-US"/>
        </w:rPr>
        <w:t> </w:t>
      </w:r>
      <w:r w:rsidRPr="00425ACE">
        <w:t>9.3.х.0.3 или в свидетельстве о допущении, в пределах грузового простра</w:t>
      </w:r>
      <w:r w:rsidRPr="00425ACE">
        <w:t>н</w:t>
      </w:r>
      <w:r w:rsidRPr="00425ACE">
        <w:t>ства запрещается использование дерева, алюминиевых сплавов или пластмасс. Такие отступления действительно необходимы,</w:t>
      </w:r>
      <w:r w:rsidR="002B09A5" w:rsidRPr="002B09A5">
        <w:t xml:space="preserve"> </w:t>
      </w:r>
      <w:r w:rsidRPr="00425ACE">
        <w:t>поскольку использование с</w:t>
      </w:r>
      <w:r w:rsidRPr="00425ACE">
        <w:t>о</w:t>
      </w:r>
      <w:r w:rsidRPr="00425ACE">
        <w:t>временных материалов дает множество преимуществ по сравнению со сталью, при этом уровень безопасности не снижается.</w:t>
      </w:r>
    </w:p>
    <w:p w:rsidR="00425ACE" w:rsidRPr="00425ACE" w:rsidRDefault="00425ACE" w:rsidP="00425ACE">
      <w:pPr>
        <w:pStyle w:val="SingleTxtGR"/>
      </w:pPr>
      <w:r w:rsidRPr="00425ACE">
        <w:lastRenderedPageBreak/>
        <w:t>2.</w:t>
      </w:r>
      <w:r w:rsidRPr="00425ACE">
        <w:tab/>
        <w:t>На практике в связи с этим вопросом часто возникают дискуссии между операторами судов внутреннего плавания и проверяющими органами. Во</w:t>
      </w:r>
      <w:r w:rsidR="00365E5F">
        <w:t> </w:t>
      </w:r>
      <w:r w:rsidRPr="00425ACE">
        <w:t>многих случаях современные материалы также используются без соблюд</w:t>
      </w:r>
      <w:r w:rsidRPr="00425ACE">
        <w:t>е</w:t>
      </w:r>
      <w:r w:rsidRPr="00425ACE">
        <w:t>ния официально установленных условий. В дальнейшем эта</w:t>
      </w:r>
      <w:r w:rsidR="00365E5F">
        <w:t xml:space="preserve"> </w:t>
      </w:r>
      <w:r w:rsidRPr="00425ACE">
        <w:t>потребность в о</w:t>
      </w:r>
      <w:r w:rsidRPr="00425ACE">
        <w:t>т</w:t>
      </w:r>
      <w:r w:rsidRPr="00425ACE">
        <w:t>ступлениях будет продолжать увеличиваться, принимая во внимание, что для растущего числа перевозимых грузов необходимо избегать использования ст</w:t>
      </w:r>
      <w:r w:rsidRPr="00425ACE">
        <w:t>а</w:t>
      </w:r>
      <w:r w:rsidRPr="00425ACE">
        <w:t>ли. Во многих случаях в настоящее время современные материалы гарантируют более высокий уровень безопасности по сравнению со сталью.</w:t>
      </w:r>
    </w:p>
    <w:p w:rsidR="00425ACE" w:rsidRPr="00425ACE" w:rsidRDefault="00425ACE" w:rsidP="00425ACE">
      <w:pPr>
        <w:pStyle w:val="SingleTxtGR"/>
      </w:pPr>
      <w:r w:rsidRPr="00425ACE">
        <w:t>3.</w:t>
      </w:r>
      <w:r w:rsidRPr="00425ACE">
        <w:tab/>
        <w:t>В тех случаях, в которых на настоящий момент уже разрешается отст</w:t>
      </w:r>
      <w:r w:rsidRPr="00425ACE">
        <w:t>у</w:t>
      </w:r>
      <w:r w:rsidRPr="00425ACE">
        <w:t>пать от предписаний пункта 9.3.x.0.3 и использовать дерево, пластмассы или алюминиевые сплавы, никаких проблем или происшествий, связанных с бе</w:t>
      </w:r>
      <w:r w:rsidRPr="00425ACE">
        <w:t>з</w:t>
      </w:r>
      <w:r w:rsidRPr="00425ACE">
        <w:t>опасностью, не было отмечено.</w:t>
      </w:r>
    </w:p>
    <w:p w:rsidR="00425ACE" w:rsidRPr="00425ACE" w:rsidRDefault="00425ACE" w:rsidP="008255CE">
      <w:pPr>
        <w:pStyle w:val="HChGR"/>
      </w:pPr>
      <w:r w:rsidRPr="00425ACE">
        <w:tab/>
      </w:r>
      <w:r w:rsidR="0029010B" w:rsidRPr="002B09A5">
        <w:tab/>
      </w:r>
      <w:r w:rsidR="0029010B">
        <w:t>Д</w:t>
      </w:r>
      <w:r w:rsidRPr="00425ACE">
        <w:t>ействующий текст</w:t>
      </w:r>
    </w:p>
    <w:p w:rsidR="00425ACE" w:rsidRPr="00425ACE" w:rsidRDefault="00425ACE" w:rsidP="00425ACE">
      <w:pPr>
        <w:pStyle w:val="SingleTxtGR"/>
      </w:pPr>
      <w:r w:rsidRPr="00425ACE">
        <w:t>4.</w:t>
      </w:r>
      <w:r w:rsidRPr="00425ACE">
        <w:tab/>
        <w:t>Пункт 9.3.x.0.2 гласит следующее:</w:t>
      </w:r>
    </w:p>
    <w:p w:rsidR="00425ACE" w:rsidRPr="00425ACE" w:rsidRDefault="00425ACE" w:rsidP="00425ACE">
      <w:pPr>
        <w:pStyle w:val="SingleTxtGR"/>
      </w:pPr>
      <w:r w:rsidRPr="00425ACE">
        <w:t>"В пределах грузового пространства запрещается использование дерева, ал</w:t>
      </w:r>
      <w:r w:rsidRPr="00425ACE">
        <w:t>ю</w:t>
      </w:r>
      <w:r w:rsidRPr="00425ACE">
        <w:t xml:space="preserve">миниевых сплавов или пластмасс, за исключением тех случаев, когда это прямо </w:t>
      </w:r>
      <w:r w:rsidR="00406BBC" w:rsidRPr="00425ACE">
        <w:t>разрешается</w:t>
      </w:r>
      <w:r w:rsidR="00406BBC">
        <w:t xml:space="preserve"> </w:t>
      </w:r>
      <w:r w:rsidR="00406BBC" w:rsidRPr="00425ACE">
        <w:t>в</w:t>
      </w:r>
      <w:r w:rsidRPr="00425ACE">
        <w:t xml:space="preserve"> пункте 9.3.2.0.3 ниже или в свидетельстве о допущении.".</w:t>
      </w:r>
    </w:p>
    <w:p w:rsidR="00425ACE" w:rsidRPr="00425ACE" w:rsidRDefault="00425ACE" w:rsidP="00425ACE">
      <w:pPr>
        <w:pStyle w:val="SingleTxtGR"/>
      </w:pPr>
      <w:r w:rsidRPr="00425ACE">
        <w:t>5.</w:t>
      </w:r>
      <w:r w:rsidRPr="00425ACE">
        <w:tab/>
        <w:t>Пункт 9.3.x.0.3 гласит следующее:</w:t>
      </w:r>
    </w:p>
    <w:p w:rsidR="00425ACE" w:rsidRPr="00425ACE" w:rsidRDefault="00425ACE" w:rsidP="00425ACE">
      <w:pPr>
        <w:pStyle w:val="SingleTxtGR"/>
      </w:pPr>
      <w:r w:rsidRPr="00425ACE">
        <w:t>"а)</w:t>
      </w:r>
      <w:r w:rsidRPr="00425ACE">
        <w:tab/>
        <w:t>В пределах грузового пространства разрешается использовать лишь сл</w:t>
      </w:r>
      <w:r w:rsidRPr="00425ACE">
        <w:t>е</w:t>
      </w:r>
      <w:r w:rsidRPr="00425ACE">
        <w:t>дующие изготовленные из дерева, алюминиевых сплавов или пластмасс пре</w:t>
      </w:r>
      <w:r w:rsidRPr="00425ACE">
        <w:t>д</w:t>
      </w:r>
      <w:r w:rsidRPr="00425ACE">
        <w:t>меты: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сходные и наружные трапы;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подвижные части оборудования [(однако разрешается использовать ме</w:t>
      </w:r>
      <w:r w:rsidRPr="00425ACE">
        <w:t>р</w:t>
      </w:r>
      <w:r w:rsidRPr="00425ACE">
        <w:t xml:space="preserve">ные стержни из алюминия при условии, что во избежание искрообразования их нижняя часть изготовлена из </w:t>
      </w:r>
      <w:r w:rsidRPr="00425ACE">
        <w:tab/>
        <w:t>латуни или защищена каким-либо другим спос</w:t>
      </w:r>
      <w:r w:rsidRPr="00425ACE">
        <w:t>о</w:t>
      </w:r>
      <w:r w:rsidRPr="00425ACE">
        <w:t>бом)]</w:t>
      </w:r>
      <w:r w:rsidR="00E1718A" w:rsidRPr="0050185B">
        <w:rPr>
          <w:rStyle w:val="FootnoteReference"/>
          <w:b/>
        </w:rPr>
        <w:footnoteReference w:id="2"/>
      </w:r>
      <w:r w:rsidRPr="00425ACE">
        <w:t>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 xml:space="preserve">приспособления для крепления грузовых танков, не являющихся частью корпуса судна, и </w:t>
      </w:r>
      <w:r w:rsidRPr="00425ACE">
        <w:tab/>
        <w:t>для крепления установок и оборудования;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мачты и аналогичное рангоутное дерево;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части машин;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части электрооборудования;</w:t>
      </w:r>
    </w:p>
    <w:p w:rsidR="00B64C1B" w:rsidRPr="00B64C1B" w:rsidRDefault="00425ACE" w:rsidP="00425ACE">
      <w:pPr>
        <w:pStyle w:val="SingleTxtGR"/>
      </w:pPr>
      <w:r w:rsidRPr="00425ACE">
        <w:t>[–</w:t>
      </w:r>
      <w:r w:rsidRPr="00425ACE">
        <w:tab/>
        <w:t>погрузочные и разгрузочные устройства;]</w:t>
      </w:r>
      <w:r w:rsidR="00B64C1B" w:rsidRPr="0050185B">
        <w:rPr>
          <w:rStyle w:val="FootnoteReference"/>
          <w:b/>
        </w:rPr>
        <w:footnoteReference w:id="3"/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крышки ящиков, расположенных на палубе.</w:t>
      </w:r>
    </w:p>
    <w:p w:rsidR="00425ACE" w:rsidRPr="00425ACE" w:rsidRDefault="00425ACE" w:rsidP="00425ACE">
      <w:pPr>
        <w:pStyle w:val="SingleTxtGR"/>
      </w:pPr>
      <w:r w:rsidRPr="00425ACE">
        <w:t>b)</w:t>
      </w:r>
      <w:r w:rsidRPr="00425ACE">
        <w:tab/>
        <w:t>В пределах грузового пространства разрешается использовать изгото</w:t>
      </w:r>
      <w:r w:rsidRPr="00425ACE">
        <w:t>в</w:t>
      </w:r>
      <w:r w:rsidRPr="00425ACE">
        <w:t>ленные из</w:t>
      </w:r>
      <w:r w:rsidR="00C07220" w:rsidRPr="00C07220">
        <w:t xml:space="preserve"> </w:t>
      </w:r>
      <w:r w:rsidRPr="00425ACE">
        <w:t>дерева или пластмасс лишь: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="00C07220" w:rsidRPr="00C07220">
        <w:tab/>
      </w:r>
      <w:r w:rsidRPr="00425ACE">
        <w:t>опоры и стопоры любого рода.</w:t>
      </w:r>
    </w:p>
    <w:p w:rsidR="00425ACE" w:rsidRPr="00425ACE" w:rsidRDefault="00425ACE" w:rsidP="00425ACE">
      <w:pPr>
        <w:pStyle w:val="SingleTxtGR"/>
      </w:pPr>
      <w:r w:rsidRPr="00425ACE">
        <w:t>с)</w:t>
      </w:r>
      <w:r w:rsidRPr="00425ACE">
        <w:tab/>
        <w:t>В пределах грузового пространства разрешается использовать изгото</w:t>
      </w:r>
      <w:r w:rsidRPr="00425ACE">
        <w:t>в</w:t>
      </w:r>
      <w:r w:rsidRPr="00425ACE">
        <w:t>ленные из</w:t>
      </w:r>
      <w:r w:rsidR="00C07220" w:rsidRPr="00C07220">
        <w:t xml:space="preserve"> </w:t>
      </w:r>
      <w:r w:rsidRPr="00425ACE">
        <w:t>пластмасс или резины лишь:</w:t>
      </w:r>
    </w:p>
    <w:p w:rsidR="00425ACE" w:rsidRPr="00425ACE" w:rsidRDefault="00425ACE" w:rsidP="00425ACE">
      <w:pPr>
        <w:pStyle w:val="SingleTxtGR"/>
      </w:pPr>
      <w:r w:rsidRPr="00425ACE">
        <w:lastRenderedPageBreak/>
        <w:t>[–</w:t>
      </w:r>
      <w:r w:rsidRPr="00425ACE">
        <w:tab/>
        <w:t>покрытие грузовых танков и погрузочно-разгрузочных трубопроводов;]</w:t>
      </w:r>
      <w:r w:rsidR="00C07220" w:rsidRPr="008262F3">
        <w:rPr>
          <w:rStyle w:val="FootnoteReference"/>
          <w:b/>
        </w:rPr>
        <w:footnoteReference w:id="4"/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любого рода прокладки (например, для крышек куполов или люков);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электрические кабели;</w:t>
      </w:r>
    </w:p>
    <w:p w:rsidR="00425ACE" w:rsidRPr="00425ACE" w:rsidRDefault="00425ACE" w:rsidP="00425ACE">
      <w:pPr>
        <w:pStyle w:val="SingleTxtGR"/>
        <w:rPr>
          <w:vertAlign w:val="superscript"/>
        </w:rPr>
      </w:pPr>
      <w:r w:rsidRPr="00425ACE">
        <w:t>–</w:t>
      </w:r>
      <w:r w:rsidRPr="00425ACE">
        <w:tab/>
        <w:t>погрузочно-разгрузочные шланги в сборе;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изоляцию грузовых танков и погрузочно-разгрузочных трубопроводов;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воспроизведенные фотооптическим методом копии свидетельства о</w:t>
      </w:r>
      <w:r w:rsidR="006F5C09" w:rsidRPr="006F5C09">
        <w:t xml:space="preserve"> </w:t>
      </w:r>
      <w:r w:rsidRPr="00425ACE">
        <w:t>д</w:t>
      </w:r>
      <w:r w:rsidRPr="00425ACE">
        <w:t>о</w:t>
      </w:r>
      <w:r w:rsidRPr="00425ACE">
        <w:t>пущении в соответствии с пунктом 8.1.2.6 или 8.1.2.7.</w:t>
      </w:r>
    </w:p>
    <w:p w:rsidR="00425ACE" w:rsidRPr="00425ACE" w:rsidRDefault="00425ACE" w:rsidP="00425ACE">
      <w:pPr>
        <w:pStyle w:val="SingleTxtGR"/>
      </w:pPr>
      <w:r w:rsidRPr="00425ACE">
        <w:t>d)</w:t>
      </w:r>
      <w:r w:rsidRPr="00425ACE">
        <w:tab/>
        <w:t>Все постоянно закрепленные материалы в жилых помещениях или рул</w:t>
      </w:r>
      <w:r w:rsidRPr="00425ACE">
        <w:t>е</w:t>
      </w:r>
      <w:r w:rsidRPr="00425ACE">
        <w:t>вой</w:t>
      </w:r>
      <w:r w:rsidR="00174615" w:rsidRPr="00174615">
        <w:t xml:space="preserve"> </w:t>
      </w:r>
      <w:r w:rsidRPr="00425ACE">
        <w:tab/>
        <w:t>рубке, за исключением мебели, должны быть трудновоспламеняющим</w:t>
      </w:r>
      <w:r w:rsidRPr="00425ACE">
        <w:t>и</w:t>
      </w:r>
      <w:r w:rsidRPr="00425ACE">
        <w:t>ся.</w:t>
      </w:r>
      <w:r w:rsidR="00AF1324" w:rsidRPr="00AF1324">
        <w:t xml:space="preserve"> </w:t>
      </w:r>
      <w:r w:rsidR="00AF1324" w:rsidRPr="00425ACE">
        <w:t>В случае возникновения пожара они не должны выделять дым или токси</w:t>
      </w:r>
      <w:r w:rsidR="00AF1324" w:rsidRPr="00425ACE">
        <w:t>ч</w:t>
      </w:r>
      <w:r w:rsidR="00AF1324" w:rsidRPr="00425ACE">
        <w:t>ные</w:t>
      </w:r>
      <w:r w:rsidR="00AF1324">
        <w:t xml:space="preserve"> </w:t>
      </w:r>
      <w:r w:rsidR="00AF1324" w:rsidRPr="00425ACE">
        <w:t>газы в опасных количествах.".</w:t>
      </w:r>
    </w:p>
    <w:p w:rsidR="00425ACE" w:rsidRPr="00425ACE" w:rsidRDefault="00425ACE" w:rsidP="00425ACE">
      <w:pPr>
        <w:pStyle w:val="SingleTxtGR"/>
      </w:pPr>
      <w:r w:rsidRPr="00425ACE">
        <w:t>6.</w:t>
      </w:r>
      <w:r w:rsidRPr="00425ACE">
        <w:tab/>
        <w:t>Пункт 9.3.x.0.4 гласит следующее:</w:t>
      </w:r>
    </w:p>
    <w:p w:rsidR="00425ACE" w:rsidRPr="00425ACE" w:rsidRDefault="00425ACE" w:rsidP="00425ACE">
      <w:pPr>
        <w:pStyle w:val="SingleTxtGR"/>
      </w:pPr>
      <w:r w:rsidRPr="00425ACE">
        <w:t>"Используемая в пределах грузового пространства краска не должна быть сп</w:t>
      </w:r>
      <w:r w:rsidRPr="00425ACE">
        <w:t>о</w:t>
      </w:r>
      <w:r w:rsidRPr="00425ACE">
        <w:t>собной</w:t>
      </w:r>
      <w:r w:rsidR="00174615" w:rsidRPr="00174615">
        <w:t xml:space="preserve"> </w:t>
      </w:r>
      <w:r w:rsidRPr="00425ACE">
        <w:t>к искрообразованию, в частности при ударе.".</w:t>
      </w:r>
    </w:p>
    <w:p w:rsidR="00425ACE" w:rsidRPr="00425ACE" w:rsidRDefault="00425ACE" w:rsidP="00425ACE">
      <w:pPr>
        <w:pStyle w:val="SingleTxtGR"/>
      </w:pPr>
      <w:r w:rsidRPr="00425ACE">
        <w:t>7.</w:t>
      </w:r>
      <w:r w:rsidRPr="00425ACE">
        <w:tab/>
        <w:t>Пункт 9.3.x.0.5 гласит следующее:</w:t>
      </w:r>
    </w:p>
    <w:p w:rsidR="00425ACE" w:rsidRPr="00425ACE" w:rsidRDefault="00425ACE" w:rsidP="00425ACE">
      <w:pPr>
        <w:pStyle w:val="SingleTxtGR"/>
      </w:pPr>
      <w:r w:rsidRPr="00425ACE">
        <w:t>"Судовые шлюпки разрешается изготавливать из пластмасс только в том случае, если</w:t>
      </w:r>
      <w:r w:rsidR="00032A60" w:rsidRPr="00032A60">
        <w:t xml:space="preserve"> </w:t>
      </w:r>
      <w:r w:rsidRPr="00425ACE">
        <w:t>материал является трудновоспламеняющимся.".</w:t>
      </w:r>
    </w:p>
    <w:p w:rsidR="00425ACE" w:rsidRPr="00425ACE" w:rsidRDefault="00425ACE" w:rsidP="00032A60">
      <w:pPr>
        <w:pStyle w:val="HChGR"/>
      </w:pPr>
      <w:r w:rsidRPr="00425ACE">
        <w:tab/>
      </w:r>
      <w:r w:rsidR="00032A60" w:rsidRPr="002B09A5">
        <w:tab/>
      </w:r>
      <w:r w:rsidRPr="00425ACE">
        <w:t>Предложение</w:t>
      </w:r>
    </w:p>
    <w:p w:rsidR="00425ACE" w:rsidRPr="00425ACE" w:rsidRDefault="00425ACE" w:rsidP="00425ACE">
      <w:pPr>
        <w:pStyle w:val="SingleTxtGR"/>
      </w:pPr>
      <w:r w:rsidRPr="00425ACE">
        <w:t>8.</w:t>
      </w:r>
      <w:r w:rsidRPr="00425ACE">
        <w:tab/>
        <w:t>Пункт 9.3.x.0.2 остается без изменений.</w:t>
      </w:r>
    </w:p>
    <w:p w:rsidR="00425ACE" w:rsidRPr="00425ACE" w:rsidRDefault="00425ACE" w:rsidP="00425ACE">
      <w:pPr>
        <w:pStyle w:val="SingleTxtGR"/>
      </w:pPr>
      <w:r w:rsidRPr="00425ACE">
        <w:t>9.</w:t>
      </w:r>
      <w:r w:rsidRPr="00425ACE">
        <w:tab/>
        <w:t>Пункт 9.3.x.0.3 изменить следующим образом:</w:t>
      </w:r>
    </w:p>
    <w:p w:rsidR="00425ACE" w:rsidRPr="00425ACE" w:rsidRDefault="00425ACE" w:rsidP="00425ACE">
      <w:pPr>
        <w:pStyle w:val="SingleTxtGR"/>
      </w:pPr>
      <w:r w:rsidRPr="00425ACE">
        <w:t>"а)</w:t>
      </w:r>
      <w:r w:rsidRPr="00425ACE">
        <w:tab/>
        <w:t>В пределах грузового пространства разрешается использовать лишь сл</w:t>
      </w:r>
      <w:r w:rsidRPr="00425ACE">
        <w:t>е</w:t>
      </w:r>
      <w:r w:rsidRPr="00425ACE">
        <w:t>дующие предметы, изготовленные из дерева или пластмасс:</w:t>
      </w:r>
    </w:p>
    <w:p w:rsidR="00425ACE" w:rsidRDefault="00425ACE" w:rsidP="00425ACE">
      <w:pPr>
        <w:pStyle w:val="SingleTxtGR"/>
        <w:rPr>
          <w:lang w:val="en-US"/>
        </w:rPr>
      </w:pPr>
      <w:r w:rsidRPr="00425ACE">
        <w:t>–</w:t>
      </w:r>
      <w:r w:rsidRPr="00425ACE">
        <w:tab/>
        <w:t>сходные трапы;</w:t>
      </w:r>
    </w:p>
    <w:p w:rsidR="005A2DB3" w:rsidRPr="005A2DB3" w:rsidRDefault="005A2DB3" w:rsidP="00425ACE">
      <w:pPr>
        <w:pStyle w:val="SingleTxtGR"/>
      </w:pPr>
      <w:r w:rsidRPr="00425ACE">
        <w:t>–</w:t>
      </w:r>
      <w:r w:rsidRPr="00425ACE">
        <w:tab/>
      </w:r>
      <w:r>
        <w:t>ограждения</w:t>
      </w:r>
      <w:r w:rsidRPr="00425ACE">
        <w:t>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оборудование для очистки, например метлы и т.д.;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опоры и стопоры любого рода;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мачты и аналогичное рангоутное дерево;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приспособления для крепления грузовых танков, не являющихся частью корпуса судна, и для крепления установок и оборудования.</w:t>
      </w:r>
    </w:p>
    <w:p w:rsidR="00425ACE" w:rsidRPr="00425ACE" w:rsidRDefault="00425ACE" w:rsidP="00425ACE">
      <w:pPr>
        <w:pStyle w:val="SingleTxtGR"/>
      </w:pPr>
      <w:r w:rsidRPr="00425ACE">
        <w:t>b)</w:t>
      </w:r>
      <w:r w:rsidRPr="00425ACE">
        <w:tab/>
        <w:t>В пределах грузового пространства разрешается использовать лишь сл</w:t>
      </w:r>
      <w:r w:rsidRPr="00425ACE">
        <w:t>е</w:t>
      </w:r>
      <w:r w:rsidRPr="00425ACE">
        <w:t>дующие предметы, изготовленные из алюминиевых сплавов или пластмасс: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сходные трапы, наружные трапы и настилы;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подвижные предметы оборудования, например огнетушители, индикат</w:t>
      </w:r>
      <w:r w:rsidRPr="00425ACE">
        <w:t>о</w:t>
      </w:r>
      <w:r w:rsidRPr="00425ACE">
        <w:t>ры газов, спасательная лебедка и т.д.; однако разрешается использовать мерные стержни из алюминия при условии, что во избежание искрообразования их нижняя часть изготовлена из латуни или защищена каким-либо другим спос</w:t>
      </w:r>
      <w:r w:rsidRPr="00425ACE">
        <w:t>о</w:t>
      </w:r>
      <w:r w:rsidRPr="00425ACE">
        <w:t>бом);</w:t>
      </w:r>
    </w:p>
    <w:p w:rsidR="00425ACE" w:rsidRPr="00425ACE" w:rsidRDefault="00425ACE" w:rsidP="00425ACE">
      <w:pPr>
        <w:pStyle w:val="SingleTxtGR"/>
      </w:pPr>
      <w:r w:rsidRPr="00425ACE">
        <w:lastRenderedPageBreak/>
        <w:t>–</w:t>
      </w:r>
      <w:r w:rsidRPr="00425ACE">
        <w:tab/>
        <w:t>изоляцию и покрытие грузовых танков, погрузочно-разгрузочных труб</w:t>
      </w:r>
      <w:r w:rsidRPr="00425ACE">
        <w:t>о</w:t>
      </w:r>
      <w:r w:rsidRPr="00425ACE">
        <w:t>проводов, газоотводных трубопроводов и отопительных трубопроводов;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мачты и аналогичное рангоутное дерево;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части машин;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защитные кожухи двигателей и т.д.;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вентиляторы, включая шланги в сборе для вентиляции;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части установки для рассеяния воды и умывальника;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части электрооборудования;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части установки для погрузки и разгрузки, например запорные клапаны, герметизирующие прокладки и т.д.;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ящики, шкафы или контейнеры, расположенные на палубе и предназн</w:t>
      </w:r>
      <w:r w:rsidRPr="00425ACE">
        <w:t>а</w:t>
      </w:r>
      <w:r w:rsidRPr="00425ACE">
        <w:t>ченные для хранения оборудования для ликвидации разливов или рекуперации разлитых продуктов и для хранения противопожарного оборудования, пожа</w:t>
      </w:r>
      <w:r w:rsidRPr="00425ACE">
        <w:t>р</w:t>
      </w:r>
      <w:r w:rsidRPr="00425ACE">
        <w:t>ных рукавов, отходов и т.д.</w:t>
      </w:r>
    </w:p>
    <w:p w:rsidR="00425ACE" w:rsidRPr="00425ACE" w:rsidRDefault="00425ACE" w:rsidP="00425ACE">
      <w:pPr>
        <w:pStyle w:val="SingleTxtGR"/>
      </w:pPr>
      <w:r w:rsidRPr="00425ACE">
        <w:t>с)</w:t>
      </w:r>
      <w:r w:rsidRPr="00425ACE">
        <w:tab/>
        <w:t>В пределах грузового пространства разрешается использовать лишь сл</w:t>
      </w:r>
      <w:r w:rsidRPr="00425ACE">
        <w:t>е</w:t>
      </w:r>
      <w:r w:rsidRPr="00425ACE">
        <w:t>дующие предметы, изготовленные из пластмасс или резины: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любого рода прокладки (например, для крышек куполов или люков);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провода для электрооборудования;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погрузочно-разгрузочные шланги в сборе;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пожарные рукава, шланги для мойки палубы, оборудование для сбора разлитых продуктов, приборы для взятия проб и баллон для взятия проб;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мат под погрузочно-разгрузочными трубопроводами;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швартовые тросы;</w:t>
      </w:r>
    </w:p>
    <w:p w:rsidR="00425ACE" w:rsidRPr="00425ACE" w:rsidRDefault="00425ACE" w:rsidP="00425ACE">
      <w:pPr>
        <w:pStyle w:val="SingleTxtGR"/>
      </w:pPr>
      <w:r w:rsidRPr="00425ACE">
        <w:t>–</w:t>
      </w:r>
      <w:r w:rsidRPr="00425ACE">
        <w:tab/>
        <w:t>воспроизведенные фотооптическим методом копии свидетельства о</w:t>
      </w:r>
      <w:r w:rsidR="00CE192E" w:rsidRPr="00CE192E">
        <w:t xml:space="preserve"> </w:t>
      </w:r>
      <w:r w:rsidRPr="00425ACE">
        <w:t>д</w:t>
      </w:r>
      <w:r w:rsidRPr="00425ACE">
        <w:t>о</w:t>
      </w:r>
      <w:r w:rsidRPr="00425ACE">
        <w:t>пущении в соответствии с пунктом 8.1.2.6 или 8.1.2.7.</w:t>
      </w:r>
    </w:p>
    <w:p w:rsidR="00425ACE" w:rsidRPr="00425ACE" w:rsidRDefault="00425ACE" w:rsidP="00425ACE">
      <w:pPr>
        <w:pStyle w:val="SingleTxtGR"/>
      </w:pPr>
      <w:r w:rsidRPr="00425ACE">
        <w:t>d)</w:t>
      </w:r>
      <w:r w:rsidRPr="00425ACE">
        <w:tab/>
        <w:t>Все постоянно закрепленные материалы в жилых помещениях или рул</w:t>
      </w:r>
      <w:r w:rsidRPr="00425ACE">
        <w:t>е</w:t>
      </w:r>
      <w:r w:rsidRPr="00425ACE">
        <w:t>вой</w:t>
      </w:r>
      <w:r w:rsidR="00CE192E" w:rsidRPr="00CE192E">
        <w:t xml:space="preserve"> </w:t>
      </w:r>
      <w:r w:rsidRPr="00425ACE">
        <w:t>рубке, за исключением мебели, должны быть трудновоспламеняющимися.</w:t>
      </w:r>
      <w:r w:rsidR="00A10402" w:rsidRPr="00A10402">
        <w:t xml:space="preserve"> </w:t>
      </w:r>
      <w:r w:rsidR="00A10402" w:rsidRPr="00425ACE">
        <w:t>В случае возникновения пожара они не должны выделять дым или токсичные</w:t>
      </w:r>
      <w:r w:rsidR="00A10402" w:rsidRPr="00CE192E">
        <w:t xml:space="preserve"> </w:t>
      </w:r>
      <w:r w:rsidR="00A10402" w:rsidRPr="00425ACE">
        <w:t>газы в опасных количествах.".</w:t>
      </w:r>
    </w:p>
    <w:p w:rsidR="00425ACE" w:rsidRPr="00425ACE" w:rsidRDefault="00425ACE" w:rsidP="00425ACE">
      <w:pPr>
        <w:pStyle w:val="SingleTxtGR"/>
      </w:pPr>
      <w:r w:rsidRPr="00425ACE">
        <w:t>10.</w:t>
      </w:r>
      <w:r w:rsidRPr="00425ACE">
        <w:tab/>
        <w:t>Пункт 9.3.x.0.4 остается без изменений.</w:t>
      </w:r>
    </w:p>
    <w:p w:rsidR="00425ACE" w:rsidRPr="00425ACE" w:rsidRDefault="00425ACE" w:rsidP="00425ACE">
      <w:pPr>
        <w:pStyle w:val="SingleTxtGR"/>
      </w:pPr>
      <w:r w:rsidRPr="00425ACE">
        <w:t>11.</w:t>
      </w:r>
      <w:r w:rsidRPr="00425ACE">
        <w:tab/>
        <w:t>Пункт 9.3.x.0.5 изменить следующим образом:</w:t>
      </w:r>
    </w:p>
    <w:p w:rsidR="00425ACE" w:rsidRPr="00425ACE" w:rsidRDefault="00425ACE" w:rsidP="00425ACE">
      <w:pPr>
        <w:pStyle w:val="SingleTxtGR"/>
      </w:pPr>
      <w:r w:rsidRPr="00425ACE">
        <w:t>"В пределах грузового пространства разрешается использовать спасательные шлюпки, изготовленные из пластмасс и настилы, изготовленные из алюмини</w:t>
      </w:r>
      <w:r w:rsidRPr="00425ACE">
        <w:t>е</w:t>
      </w:r>
      <w:r w:rsidRPr="00425ACE">
        <w:t>вых сплавов, только в том случае, если материал является трудновоспламен</w:t>
      </w:r>
      <w:r w:rsidRPr="00425ACE">
        <w:t>я</w:t>
      </w:r>
      <w:r w:rsidRPr="00425ACE">
        <w:t>ющимся. Резиновые маты должны быть изготовлены из изолирующего матер</w:t>
      </w:r>
      <w:r w:rsidRPr="00425ACE">
        <w:t>и</w:t>
      </w:r>
      <w:r w:rsidRPr="00425ACE">
        <w:t>ала.".</w:t>
      </w:r>
    </w:p>
    <w:p w:rsidR="00425ACE" w:rsidRPr="00425ACE" w:rsidRDefault="00425ACE" w:rsidP="00EE6AF3">
      <w:pPr>
        <w:pStyle w:val="HChGR"/>
        <w:pageBreakBefore/>
        <w:rPr>
          <w:bCs/>
        </w:rPr>
      </w:pPr>
      <w:r w:rsidRPr="00425ACE">
        <w:lastRenderedPageBreak/>
        <w:tab/>
      </w:r>
      <w:r w:rsidR="00CE192E" w:rsidRPr="002B09A5">
        <w:tab/>
      </w:r>
      <w:r w:rsidRPr="00425ACE">
        <w:t>Обоснование</w:t>
      </w:r>
    </w:p>
    <w:p w:rsidR="00AE782E" w:rsidRPr="002B09A5" w:rsidRDefault="00425ACE" w:rsidP="00CE192E">
      <w:pPr>
        <w:pStyle w:val="SingleTxtGR"/>
      </w:pPr>
      <w:r w:rsidRPr="00425ACE">
        <w:t>12.</w:t>
      </w:r>
      <w:r w:rsidRPr="00425ACE">
        <w:tab/>
        <w:t>В случаях, представленных ЕСРС, ЕСРПТ и ЕОС, использование совр</w:t>
      </w:r>
      <w:r w:rsidRPr="00425ACE">
        <w:t>е</w:t>
      </w:r>
      <w:r w:rsidRPr="00425ACE">
        <w:t>менных материалов не ведет к снижению уровня безопасности с технической точки зрения. Новая редакция предписаний  значительно уменьшает количество особых положений. В результате этого увеличивается прозрачность предпис</w:t>
      </w:r>
      <w:r w:rsidRPr="00425ACE">
        <w:t>а</w:t>
      </w:r>
      <w:r w:rsidRPr="00425ACE">
        <w:t>ний для всех соответствующих лиц.</w:t>
      </w:r>
    </w:p>
    <w:p w:rsidR="00CE192E" w:rsidRPr="002B09A5" w:rsidRDefault="00CE192E" w:rsidP="00CE192E">
      <w:pPr>
        <w:spacing w:before="240"/>
        <w:jc w:val="center"/>
        <w:rPr>
          <w:u w:val="single"/>
        </w:rPr>
      </w:pPr>
      <w:r w:rsidRPr="002B09A5">
        <w:rPr>
          <w:u w:val="single"/>
        </w:rPr>
        <w:tab/>
      </w:r>
      <w:r w:rsidRPr="002B09A5">
        <w:rPr>
          <w:u w:val="single"/>
        </w:rPr>
        <w:tab/>
      </w:r>
      <w:r w:rsidRPr="002B09A5">
        <w:rPr>
          <w:u w:val="single"/>
        </w:rPr>
        <w:tab/>
      </w:r>
    </w:p>
    <w:sectPr w:rsidR="00CE192E" w:rsidRPr="002B09A5" w:rsidSect="00FB189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2E" w:rsidRDefault="00AE782E">
      <w:r>
        <w:rPr>
          <w:lang w:val="en-US"/>
        </w:rPr>
        <w:tab/>
      </w:r>
      <w:r>
        <w:separator/>
      </w:r>
    </w:p>
  </w:endnote>
  <w:endnote w:type="continuationSeparator" w:id="0">
    <w:p w:rsidR="00AE782E" w:rsidRDefault="00AE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3B59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9D6B18">
      <w:rPr>
        <w:lang w:val="en-US"/>
      </w:rPr>
      <w:t>5</w:t>
    </w:r>
    <w:r>
      <w:rPr>
        <w:lang w:val="en-US"/>
      </w:rPr>
      <w:t>-</w:t>
    </w:r>
    <w:r w:rsidR="00331E57">
      <w:rPr>
        <w:lang w:val="en-US"/>
      </w:rPr>
      <w:t>07432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Footer"/>
      <w:rPr>
        <w:lang w:val="en-US"/>
      </w:rPr>
    </w:pPr>
    <w:r>
      <w:rPr>
        <w:lang w:val="en-US"/>
      </w:rPr>
      <w:t>GE.1</w:t>
    </w:r>
    <w:r w:rsidR="009D6B18">
      <w:rPr>
        <w:lang w:val="en-US"/>
      </w:rPr>
      <w:t>5</w:t>
    </w:r>
    <w:r>
      <w:rPr>
        <w:lang w:val="en-US"/>
      </w:rPr>
      <w:t>-</w:t>
    </w:r>
    <w:r w:rsidR="00331E57">
      <w:rPr>
        <w:lang w:val="en-US"/>
      </w:rPr>
      <w:t>07432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3B59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54"/>
      <w:gridCol w:w="4605"/>
      <w:gridCol w:w="1596"/>
    </w:tblGrid>
    <w:tr w:rsidR="00A1484B" w:rsidTr="00296D2C">
      <w:trPr>
        <w:trHeight w:val="438"/>
      </w:trPr>
      <w:tc>
        <w:tcPr>
          <w:tcW w:w="4068" w:type="dxa"/>
          <w:vAlign w:val="bottom"/>
        </w:tcPr>
        <w:p w:rsidR="00A1484B" w:rsidRDefault="00485980" w:rsidP="00C93CE8">
          <w:r>
            <w:rPr>
              <w:lang w:val="en-US"/>
            </w:rPr>
            <w:t>GE.</w:t>
          </w:r>
          <w:r w:rsidR="00A1484B">
            <w:rPr>
              <w:lang w:val="en-US"/>
            </w:rPr>
            <w:t>1</w:t>
          </w:r>
          <w:r w:rsidR="009D6B18">
            <w:rPr>
              <w:lang w:val="en-US"/>
            </w:rPr>
            <w:t>5</w:t>
          </w:r>
          <w:r w:rsidR="00A1484B">
            <w:rPr>
              <w:lang w:val="en-US"/>
            </w:rPr>
            <w:t>-</w:t>
          </w:r>
          <w:r w:rsidR="00AE782E">
            <w:rPr>
              <w:lang w:val="en-US"/>
            </w:rPr>
            <w:t>07432</w:t>
          </w:r>
          <w:r w:rsidR="00A1484B">
            <w:rPr>
              <w:lang w:val="en-US"/>
            </w:rPr>
            <w:t xml:space="preserve">  (R)</w:t>
          </w:r>
          <w:r w:rsidR="00AE782E">
            <w:rPr>
              <w:lang w:val="en-US"/>
            </w:rPr>
            <w:t xml:space="preserve">  220615  2</w:t>
          </w:r>
          <w:r w:rsidR="00C93CE8">
            <w:t>3</w:t>
          </w:r>
          <w:r w:rsidR="00AE782E">
            <w:rPr>
              <w:lang w:val="en-US"/>
            </w:rPr>
            <w:t>0615</w:t>
          </w:r>
        </w:p>
      </w:tc>
      <w:tc>
        <w:tcPr>
          <w:tcW w:w="4663" w:type="dxa"/>
          <w:vMerge w:val="restart"/>
          <w:vAlign w:val="bottom"/>
        </w:tcPr>
        <w:p w:rsidR="00A1484B" w:rsidRDefault="00DB74B5" w:rsidP="00296D2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4B36DC92" wp14:editId="12B8B8CA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A1484B" w:rsidRDefault="005F3191" w:rsidP="00296D2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869315" cy="869315"/>
                <wp:effectExtent l="0" t="0" r="6985" b="6985"/>
                <wp:docPr id="4" name="Рисунок 4" descr="http://undocs.org/m2/QRCode2.ashx?DS=ECE/TRANS/WP.15/AC.2/2015/19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undocs.org/m2/QRCode2.ashx?DS=ECE/TRANS/WP.15/AC.2/2015/19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484B" w:rsidRPr="00797A78" w:rsidTr="00296D2C">
      <w:tc>
        <w:tcPr>
          <w:tcW w:w="4068" w:type="dxa"/>
          <w:vAlign w:val="bottom"/>
        </w:tcPr>
        <w:p w:rsidR="00A1484B" w:rsidRPr="00AE782E" w:rsidRDefault="00AE782E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AE782E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A1484B" w:rsidRDefault="00A1484B" w:rsidP="00296D2C"/>
      </w:tc>
      <w:tc>
        <w:tcPr>
          <w:tcW w:w="1124" w:type="dxa"/>
          <w:vMerge/>
        </w:tcPr>
        <w:p w:rsidR="00A1484B" w:rsidRDefault="00A1484B" w:rsidP="00296D2C"/>
      </w:tc>
    </w:tr>
  </w:tbl>
  <w:p w:rsidR="00A1484B" w:rsidRDefault="00A1484B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2E" w:rsidRPr="00F71F63" w:rsidRDefault="00AE782E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E782E" w:rsidRPr="00F71F63" w:rsidRDefault="00AE782E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E782E" w:rsidRPr="00635E86" w:rsidRDefault="00AE782E" w:rsidP="00635E86">
      <w:pPr>
        <w:pStyle w:val="Footer"/>
      </w:pPr>
    </w:p>
  </w:footnote>
  <w:footnote w:id="1">
    <w:p w:rsidR="000C365C" w:rsidRPr="000C365C" w:rsidRDefault="000C365C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0C365C">
        <w:rPr>
          <w:lang w:val="ru-RU"/>
        </w:rPr>
        <w:tab/>
        <w:t xml:space="preserve">Распространено на немецком языке Центральной комиссией судоходства по Рейну под условным обозначением </w:t>
      </w:r>
      <w:r w:rsidRPr="000C365C">
        <w:rPr>
          <w:lang w:val="en-US"/>
        </w:rPr>
        <w:t>CCNR</w:t>
      </w:r>
      <w:r w:rsidRPr="000C365C">
        <w:rPr>
          <w:lang w:val="ru-RU"/>
        </w:rPr>
        <w:t>-</w:t>
      </w:r>
      <w:r w:rsidRPr="000C365C">
        <w:rPr>
          <w:lang w:val="en-US"/>
        </w:rPr>
        <w:t>ZKR</w:t>
      </w:r>
      <w:r w:rsidRPr="000C365C">
        <w:rPr>
          <w:lang w:val="ru-RU"/>
        </w:rPr>
        <w:t>/</w:t>
      </w:r>
      <w:r w:rsidRPr="000C365C">
        <w:rPr>
          <w:lang w:val="en-US"/>
        </w:rPr>
        <w:t>ADN</w:t>
      </w:r>
      <w:r w:rsidRPr="000C365C">
        <w:rPr>
          <w:lang w:val="ru-RU"/>
        </w:rPr>
        <w:t>/</w:t>
      </w:r>
      <w:r w:rsidRPr="000C365C">
        <w:rPr>
          <w:lang w:val="en-US"/>
        </w:rPr>
        <w:t>WP</w:t>
      </w:r>
      <w:r w:rsidRPr="000C365C">
        <w:rPr>
          <w:lang w:val="ru-RU"/>
        </w:rPr>
        <w:t>.15/</w:t>
      </w:r>
      <w:r w:rsidRPr="000C365C">
        <w:rPr>
          <w:lang w:val="en-US"/>
        </w:rPr>
        <w:t>AC</w:t>
      </w:r>
      <w:r w:rsidRPr="000C365C">
        <w:rPr>
          <w:lang w:val="ru-RU"/>
        </w:rPr>
        <w:t xml:space="preserve">.2/2015/19. </w:t>
      </w:r>
    </w:p>
  </w:footnote>
  <w:footnote w:id="2">
    <w:p w:rsidR="00E1718A" w:rsidRPr="00E1718A" w:rsidRDefault="00E1718A">
      <w:pPr>
        <w:pStyle w:val="FootnoteText"/>
        <w:rPr>
          <w:lang w:val="ru-RU"/>
        </w:rPr>
      </w:pPr>
      <w:r w:rsidRPr="002B09A5">
        <w:rPr>
          <w:lang w:val="ru-RU"/>
        </w:rPr>
        <w:tab/>
      </w:r>
      <w:r>
        <w:rPr>
          <w:rStyle w:val="FootnoteReference"/>
        </w:rPr>
        <w:footnoteRef/>
      </w:r>
      <w:r w:rsidRPr="00E1718A">
        <w:rPr>
          <w:lang w:val="ru-RU"/>
        </w:rPr>
        <w:tab/>
        <w:t xml:space="preserve">Слова, заключенные в квадратные скобки, касаются пунктов 9.3.2.0.3 и 9.3.3.0.3, но не касаются пункта 9.3.1.0.3. </w:t>
      </w:r>
    </w:p>
  </w:footnote>
  <w:footnote w:id="3">
    <w:p w:rsidR="00B64C1B" w:rsidRPr="00B64C1B" w:rsidRDefault="00B64C1B">
      <w:pPr>
        <w:pStyle w:val="FootnoteText"/>
        <w:rPr>
          <w:lang w:val="ru-RU"/>
        </w:rPr>
      </w:pPr>
      <w:r w:rsidRPr="002B09A5">
        <w:rPr>
          <w:lang w:val="ru-RU"/>
        </w:rPr>
        <w:tab/>
      </w:r>
      <w:r>
        <w:rPr>
          <w:rStyle w:val="FootnoteReference"/>
        </w:rPr>
        <w:footnoteRef/>
      </w:r>
      <w:r w:rsidRPr="00B64C1B">
        <w:rPr>
          <w:lang w:val="ru-RU"/>
        </w:rPr>
        <w:tab/>
        <w:t xml:space="preserve">Слова, заключенные в квадратные скобки, касаются пунктов 9.3.2.0.3 и 9.3.3.0.3, но не касаются пункта 9.3.1.0.3. </w:t>
      </w:r>
    </w:p>
  </w:footnote>
  <w:footnote w:id="4">
    <w:p w:rsidR="00C07220" w:rsidRPr="00C07220" w:rsidRDefault="00C07220">
      <w:pPr>
        <w:pStyle w:val="FootnoteText"/>
        <w:rPr>
          <w:lang w:val="ru-RU"/>
        </w:rPr>
      </w:pPr>
      <w:r w:rsidRPr="002B09A5">
        <w:rPr>
          <w:lang w:val="ru-RU"/>
        </w:rPr>
        <w:tab/>
      </w:r>
      <w:r>
        <w:rPr>
          <w:rStyle w:val="FootnoteReference"/>
        </w:rPr>
        <w:footnoteRef/>
      </w:r>
      <w:r w:rsidRPr="00C07220">
        <w:rPr>
          <w:lang w:val="ru-RU"/>
        </w:rPr>
        <w:tab/>
        <w:t xml:space="preserve">Слова, заключенные в квадратные скобки, касаются пунктов 9.3.2.0.3 и 9.3.3.0.3, но не касаются пункта 9.3.1.0.3.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E71A0F" w:rsidRDefault="00A1484B">
    <w:pPr>
      <w:pStyle w:val="Header"/>
      <w:rPr>
        <w:lang w:val="en-US"/>
      </w:rPr>
    </w:pPr>
    <w:r>
      <w:rPr>
        <w:lang w:val="en-US"/>
      </w:rPr>
      <w:t>ECE/</w:t>
    </w:r>
    <w:r w:rsidR="005F3191">
      <w:rPr>
        <w:lang w:val="en-US"/>
      </w:rPr>
      <w:t>TRANS/WP.15/</w:t>
    </w:r>
    <w:r w:rsidR="00331E57">
      <w:rPr>
        <w:lang w:val="en-US"/>
      </w:rPr>
      <w:t>AC.2/2015/19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84B" w:rsidRPr="009A6F4A" w:rsidRDefault="00A1484B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="00331E57">
      <w:rPr>
        <w:lang w:val="en-US"/>
      </w:rPr>
      <w:t>TRANS/WP.15/AC.2/2015/19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E"/>
    <w:rsid w:val="000033D8"/>
    <w:rsid w:val="00005C1C"/>
    <w:rsid w:val="0001327D"/>
    <w:rsid w:val="00016553"/>
    <w:rsid w:val="000233B3"/>
    <w:rsid w:val="00023E9E"/>
    <w:rsid w:val="00026B0C"/>
    <w:rsid w:val="00032A60"/>
    <w:rsid w:val="0003638E"/>
    <w:rsid w:val="00036FF2"/>
    <w:rsid w:val="0004010A"/>
    <w:rsid w:val="00043D88"/>
    <w:rsid w:val="00046E4D"/>
    <w:rsid w:val="00060A98"/>
    <w:rsid w:val="0006401A"/>
    <w:rsid w:val="00072C27"/>
    <w:rsid w:val="00086182"/>
    <w:rsid w:val="00090891"/>
    <w:rsid w:val="00092E62"/>
    <w:rsid w:val="00097975"/>
    <w:rsid w:val="000A3DDF"/>
    <w:rsid w:val="000A60A0"/>
    <w:rsid w:val="000C365C"/>
    <w:rsid w:val="000C3688"/>
    <w:rsid w:val="000D6863"/>
    <w:rsid w:val="00117AEE"/>
    <w:rsid w:val="00123B59"/>
    <w:rsid w:val="001463F7"/>
    <w:rsid w:val="0015769C"/>
    <w:rsid w:val="00167B49"/>
    <w:rsid w:val="00174615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20059C"/>
    <w:rsid w:val="002019BD"/>
    <w:rsid w:val="0023160A"/>
    <w:rsid w:val="00232D42"/>
    <w:rsid w:val="00237334"/>
    <w:rsid w:val="002444F4"/>
    <w:rsid w:val="00257E6A"/>
    <w:rsid w:val="002629A0"/>
    <w:rsid w:val="0028492B"/>
    <w:rsid w:val="0029010B"/>
    <w:rsid w:val="00291C8F"/>
    <w:rsid w:val="00296D2C"/>
    <w:rsid w:val="002B09A5"/>
    <w:rsid w:val="002C5036"/>
    <w:rsid w:val="002C6A71"/>
    <w:rsid w:val="002C6D5F"/>
    <w:rsid w:val="002D15EA"/>
    <w:rsid w:val="002D6C07"/>
    <w:rsid w:val="002E0CE6"/>
    <w:rsid w:val="002E1163"/>
    <w:rsid w:val="002E43F3"/>
    <w:rsid w:val="003215F5"/>
    <w:rsid w:val="00331E57"/>
    <w:rsid w:val="00332891"/>
    <w:rsid w:val="00356BB2"/>
    <w:rsid w:val="00360477"/>
    <w:rsid w:val="00365E5F"/>
    <w:rsid w:val="00367FC9"/>
    <w:rsid w:val="003711A1"/>
    <w:rsid w:val="00372123"/>
    <w:rsid w:val="00386581"/>
    <w:rsid w:val="00387100"/>
    <w:rsid w:val="00393D1C"/>
    <w:rsid w:val="003951D3"/>
    <w:rsid w:val="003978C6"/>
    <w:rsid w:val="003B40A9"/>
    <w:rsid w:val="003C016E"/>
    <w:rsid w:val="003C5DFC"/>
    <w:rsid w:val="003D5EBD"/>
    <w:rsid w:val="003E2768"/>
    <w:rsid w:val="00401CE0"/>
    <w:rsid w:val="00403234"/>
    <w:rsid w:val="00406BBC"/>
    <w:rsid w:val="00407AC3"/>
    <w:rsid w:val="00414586"/>
    <w:rsid w:val="00415059"/>
    <w:rsid w:val="00421CE3"/>
    <w:rsid w:val="00424FDD"/>
    <w:rsid w:val="00425ACE"/>
    <w:rsid w:val="0043033D"/>
    <w:rsid w:val="00435FE4"/>
    <w:rsid w:val="00457634"/>
    <w:rsid w:val="00462479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E65B4"/>
    <w:rsid w:val="004E6729"/>
    <w:rsid w:val="004F0E47"/>
    <w:rsid w:val="004F3B51"/>
    <w:rsid w:val="0050185B"/>
    <w:rsid w:val="0051339C"/>
    <w:rsid w:val="0051412F"/>
    <w:rsid w:val="00522B6F"/>
    <w:rsid w:val="0052430E"/>
    <w:rsid w:val="005276AD"/>
    <w:rsid w:val="00540A9A"/>
    <w:rsid w:val="00543522"/>
    <w:rsid w:val="00545680"/>
    <w:rsid w:val="0056618E"/>
    <w:rsid w:val="00576F59"/>
    <w:rsid w:val="00577A34"/>
    <w:rsid w:val="00580AAD"/>
    <w:rsid w:val="00593A04"/>
    <w:rsid w:val="005A2DB3"/>
    <w:rsid w:val="005A58F0"/>
    <w:rsid w:val="005A6D5A"/>
    <w:rsid w:val="005B1B28"/>
    <w:rsid w:val="005B7150"/>
    <w:rsid w:val="005B7D51"/>
    <w:rsid w:val="005B7F35"/>
    <w:rsid w:val="005C2081"/>
    <w:rsid w:val="005C678A"/>
    <w:rsid w:val="005D346D"/>
    <w:rsid w:val="005E74AB"/>
    <w:rsid w:val="005F3191"/>
    <w:rsid w:val="00606A3E"/>
    <w:rsid w:val="006115AA"/>
    <w:rsid w:val="006120AE"/>
    <w:rsid w:val="00634B00"/>
    <w:rsid w:val="00635E86"/>
    <w:rsid w:val="00636A37"/>
    <w:rsid w:val="00643917"/>
    <w:rsid w:val="006501A5"/>
    <w:rsid w:val="006567B2"/>
    <w:rsid w:val="006623BC"/>
    <w:rsid w:val="00662ADE"/>
    <w:rsid w:val="00664106"/>
    <w:rsid w:val="006756F1"/>
    <w:rsid w:val="00677773"/>
    <w:rsid w:val="006805FC"/>
    <w:rsid w:val="006926C7"/>
    <w:rsid w:val="00694C37"/>
    <w:rsid w:val="00696B6B"/>
    <w:rsid w:val="006A1BEB"/>
    <w:rsid w:val="006A401C"/>
    <w:rsid w:val="006A7C6E"/>
    <w:rsid w:val="006B23D9"/>
    <w:rsid w:val="006C1814"/>
    <w:rsid w:val="006C2F45"/>
    <w:rsid w:val="006C361A"/>
    <w:rsid w:val="006C4581"/>
    <w:rsid w:val="006C5657"/>
    <w:rsid w:val="006D5E4E"/>
    <w:rsid w:val="006E6860"/>
    <w:rsid w:val="006E7183"/>
    <w:rsid w:val="006F5C09"/>
    <w:rsid w:val="006F5FBF"/>
    <w:rsid w:val="006F794E"/>
    <w:rsid w:val="0070327E"/>
    <w:rsid w:val="0070724C"/>
    <w:rsid w:val="00707B5F"/>
    <w:rsid w:val="00735602"/>
    <w:rsid w:val="0075279B"/>
    <w:rsid w:val="00753748"/>
    <w:rsid w:val="00762446"/>
    <w:rsid w:val="00781ACB"/>
    <w:rsid w:val="00787EE8"/>
    <w:rsid w:val="007A79EB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255CE"/>
    <w:rsid w:val="008262F3"/>
    <w:rsid w:val="00830402"/>
    <w:rsid w:val="008305D7"/>
    <w:rsid w:val="00833A48"/>
    <w:rsid w:val="00834887"/>
    <w:rsid w:val="00842FED"/>
    <w:rsid w:val="008455CF"/>
    <w:rsid w:val="00847689"/>
    <w:rsid w:val="00861C52"/>
    <w:rsid w:val="008727A1"/>
    <w:rsid w:val="00873A00"/>
    <w:rsid w:val="00886B0F"/>
    <w:rsid w:val="00891C08"/>
    <w:rsid w:val="008A3879"/>
    <w:rsid w:val="008A5FA8"/>
    <w:rsid w:val="008A7575"/>
    <w:rsid w:val="008B5F47"/>
    <w:rsid w:val="008C7B87"/>
    <w:rsid w:val="008D6A7A"/>
    <w:rsid w:val="008E3E87"/>
    <w:rsid w:val="008E7D1B"/>
    <w:rsid w:val="008E7F13"/>
    <w:rsid w:val="008F3185"/>
    <w:rsid w:val="00915B0A"/>
    <w:rsid w:val="00926904"/>
    <w:rsid w:val="009372F0"/>
    <w:rsid w:val="00955022"/>
    <w:rsid w:val="00957B4D"/>
    <w:rsid w:val="00963A1A"/>
    <w:rsid w:val="00964EEA"/>
    <w:rsid w:val="00974554"/>
    <w:rsid w:val="00980C86"/>
    <w:rsid w:val="00995A1C"/>
    <w:rsid w:val="009B1D9B"/>
    <w:rsid w:val="009B4074"/>
    <w:rsid w:val="009C30BB"/>
    <w:rsid w:val="009C60BE"/>
    <w:rsid w:val="009D6B18"/>
    <w:rsid w:val="009E6279"/>
    <w:rsid w:val="009F00A6"/>
    <w:rsid w:val="009F56A7"/>
    <w:rsid w:val="009F5B05"/>
    <w:rsid w:val="00A026CA"/>
    <w:rsid w:val="00A07232"/>
    <w:rsid w:val="00A10402"/>
    <w:rsid w:val="00A14800"/>
    <w:rsid w:val="00A1484B"/>
    <w:rsid w:val="00A156DE"/>
    <w:rsid w:val="00A157ED"/>
    <w:rsid w:val="00A2446A"/>
    <w:rsid w:val="00A4025D"/>
    <w:rsid w:val="00A800D1"/>
    <w:rsid w:val="00A92699"/>
    <w:rsid w:val="00AB5BF0"/>
    <w:rsid w:val="00AC1C95"/>
    <w:rsid w:val="00AC2CCB"/>
    <w:rsid w:val="00AC443A"/>
    <w:rsid w:val="00AE60E2"/>
    <w:rsid w:val="00AE782E"/>
    <w:rsid w:val="00AF1324"/>
    <w:rsid w:val="00B0169F"/>
    <w:rsid w:val="00B05F21"/>
    <w:rsid w:val="00B14EA9"/>
    <w:rsid w:val="00B30A3C"/>
    <w:rsid w:val="00B64C1B"/>
    <w:rsid w:val="00B81305"/>
    <w:rsid w:val="00B94512"/>
    <w:rsid w:val="00BB001C"/>
    <w:rsid w:val="00BB17DC"/>
    <w:rsid w:val="00BB1AF9"/>
    <w:rsid w:val="00BB4C4A"/>
    <w:rsid w:val="00BD3CAE"/>
    <w:rsid w:val="00BD5F3C"/>
    <w:rsid w:val="00BE0CCA"/>
    <w:rsid w:val="00BE1F4A"/>
    <w:rsid w:val="00C06622"/>
    <w:rsid w:val="00C07220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93CE8"/>
    <w:rsid w:val="00CA609E"/>
    <w:rsid w:val="00CA7DA4"/>
    <w:rsid w:val="00CB31FB"/>
    <w:rsid w:val="00CD1F0D"/>
    <w:rsid w:val="00CE192E"/>
    <w:rsid w:val="00CE3D6F"/>
    <w:rsid w:val="00CE79A5"/>
    <w:rsid w:val="00CF0042"/>
    <w:rsid w:val="00CF262F"/>
    <w:rsid w:val="00D025D5"/>
    <w:rsid w:val="00D04E3A"/>
    <w:rsid w:val="00D26B13"/>
    <w:rsid w:val="00D26CC1"/>
    <w:rsid w:val="00D30662"/>
    <w:rsid w:val="00D32A0B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1718A"/>
    <w:rsid w:val="00E307D1"/>
    <w:rsid w:val="00E33B4F"/>
    <w:rsid w:val="00E46A04"/>
    <w:rsid w:val="00E717F3"/>
    <w:rsid w:val="00E72C5E"/>
    <w:rsid w:val="00E73451"/>
    <w:rsid w:val="00E7489F"/>
    <w:rsid w:val="00E75147"/>
    <w:rsid w:val="00E81227"/>
    <w:rsid w:val="00E8167D"/>
    <w:rsid w:val="00E907E9"/>
    <w:rsid w:val="00E964E1"/>
    <w:rsid w:val="00E96BE7"/>
    <w:rsid w:val="00EA2CD0"/>
    <w:rsid w:val="00EA654E"/>
    <w:rsid w:val="00EC0044"/>
    <w:rsid w:val="00EC6B9F"/>
    <w:rsid w:val="00EE516D"/>
    <w:rsid w:val="00EE6AF3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406D"/>
    <w:rsid w:val="00FA5522"/>
    <w:rsid w:val="00FA6E4A"/>
    <w:rsid w:val="00FB1897"/>
    <w:rsid w:val="00FB2B35"/>
    <w:rsid w:val="00FB6D9F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76932-D371-4982-8577-4DF3E84F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1143</Words>
  <Characters>6518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Организация Объединенных Наций</vt:lpstr>
      <vt:lpstr>Организация Объединенных Наций</vt:lpstr>
    </vt:vector>
  </TitlesOfParts>
  <Company>CSD</Company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Объединенных Наций</dc:title>
  <dc:creator>Ovchinnikova Olga</dc:creator>
  <cp:lastModifiedBy>Luciolle</cp:lastModifiedBy>
  <cp:revision>2</cp:revision>
  <cp:lastPrinted>2015-06-23T07:52:00Z</cp:lastPrinted>
  <dcterms:created xsi:type="dcterms:W3CDTF">2015-06-24T12:48:00Z</dcterms:created>
  <dcterms:modified xsi:type="dcterms:W3CDTF">2015-06-24T12:48:00Z</dcterms:modified>
</cp:coreProperties>
</file>