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3" w:rsidRDefault="00A73293" w:rsidP="00A73293">
      <w:pPr>
        <w:spacing w:line="60" w:lineRule="exact"/>
        <w:rPr>
          <w:color w:val="010000"/>
          <w:sz w:val="6"/>
        </w:rPr>
        <w:sectPr w:rsidR="00A73293" w:rsidSect="00A732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D32FB" w:rsidRPr="00FD32FB" w:rsidRDefault="00FD32FB" w:rsidP="00FD32F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D32FB">
        <w:rPr>
          <w:sz w:val="28"/>
          <w:szCs w:val="28"/>
        </w:rPr>
        <w:lastRenderedPageBreak/>
        <w:t>Европейская экономическая комиссия</w:t>
      </w:r>
    </w:p>
    <w:p w:rsidR="00FD32FB" w:rsidRPr="00FD32FB" w:rsidRDefault="00FD32FB" w:rsidP="00FD32FB">
      <w:pPr>
        <w:spacing w:line="120" w:lineRule="exact"/>
        <w:rPr>
          <w:sz w:val="10"/>
        </w:rPr>
      </w:pPr>
    </w:p>
    <w:p w:rsidR="00FD32FB" w:rsidRPr="00FD32FB" w:rsidRDefault="00FD32FB" w:rsidP="00FD32F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FD32FB">
        <w:rPr>
          <w:b w:val="0"/>
          <w:bCs/>
          <w:sz w:val="28"/>
          <w:szCs w:val="28"/>
        </w:rPr>
        <w:t>Комитет по внутреннему транспорту</w:t>
      </w:r>
    </w:p>
    <w:p w:rsidR="00FD32FB" w:rsidRPr="00FD32FB" w:rsidRDefault="00FD32FB" w:rsidP="00FD32FB">
      <w:pPr>
        <w:spacing w:line="120" w:lineRule="exact"/>
        <w:rPr>
          <w:sz w:val="10"/>
        </w:rPr>
      </w:pPr>
    </w:p>
    <w:p w:rsidR="00FD32FB" w:rsidRDefault="00FD32FB" w:rsidP="00FD32F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FD32FB" w:rsidRPr="00FD32FB" w:rsidRDefault="00FD32FB" w:rsidP="00FD32FB">
      <w:pPr>
        <w:spacing w:line="120" w:lineRule="exact"/>
        <w:rPr>
          <w:sz w:val="10"/>
        </w:rPr>
      </w:pPr>
    </w:p>
    <w:p w:rsidR="00FD32FB" w:rsidRDefault="00FD32FB" w:rsidP="00FD3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экспертов по Правилам, прилагаемым </w:t>
      </w:r>
      <w:r w:rsidRPr="00FD32FB">
        <w:br/>
      </w:r>
      <w:r>
        <w:t xml:space="preserve">к Европейскому соглашению о международной перевозке </w:t>
      </w:r>
      <w:r w:rsidRPr="00FD32FB">
        <w:br/>
      </w:r>
      <w:r>
        <w:t xml:space="preserve">опасных грузов по внутренним водным путям (ВОПОГ) </w:t>
      </w:r>
      <w:r w:rsidRPr="00FD32FB">
        <w:br/>
      </w:r>
      <w:r>
        <w:t>(Комитет по вопросам безопасности ВОПОГ)</w:t>
      </w:r>
    </w:p>
    <w:p w:rsidR="00FD32FB" w:rsidRPr="00FD32FB" w:rsidRDefault="00FD32FB" w:rsidP="00FD32FB">
      <w:pPr>
        <w:spacing w:line="120" w:lineRule="exact"/>
        <w:rPr>
          <w:sz w:val="10"/>
        </w:rPr>
      </w:pPr>
    </w:p>
    <w:p w:rsidR="00FD32FB" w:rsidRDefault="00FD32FB" w:rsidP="00FD3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FD32FB" w:rsidRDefault="00FD32FB" w:rsidP="00FD32FB">
      <w:r>
        <w:t>Женева, 24−28 августа 2015 года</w:t>
      </w:r>
    </w:p>
    <w:p w:rsidR="00FD32FB" w:rsidRDefault="00FD32FB" w:rsidP="00FD32FB">
      <w:r>
        <w:t>Пункт 4 b) предварительной повестки дня</w:t>
      </w:r>
    </w:p>
    <w:p w:rsidR="00FD32FB" w:rsidRDefault="00FD32FB" w:rsidP="00FD3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в Правила, </w:t>
      </w:r>
      <w:r w:rsidRPr="00FD32FB">
        <w:br/>
      </w:r>
      <w:r>
        <w:t>прилагаемые к ВОПОГ:</w:t>
      </w:r>
    </w:p>
    <w:p w:rsidR="00FD32FB" w:rsidRDefault="00FD32FB" w:rsidP="00FD3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Другие предложения</w:t>
      </w:r>
    </w:p>
    <w:p w:rsidR="00FD32FB" w:rsidRPr="00FD32FB" w:rsidRDefault="00FD32FB" w:rsidP="00FD32FB">
      <w:pPr>
        <w:pStyle w:val="SingleTxt"/>
        <w:spacing w:after="0" w:line="120" w:lineRule="exact"/>
        <w:rPr>
          <w:sz w:val="10"/>
        </w:rPr>
      </w:pPr>
    </w:p>
    <w:p w:rsidR="00FD32FB" w:rsidRPr="00FD32FB" w:rsidRDefault="00FD32FB" w:rsidP="00FD32FB">
      <w:pPr>
        <w:pStyle w:val="SingleTxt"/>
        <w:spacing w:after="0" w:line="120" w:lineRule="exact"/>
        <w:rPr>
          <w:sz w:val="10"/>
        </w:rPr>
      </w:pPr>
    </w:p>
    <w:p w:rsidR="00FD32FB" w:rsidRPr="00FD32FB" w:rsidRDefault="00FD32FB" w:rsidP="00FD32FB">
      <w:pPr>
        <w:pStyle w:val="SingleTxt"/>
        <w:spacing w:after="0" w:line="120" w:lineRule="exact"/>
        <w:rPr>
          <w:sz w:val="10"/>
        </w:rPr>
      </w:pPr>
    </w:p>
    <w:p w:rsidR="00FD32FB" w:rsidRDefault="00FD32FB" w:rsidP="00FD32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68FE">
        <w:tab/>
      </w:r>
      <w:r>
        <w:tab/>
        <w:t xml:space="preserve">Подготовка и </w:t>
      </w:r>
      <w:proofErr w:type="spellStart"/>
      <w:r>
        <w:t>экзаменование</w:t>
      </w:r>
      <w:proofErr w:type="spellEnd"/>
      <w:r>
        <w:t xml:space="preserve"> экспертов, глава 8.2</w:t>
      </w:r>
    </w:p>
    <w:p w:rsidR="00FD32FB" w:rsidRPr="00FD32FB" w:rsidRDefault="00FD32FB" w:rsidP="00FD32FB">
      <w:pPr>
        <w:pStyle w:val="SingleTxt"/>
        <w:spacing w:after="0" w:line="120" w:lineRule="exact"/>
        <w:rPr>
          <w:sz w:val="10"/>
        </w:rPr>
      </w:pPr>
    </w:p>
    <w:p w:rsidR="00FD32FB" w:rsidRPr="00FD32FB" w:rsidRDefault="00FD32FB" w:rsidP="00FD32FB">
      <w:pPr>
        <w:pStyle w:val="SingleTxt"/>
        <w:spacing w:after="0" w:line="120" w:lineRule="exact"/>
        <w:rPr>
          <w:sz w:val="10"/>
        </w:rPr>
      </w:pPr>
    </w:p>
    <w:p w:rsidR="00FD32FB" w:rsidRDefault="00FD32FB" w:rsidP="00FD32F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68FE">
        <w:tab/>
      </w:r>
      <w:r>
        <w:tab/>
        <w:t>Передано правительством Германии</w:t>
      </w:r>
      <w:r w:rsidRPr="000C789A">
        <w:rPr>
          <w:rStyle w:val="FootnoteReference"/>
          <w:b w:val="0"/>
          <w:sz w:val="20"/>
        </w:rPr>
        <w:footnoteReference w:id="1"/>
      </w:r>
    </w:p>
    <w:p w:rsidR="00FD32FB" w:rsidRPr="000C789A" w:rsidRDefault="00FD32FB" w:rsidP="000C789A">
      <w:pPr>
        <w:pStyle w:val="SingleTxt"/>
        <w:spacing w:after="0" w:line="120" w:lineRule="exact"/>
        <w:rPr>
          <w:sz w:val="10"/>
        </w:rPr>
      </w:pPr>
    </w:p>
    <w:p w:rsidR="000C789A" w:rsidRPr="000C789A" w:rsidRDefault="000C789A" w:rsidP="000C789A">
      <w:pPr>
        <w:pStyle w:val="SingleTxt"/>
        <w:spacing w:after="0" w:line="120" w:lineRule="exact"/>
        <w:rPr>
          <w:sz w:val="10"/>
        </w:rPr>
      </w:pPr>
    </w:p>
    <w:p w:rsidR="000C789A" w:rsidRPr="000C789A" w:rsidRDefault="000C789A" w:rsidP="000C789A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0C789A" w:rsidTr="000C789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C789A" w:rsidRPr="000C789A" w:rsidRDefault="000C789A" w:rsidP="000C789A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0C789A" w:rsidTr="000C789A">
        <w:tc>
          <w:tcPr>
            <w:tcW w:w="10051" w:type="dxa"/>
            <w:shd w:val="clear" w:color="auto" w:fill="auto"/>
          </w:tcPr>
          <w:p w:rsidR="000C789A" w:rsidRPr="00A168FE" w:rsidRDefault="000C789A" w:rsidP="00785C03">
            <w:pPr>
              <w:pStyle w:val="SingleTxt"/>
              <w:tabs>
                <w:tab w:val="clear" w:pos="1267"/>
                <w:tab w:val="clear" w:pos="3658"/>
              </w:tabs>
              <w:ind w:left="3783" w:hanging="2520"/>
            </w:pPr>
            <w:r w:rsidRPr="00785C03">
              <w:rPr>
                <w:b/>
                <w:bCs/>
              </w:rPr>
              <w:t>Существо предложения</w:t>
            </w:r>
            <w:proofErr w:type="gramStart"/>
            <w:r>
              <w:tab/>
              <w:t>В</w:t>
            </w:r>
            <w:proofErr w:type="gramEnd"/>
            <w:r>
              <w:t xml:space="preserve"> ходе двадцать пятой сессии Комитета по вопросам безопасности ВОПОГ Договаривающимся сторонам было предложено передать в секретариат ЕЭК ООН существующие образцы свидетельств, с тем чтобы секретариат мог опубликовать их на посвященных ВОПОГ страницах веб-сайта ЕЭК ООН.</w:t>
            </w:r>
          </w:p>
          <w:p w:rsidR="000C789A" w:rsidRPr="000C789A" w:rsidRDefault="00785C03" w:rsidP="00785C03">
            <w:pPr>
              <w:pStyle w:val="SingleTxt"/>
              <w:tabs>
                <w:tab w:val="clear" w:pos="1267"/>
                <w:tab w:val="clear" w:pos="3658"/>
              </w:tabs>
              <w:ind w:left="3783" w:hanging="2520"/>
            </w:pPr>
            <w:r w:rsidRPr="00A168FE">
              <w:tab/>
            </w:r>
            <w:r w:rsidRPr="00A168FE">
              <w:tab/>
            </w:r>
            <w:r w:rsidRPr="00A168FE">
              <w:tab/>
            </w:r>
            <w:r w:rsidRPr="00A168FE">
              <w:tab/>
            </w:r>
            <w:r w:rsidRPr="00A168FE">
              <w:tab/>
            </w:r>
            <w:r w:rsidR="000C789A">
              <w:t>Эту процедуру можно было бы установить в Прав</w:t>
            </w:r>
            <w:r w:rsidR="000C789A">
              <w:t>и</w:t>
            </w:r>
            <w:r w:rsidR="000C789A">
              <w:t>лах, прилагаемых к ВОПОГ.</w:t>
            </w:r>
          </w:p>
        </w:tc>
      </w:tr>
      <w:tr w:rsidR="000C789A" w:rsidTr="000C789A">
        <w:tc>
          <w:tcPr>
            <w:tcW w:w="10051" w:type="dxa"/>
            <w:shd w:val="clear" w:color="auto" w:fill="auto"/>
          </w:tcPr>
          <w:p w:rsidR="000C789A" w:rsidRPr="000C789A" w:rsidRDefault="000C789A" w:rsidP="00785C03">
            <w:pPr>
              <w:pStyle w:val="SingleTxt"/>
              <w:tabs>
                <w:tab w:val="clear" w:pos="1267"/>
                <w:tab w:val="clear" w:pos="3658"/>
              </w:tabs>
              <w:ind w:left="3783" w:hanging="2520"/>
            </w:pPr>
            <w:r w:rsidRPr="00785C03">
              <w:rPr>
                <w:b/>
                <w:bCs/>
              </w:rPr>
              <w:t>Предлагаемое решение</w:t>
            </w:r>
            <w:r>
              <w:tab/>
              <w:t>Воспроизведение пункта 8.2.2.8.6 ДОПОГ в качестве нового пункта 8.2.2.8.2 ВОПОГ.</w:t>
            </w:r>
          </w:p>
        </w:tc>
      </w:tr>
      <w:tr w:rsidR="000C789A" w:rsidTr="000C789A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0C789A" w:rsidRPr="000C789A" w:rsidRDefault="000C789A" w:rsidP="00785C03">
            <w:pPr>
              <w:pStyle w:val="SingleTxt"/>
              <w:tabs>
                <w:tab w:val="clear" w:pos="1267"/>
                <w:tab w:val="clear" w:pos="3658"/>
              </w:tabs>
              <w:ind w:left="3783" w:hanging="2520"/>
            </w:pPr>
            <w:r w:rsidRPr="00785C03">
              <w:rPr>
                <w:b/>
                <w:bCs/>
              </w:rPr>
              <w:t>Справочные документы</w:t>
            </w:r>
            <w:r>
              <w:tab/>
              <w:t>Доклад о работе двадцать пятой сессии Комитета по вопросам безопасности ECE/TRANS/WP.15/AC.2/52,</w:t>
            </w:r>
            <w:r w:rsidRPr="00785C03">
              <w:t xml:space="preserve"> </w:t>
            </w:r>
            <w:r>
              <w:t>пункт 13.</w:t>
            </w:r>
          </w:p>
        </w:tc>
      </w:tr>
      <w:tr w:rsidR="000C789A" w:rsidTr="000C789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0C789A" w:rsidRPr="000C789A" w:rsidRDefault="000C789A" w:rsidP="000C789A">
            <w:pPr>
              <w:pStyle w:val="SingleTxt"/>
            </w:pPr>
          </w:p>
        </w:tc>
      </w:tr>
    </w:tbl>
    <w:p w:rsidR="00FD32FB" w:rsidRDefault="00785C03" w:rsidP="00785C03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A168FE">
        <w:lastRenderedPageBreak/>
        <w:tab/>
      </w:r>
      <w:r w:rsidR="00FD32FB">
        <w:tab/>
        <w:t>Введение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FD32FB" w:rsidP="00FD32FB">
      <w:pPr>
        <w:pStyle w:val="SingleTxt"/>
      </w:pPr>
      <w:r>
        <w:t>1.</w:t>
      </w:r>
      <w:r>
        <w:tab/>
        <w:t>В ходе своей двадцать пятой сессии Комитет по вопросам безопасности ВОПОГ также рассмотрел результаты работы неофициальной рабочей группы по подготовке экспертов. Он, в частности, констатировал, что</w:t>
      </w:r>
      <w:r w:rsidR="002F2B54">
        <w:t>,</w:t>
      </w:r>
      <w:r>
        <w:t xml:space="preserve"> несмотря на сущ</w:t>
      </w:r>
      <w:r>
        <w:t>е</w:t>
      </w:r>
      <w:r>
        <w:t>ствование единого образца, приведенного в разделе 8.6.2, между свидетельств</w:t>
      </w:r>
      <w:r>
        <w:t>а</w:t>
      </w:r>
      <w:r>
        <w:t>ми о владении специальными знаниями в области ВОПОГ, выдаваемыми Догов</w:t>
      </w:r>
      <w:r>
        <w:t>а</w:t>
      </w:r>
      <w:r>
        <w:t>ривающимися сторонами, имеются различия, в частности в том, что касается и</w:t>
      </w:r>
      <w:r>
        <w:t>с</w:t>
      </w:r>
      <w:r>
        <w:t>пользуемых цветов, материала и элементов защиты.</w:t>
      </w:r>
    </w:p>
    <w:p w:rsidR="00FD32FB" w:rsidRDefault="00FD32FB" w:rsidP="00785C03">
      <w:pPr>
        <w:pStyle w:val="SingleTxt"/>
      </w:pPr>
      <w:r>
        <w:t>2.</w:t>
      </w:r>
      <w:r>
        <w:tab/>
        <w:t xml:space="preserve">В этой связи Договаривающимся </w:t>
      </w:r>
      <w:r w:rsidR="002F2B54">
        <w:t xml:space="preserve">сторонам </w:t>
      </w:r>
      <w:r>
        <w:t xml:space="preserve">было предложено передать в секретариат ЕЭК ООН образцы выдаваемых свидетельств, с </w:t>
      </w:r>
      <w:proofErr w:type="gramStart"/>
      <w:r>
        <w:t>тем</w:t>
      </w:r>
      <w:proofErr w:type="gramEnd"/>
      <w:r>
        <w:t xml:space="preserve"> чтобы тот опу</w:t>
      </w:r>
      <w:r>
        <w:t>б</w:t>
      </w:r>
      <w:r>
        <w:t>ликовал их на веб-сайте ЕЭК ООН. Подобный реестр уже существует для свид</w:t>
      </w:r>
      <w:r>
        <w:t>е</w:t>
      </w:r>
      <w:r>
        <w:t>тельств о подготовке водителей в соответствии с ДОПОГ.</w:t>
      </w:r>
    </w:p>
    <w:p w:rsidR="00FD32FB" w:rsidRDefault="00FD32FB" w:rsidP="00FD32FB">
      <w:pPr>
        <w:pStyle w:val="SingleTxt"/>
      </w:pPr>
      <w:r>
        <w:t>3.</w:t>
      </w:r>
      <w:r>
        <w:tab/>
        <w:t>Секретариат опубликовал 25 марта 2015 года образцы свидетельств, пол</w:t>
      </w:r>
      <w:r>
        <w:t>у</w:t>
      </w:r>
      <w:r>
        <w:t>ченные от четырех Договаривающихся сторон.</w:t>
      </w:r>
    </w:p>
    <w:p w:rsidR="00FD32FB" w:rsidRDefault="00FD32FB" w:rsidP="003924C2">
      <w:pPr>
        <w:pStyle w:val="SingleTxt"/>
      </w:pPr>
      <w:r>
        <w:t>4.</w:t>
      </w:r>
      <w:r>
        <w:tab/>
        <w:t>Эту процедуру можно было бы установить в Правилах, прилагаемых к ВОПОГ.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785C03" w:rsidP="00785C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D6D96">
        <w:tab/>
      </w:r>
      <w:r w:rsidR="00FD32FB">
        <w:tab/>
        <w:t>Предложения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FD32FB" w:rsidP="00FD32FB">
      <w:pPr>
        <w:pStyle w:val="SingleTxt"/>
      </w:pPr>
      <w:r>
        <w:t>5.</w:t>
      </w:r>
      <w:r>
        <w:tab/>
        <w:t>Текст подраздела 8.2.2.8 становится пунктом 8.2.2.8.1.</w:t>
      </w:r>
    </w:p>
    <w:p w:rsidR="00FD32FB" w:rsidRDefault="00FD32FB" w:rsidP="00FD32FB">
      <w:pPr>
        <w:pStyle w:val="SingleTxt"/>
      </w:pPr>
      <w:r>
        <w:t>6.</w:t>
      </w:r>
      <w:r>
        <w:tab/>
        <w:t>Включить новый пункт 8.2.2.8.2 (пункт 8.2.2.8.6 ДОПОГ) следующего с</w:t>
      </w:r>
      <w:r>
        <w:t>о</w:t>
      </w:r>
      <w:r>
        <w:t>держания:</w:t>
      </w:r>
    </w:p>
    <w:p w:rsidR="00FD32FB" w:rsidRDefault="00FD32FB" w:rsidP="00FD32FB">
      <w:pPr>
        <w:pStyle w:val="SingleTxt"/>
      </w:pPr>
      <w:r>
        <w:t>"8.2.2.8.2</w:t>
      </w:r>
      <w:r>
        <w:tab/>
        <w:t>Договаривающиеся стороны передают секретариату ЕЭК ООН пример национального образца каждого свидетельства, предназначенного для выдачи в соответствии с настоящим разделом, наряду с примерами образцов свидетельств, которые по-прежнему действительны. Любая Договаривающаяся сторона может, помимо этого, передавать пояснительные замечания. Секретариат ЕЭК ООН предоставляет полученную информацию всем Договаривающимся сторонам</w:t>
      </w:r>
      <w:proofErr w:type="gramStart"/>
      <w:r>
        <w:t>.".</w:t>
      </w:r>
      <w:proofErr w:type="gramEnd"/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785C03" w:rsidP="00785C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68FE">
        <w:tab/>
      </w:r>
      <w:r w:rsidR="00FD32FB">
        <w:tab/>
        <w:t>Обоснование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FD32FB" w:rsidP="00FD32FB">
      <w:pPr>
        <w:pStyle w:val="SingleTxt"/>
      </w:pPr>
      <w:r>
        <w:t>7.</w:t>
      </w:r>
      <w:r>
        <w:tab/>
        <w:t>Воспроизведение в ВОПОГ соответствующего положения пункта 8.2.2.8.6 ДОПОГ.</w:t>
      </w:r>
    </w:p>
    <w:p w:rsidR="00FD32FB" w:rsidRDefault="00FD32FB" w:rsidP="00DD6D96">
      <w:pPr>
        <w:pStyle w:val="SingleTxt"/>
      </w:pPr>
      <w:r>
        <w:t>8.</w:t>
      </w:r>
      <w:r>
        <w:tab/>
        <w:t>Секретариат ЕЭК ООН и Договаривающиеся стороны одновременно пол</w:t>
      </w:r>
      <w:r>
        <w:t>у</w:t>
      </w:r>
      <w:r>
        <w:t>чают тем самым возможность и основание для применения этого дополнительн</w:t>
      </w:r>
      <w:r>
        <w:t>о</w:t>
      </w:r>
      <w:r>
        <w:t xml:space="preserve">го, но все же </w:t>
      </w:r>
      <w:proofErr w:type="spellStart"/>
      <w:r>
        <w:t>малообременительного</w:t>
      </w:r>
      <w:proofErr w:type="spellEnd"/>
      <w:r>
        <w:t xml:space="preserve"> административного требования. Кроме того, это придает данному проекту обязательный характер, необходимый для того, чтобы образцы свидетельств были доступны для всех проверяющих органов, а</w:t>
      </w:r>
      <w:r w:rsidR="00785C03">
        <w:rPr>
          <w:lang w:val="en-US"/>
        </w:rPr>
        <w:t> </w:t>
      </w:r>
      <w:r>
        <w:t>также для неофициальной рабочей группы по подготовке экспертов.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785C03" w:rsidP="00785C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85C03">
        <w:tab/>
      </w:r>
      <w:r w:rsidR="00FD32FB">
        <w:tab/>
        <w:t>Безопасность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FD32FB" w:rsidP="00FD32FB">
      <w:pPr>
        <w:pStyle w:val="SingleTxt"/>
      </w:pPr>
      <w:r>
        <w:t>9.</w:t>
      </w:r>
      <w:r>
        <w:tab/>
      </w:r>
      <w:proofErr w:type="gramStart"/>
      <w:r>
        <w:t>Таким образом, проверяющим органам легче</w:t>
      </w:r>
      <w:proofErr w:type="gramEnd"/>
      <w:r>
        <w:t xml:space="preserve"> будет проверять предъявля</w:t>
      </w:r>
      <w:r>
        <w:t>е</w:t>
      </w:r>
      <w:r>
        <w:t>мые свидетельства о владении специальными знаниями в области ВОПОГ. Тот факт, что совершенные главным ответственным судоводителем нарушения, св</w:t>
      </w:r>
      <w:r>
        <w:t>я</w:t>
      </w:r>
      <w:r>
        <w:t xml:space="preserve">занные с подтверждением владения специальными знаниями в области ВОПОГ, могут быть достоверно </w:t>
      </w:r>
      <w:proofErr w:type="gramStart"/>
      <w:r>
        <w:t>обнаружены</w:t>
      </w:r>
      <w:proofErr w:type="gramEnd"/>
      <w:r>
        <w:t xml:space="preserve"> и он может быть наказан, способствует обеспечению безопасности перевозки.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FD32FB" w:rsidRDefault="00785C03" w:rsidP="00785C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168FE">
        <w:tab/>
      </w:r>
      <w:r w:rsidR="00FD32FB">
        <w:tab/>
        <w:t>Осуществление</w:t>
      </w: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785C03" w:rsidRPr="00785C03" w:rsidRDefault="00785C03" w:rsidP="00785C03">
      <w:pPr>
        <w:pStyle w:val="SingleTxt"/>
        <w:spacing w:after="0" w:line="120" w:lineRule="exact"/>
        <w:rPr>
          <w:sz w:val="10"/>
        </w:rPr>
      </w:pPr>
    </w:p>
    <w:p w:rsidR="00A73293" w:rsidRDefault="00FD32FB" w:rsidP="00FD32FB">
      <w:pPr>
        <w:pStyle w:val="SingleTxt"/>
        <w:rPr>
          <w:lang w:val="en-US"/>
        </w:rPr>
      </w:pPr>
      <w:r>
        <w:t>10.</w:t>
      </w:r>
      <w:r>
        <w:tab/>
        <w:t>Экономических затрат не возникнет. Административная нагрузка для Дог</w:t>
      </w:r>
      <w:r>
        <w:t>о</w:t>
      </w:r>
      <w:r>
        <w:t>варивающихся сторон будет незначительной. Секретариат ЕЭК ООН уже начал публиковать переданные ему образцы.</w:t>
      </w:r>
    </w:p>
    <w:p w:rsidR="00785C03" w:rsidRPr="00785C03" w:rsidRDefault="00785C03" w:rsidP="00785C03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85C03" w:rsidRPr="00785C03" w:rsidSect="00A7329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9A" w:rsidRDefault="00243B9A" w:rsidP="008A1A7A">
      <w:pPr>
        <w:spacing w:line="240" w:lineRule="auto"/>
      </w:pPr>
      <w:r>
        <w:separator/>
      </w:r>
    </w:p>
  </w:endnote>
  <w:endnote w:type="continuationSeparator" w:id="0">
    <w:p w:rsidR="00243B9A" w:rsidRDefault="00243B9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73293" w:rsidTr="00A7329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73293" w:rsidRPr="00A73293" w:rsidRDefault="00A73293" w:rsidP="00A7329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168F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A168FE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73293" w:rsidRPr="00A73293" w:rsidRDefault="00A73293" w:rsidP="00A7329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168FE">
            <w:rPr>
              <w:b w:val="0"/>
              <w:color w:val="000000"/>
              <w:sz w:val="14"/>
            </w:rPr>
            <w:t>15-06699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73293" w:rsidRPr="00A73293" w:rsidRDefault="00A73293" w:rsidP="00A7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73293" w:rsidTr="00A7329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73293" w:rsidRPr="00A73293" w:rsidRDefault="00A73293" w:rsidP="00A7329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168FE">
            <w:rPr>
              <w:b w:val="0"/>
              <w:color w:val="000000"/>
              <w:sz w:val="14"/>
            </w:rPr>
            <w:t>15-06699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73293" w:rsidRPr="00A73293" w:rsidRDefault="00A73293" w:rsidP="00A7329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168FE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A168FE">
              <w:rPr>
                <w:noProof/>
              </w:rPr>
              <w:t>3</w:t>
            </w:r>
          </w:fldSimple>
        </w:p>
      </w:tc>
    </w:tr>
  </w:tbl>
  <w:p w:rsidR="00A73293" w:rsidRPr="00A73293" w:rsidRDefault="00A73293" w:rsidP="00A73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73293" w:rsidTr="00A73293">
      <w:tc>
        <w:tcPr>
          <w:tcW w:w="3873" w:type="dxa"/>
        </w:tcPr>
        <w:p w:rsidR="00A73293" w:rsidRDefault="00A73293" w:rsidP="00A7329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D9A654D" wp14:editId="472CF6C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GE.15-06699 (R)</w:t>
          </w:r>
          <w:r>
            <w:rPr>
              <w:color w:val="010000"/>
            </w:rPr>
            <w:t xml:space="preserve">    250615    250615</w:t>
          </w:r>
        </w:p>
        <w:p w:rsidR="00A73293" w:rsidRPr="00A73293" w:rsidRDefault="00A73293" w:rsidP="00A7329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*1506699*</w:t>
          </w:r>
        </w:p>
      </w:tc>
      <w:tc>
        <w:tcPr>
          <w:tcW w:w="5127" w:type="dxa"/>
        </w:tcPr>
        <w:p w:rsidR="00A73293" w:rsidRDefault="00A73293" w:rsidP="00A7329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3039519" wp14:editId="5B7B960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3293" w:rsidRPr="00A73293" w:rsidRDefault="00A73293" w:rsidP="00A7329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9A" w:rsidRPr="000C789A" w:rsidRDefault="000C789A" w:rsidP="000C789A">
      <w:pPr>
        <w:pStyle w:val="Footer"/>
        <w:spacing w:after="80"/>
        <w:ind w:left="792"/>
        <w:rPr>
          <w:sz w:val="16"/>
        </w:rPr>
      </w:pPr>
      <w:r w:rsidRPr="000C789A">
        <w:rPr>
          <w:sz w:val="16"/>
        </w:rPr>
        <w:t>__________________</w:t>
      </w:r>
    </w:p>
  </w:footnote>
  <w:footnote w:type="continuationSeparator" w:id="0">
    <w:p w:rsidR="00243B9A" w:rsidRPr="000C789A" w:rsidRDefault="000C789A" w:rsidP="000C789A">
      <w:pPr>
        <w:pStyle w:val="Footer"/>
        <w:spacing w:after="80"/>
        <w:ind w:left="792"/>
        <w:rPr>
          <w:sz w:val="16"/>
        </w:rPr>
      </w:pPr>
      <w:r w:rsidRPr="000C789A">
        <w:rPr>
          <w:sz w:val="16"/>
        </w:rPr>
        <w:t>__________________</w:t>
      </w:r>
    </w:p>
  </w:footnote>
  <w:footnote w:id="1">
    <w:p w:rsidR="00FD32FB" w:rsidRPr="00FD32FB" w:rsidRDefault="00FD32FB" w:rsidP="000C789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 xml:space="preserve"> 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CCNR/ZKR/ADN/WP.15/AC.2/2015/14.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73293" w:rsidTr="00A7329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73293" w:rsidRPr="00A73293" w:rsidRDefault="00A73293" w:rsidP="00A7329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168FE">
            <w:rPr>
              <w:b/>
            </w:rPr>
            <w:t>ECE/TRANS/WP.15/AC.2/2015/14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73293" w:rsidRDefault="00A73293" w:rsidP="00A73293">
          <w:pPr>
            <w:pStyle w:val="Header"/>
          </w:pPr>
        </w:p>
      </w:tc>
    </w:tr>
  </w:tbl>
  <w:p w:rsidR="00A73293" w:rsidRPr="00A73293" w:rsidRDefault="00A73293" w:rsidP="00A73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73293" w:rsidTr="00A7329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73293" w:rsidRDefault="00A73293" w:rsidP="00A7329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73293" w:rsidRPr="00A73293" w:rsidRDefault="00A73293" w:rsidP="00A7329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168FE">
            <w:rPr>
              <w:b/>
            </w:rPr>
            <w:t>ECE/TRANS/WP.15/AC.2/2015/14</w:t>
          </w:r>
          <w:r>
            <w:rPr>
              <w:b/>
            </w:rPr>
            <w:fldChar w:fldCharType="end"/>
          </w:r>
        </w:p>
      </w:tc>
    </w:tr>
  </w:tbl>
  <w:p w:rsidR="00A73293" w:rsidRPr="00A73293" w:rsidRDefault="00A73293" w:rsidP="00A73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73293" w:rsidTr="00A7329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73293" w:rsidRPr="00A73293" w:rsidRDefault="00A73293" w:rsidP="00A7329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73293" w:rsidRDefault="00A73293" w:rsidP="00A7329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73293" w:rsidRPr="00A73293" w:rsidRDefault="00A73293" w:rsidP="00A7329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/TRANS/WP.15/AC.2/2015/14</w:t>
          </w:r>
        </w:p>
      </w:tc>
    </w:tr>
    <w:tr w:rsidR="00A73293" w:rsidRPr="00A168FE" w:rsidTr="00A7329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3293" w:rsidRPr="00A73293" w:rsidRDefault="00A73293" w:rsidP="00A7329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66FD7E7" wp14:editId="5BBA855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3293" w:rsidRPr="00A73293" w:rsidRDefault="00A73293" w:rsidP="00A7329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3293" w:rsidRPr="00A73293" w:rsidRDefault="00A73293" w:rsidP="00A7329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3293" w:rsidRPr="00F03590" w:rsidRDefault="00A73293" w:rsidP="00A73293">
          <w:pPr>
            <w:pStyle w:val="Distribution"/>
            <w:rPr>
              <w:color w:val="000000"/>
              <w:lang w:val="en-US"/>
            </w:rPr>
          </w:pPr>
          <w:r w:rsidRPr="00F03590">
            <w:rPr>
              <w:color w:val="000000"/>
              <w:lang w:val="en-US"/>
            </w:rPr>
            <w:t>Distr.: General</w:t>
          </w:r>
        </w:p>
        <w:p w:rsidR="00A73293" w:rsidRPr="00F03590" w:rsidRDefault="00A73293" w:rsidP="00A73293">
          <w:pPr>
            <w:pStyle w:val="Publication"/>
            <w:rPr>
              <w:color w:val="000000"/>
              <w:lang w:val="en-US"/>
            </w:rPr>
          </w:pPr>
          <w:r w:rsidRPr="00F03590">
            <w:rPr>
              <w:color w:val="000000"/>
              <w:lang w:val="en-US"/>
            </w:rPr>
            <w:t>29 April 2015</w:t>
          </w:r>
        </w:p>
        <w:p w:rsidR="00A73293" w:rsidRPr="00F03590" w:rsidRDefault="00A73293" w:rsidP="00A73293">
          <w:pPr>
            <w:rPr>
              <w:color w:val="000000"/>
              <w:lang w:val="en-US"/>
            </w:rPr>
          </w:pPr>
          <w:r w:rsidRPr="00F03590">
            <w:rPr>
              <w:color w:val="000000"/>
              <w:lang w:val="en-US"/>
            </w:rPr>
            <w:t>Russian</w:t>
          </w:r>
        </w:p>
        <w:p w:rsidR="00A73293" w:rsidRPr="00F03590" w:rsidRDefault="00A73293" w:rsidP="00A73293">
          <w:pPr>
            <w:pStyle w:val="Original"/>
            <w:rPr>
              <w:color w:val="000000"/>
              <w:lang w:val="en-US"/>
            </w:rPr>
          </w:pPr>
          <w:r w:rsidRPr="00F03590">
            <w:rPr>
              <w:color w:val="000000"/>
              <w:lang w:val="en-US"/>
            </w:rPr>
            <w:t>Original: French</w:t>
          </w:r>
        </w:p>
        <w:p w:rsidR="00A73293" w:rsidRPr="00F03590" w:rsidRDefault="00A73293" w:rsidP="00A73293">
          <w:pPr>
            <w:rPr>
              <w:lang w:val="en-US"/>
            </w:rPr>
          </w:pPr>
        </w:p>
      </w:tc>
    </w:tr>
  </w:tbl>
  <w:p w:rsidR="00A73293" w:rsidRPr="00F03590" w:rsidRDefault="00A73293" w:rsidP="00A7329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6699*"/>
    <w:docVar w:name="CreationDt" w:val="6/25/2015 10:29 AM"/>
    <w:docVar w:name="DocCategory" w:val="Doc"/>
    <w:docVar w:name="DocType" w:val="Final"/>
    <w:docVar w:name="DutyStation" w:val="Geneva"/>
    <w:docVar w:name="FooterJN" w:val="15-06699"/>
    <w:docVar w:name="jobn" w:val="15-06699 (R)"/>
    <w:docVar w:name="jobnDT" w:val="15-06699 (R)   250615"/>
    <w:docVar w:name="jobnDTDT" w:val="15-06699 (R)   250615   250615"/>
    <w:docVar w:name="JobNo" w:val="1506699R"/>
    <w:docVar w:name="JobNo2" w:val="1508538R"/>
    <w:docVar w:name="LocalDrive" w:val="0"/>
    <w:docVar w:name="OandT" w:val=" "/>
    <w:docVar w:name="PaperSize" w:val="A4"/>
    <w:docVar w:name="sss1" w:val="ECE/TRANS/WP.15/AC.2/2015/14"/>
    <w:docVar w:name="sss2" w:val="-"/>
    <w:docVar w:name="Symbol1" w:val="ECE/TRANS/WP.15/AC.2/2015/14"/>
    <w:docVar w:name="Symbol2" w:val="-"/>
  </w:docVars>
  <w:rsids>
    <w:rsidRoot w:val="00243B9A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C789A"/>
    <w:rsid w:val="000E0F08"/>
    <w:rsid w:val="000E30BA"/>
    <w:rsid w:val="000E3712"/>
    <w:rsid w:val="000E4411"/>
    <w:rsid w:val="000F05CD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43B9A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2EE4"/>
    <w:rsid w:val="002C66D0"/>
    <w:rsid w:val="002D396F"/>
    <w:rsid w:val="002D4606"/>
    <w:rsid w:val="002E1F79"/>
    <w:rsid w:val="002F2B54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24C2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144C1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C03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68FE"/>
    <w:rsid w:val="00A1703F"/>
    <w:rsid w:val="00A2180A"/>
    <w:rsid w:val="00A22293"/>
    <w:rsid w:val="00A344D5"/>
    <w:rsid w:val="00A46574"/>
    <w:rsid w:val="00A63339"/>
    <w:rsid w:val="00A73293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0822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D6D9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3590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2F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7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9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9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F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7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9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9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F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3638-3F13-4327-ACDC-21CD3F77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Christopher Smith</cp:lastModifiedBy>
  <cp:revision>3</cp:revision>
  <cp:lastPrinted>2015-07-02T08:55:00Z</cp:lastPrinted>
  <dcterms:created xsi:type="dcterms:W3CDTF">2015-07-02T08:48:00Z</dcterms:created>
  <dcterms:modified xsi:type="dcterms:W3CDTF">2015-07-02T08:55:00Z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1506699R</vt:lpwstr>
  </property>
  <property fmtid="{D5CDD505-2E9C-101B-9397-08002B2CF9AE}" pid="3" name="ODSRefJobNo">
    <vt:lpwstr>1508538R</vt:lpwstr>
  </property>
  <property fmtid="{D5CDD505-2E9C-101B-9397-08002B2CF9AE}" pid="4" name="Symbol1">
    <vt:lpwstr>ECE/TRANS/WP.15/AC.2/2015/14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April 2015</vt:lpwstr>
  </property>
  <property fmtid="{D5CDD505-2E9C-101B-9397-08002B2CF9AE}" pid="12" name="Original">
    <vt:lpwstr>French</vt:lpwstr>
  </property>
  <property fmtid="{D5CDD505-2E9C-101B-9397-08002B2CF9AE}" pid="13" name="Release Date">
    <vt:lpwstr>250615</vt:lpwstr>
  </property>
</Properties>
</file>