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57" w:rsidRPr="00A62F57" w:rsidRDefault="00A62F57" w:rsidP="00A62F57">
      <w:pPr>
        <w:pStyle w:val="H1G"/>
        <w:spacing w:before="240" w:after="120" w:line="223" w:lineRule="auto"/>
        <w:ind w:right="-6"/>
        <w:rPr>
          <w:sz w:val="28"/>
          <w:szCs w:val="28"/>
        </w:rPr>
      </w:pPr>
      <w:r w:rsidRPr="00A62F57">
        <w:rPr>
          <w:sz w:val="28"/>
          <w:szCs w:val="28"/>
        </w:rPr>
        <w:t>Economic Commission for Europe</w:t>
      </w:r>
    </w:p>
    <w:p w:rsidR="00A62F57" w:rsidRPr="00B22FCB" w:rsidRDefault="00A62F57" w:rsidP="00A62F57">
      <w:pPr>
        <w:pStyle w:val="H1G"/>
        <w:spacing w:before="240" w:after="120" w:line="223" w:lineRule="auto"/>
        <w:ind w:right="-6"/>
        <w:rPr>
          <w:b w:val="0"/>
          <w:sz w:val="28"/>
          <w:szCs w:val="28"/>
        </w:rPr>
      </w:pPr>
      <w:r w:rsidRPr="00B22FCB">
        <w:rPr>
          <w:b w:val="0"/>
          <w:sz w:val="28"/>
          <w:szCs w:val="28"/>
        </w:rPr>
        <w:t>Inland Transport Committee</w:t>
      </w:r>
    </w:p>
    <w:p w:rsidR="00A62F57" w:rsidRPr="00B22FCB" w:rsidRDefault="00A62F57" w:rsidP="00B22FCB">
      <w:pPr>
        <w:pStyle w:val="H1G"/>
        <w:tabs>
          <w:tab w:val="left" w:pos="7938"/>
        </w:tabs>
        <w:spacing w:before="120" w:after="0" w:line="223" w:lineRule="auto"/>
        <w:ind w:right="-6"/>
        <w:rPr>
          <w:sz w:val="20"/>
        </w:rPr>
      </w:pPr>
      <w:r w:rsidRPr="00B22FCB">
        <w:rPr>
          <w:sz w:val="20"/>
        </w:rPr>
        <w:t>Working Party on the Transport of Dangerous Goods</w:t>
      </w:r>
      <w:r w:rsidR="00B22FCB">
        <w:rPr>
          <w:sz w:val="20"/>
        </w:rPr>
        <w:tab/>
      </w:r>
      <w:r w:rsidR="00914514">
        <w:rPr>
          <w:sz w:val="20"/>
        </w:rPr>
        <w:t>11 September</w:t>
      </w:r>
      <w:r w:rsidR="00D92E8B">
        <w:rPr>
          <w:sz w:val="20"/>
        </w:rPr>
        <w:t xml:space="preserve"> 2015</w:t>
      </w:r>
    </w:p>
    <w:p w:rsidR="00A62F57" w:rsidRPr="00B22FCB" w:rsidRDefault="00A62F57" w:rsidP="00B22FCB">
      <w:pPr>
        <w:pStyle w:val="H1G"/>
        <w:spacing w:before="120" w:after="120" w:line="223" w:lineRule="auto"/>
        <w:ind w:left="0" w:right="-6" w:firstLine="0"/>
        <w:rPr>
          <w:sz w:val="20"/>
        </w:rPr>
      </w:pPr>
      <w:r w:rsidRPr="00B22FCB">
        <w:rPr>
          <w:sz w:val="20"/>
        </w:rPr>
        <w:t>Joint Meeting of the RID Committee of Experts and the</w:t>
      </w:r>
      <w:r w:rsidR="00B22FCB" w:rsidRPr="00B22FCB">
        <w:rPr>
          <w:sz w:val="20"/>
        </w:rPr>
        <w:br/>
      </w:r>
      <w:r w:rsidRPr="00B22FCB">
        <w:rPr>
          <w:sz w:val="20"/>
        </w:rPr>
        <w:t>Workin</w:t>
      </w:r>
      <w:r w:rsidR="00B22FCB" w:rsidRPr="00B22FCB">
        <w:rPr>
          <w:sz w:val="20"/>
        </w:rPr>
        <w:t>g</w:t>
      </w:r>
      <w:r w:rsidRPr="00B22FCB">
        <w:rPr>
          <w:sz w:val="20"/>
        </w:rPr>
        <w:t xml:space="preserve"> Party on the Transport of Dangerous Goods</w:t>
      </w:r>
    </w:p>
    <w:p w:rsidR="00A62F57" w:rsidRPr="00B22FCB" w:rsidRDefault="00A62F57" w:rsidP="00CD3425">
      <w:pPr>
        <w:spacing w:after="0"/>
      </w:pPr>
      <w:r w:rsidRPr="00B22FCB">
        <w:t>Geneva, 15–25 September 2015</w:t>
      </w:r>
    </w:p>
    <w:p w:rsidR="00A62F57" w:rsidRPr="00B22FCB" w:rsidRDefault="00A62F57" w:rsidP="00CD3425">
      <w:pPr>
        <w:spacing w:after="0"/>
      </w:pPr>
      <w:r w:rsidRPr="00B22FCB">
        <w:t xml:space="preserve">Item </w:t>
      </w:r>
      <w:r w:rsidR="004F3580">
        <w:t>2</w:t>
      </w:r>
      <w:r w:rsidRPr="00B22FCB">
        <w:t xml:space="preserve"> of the provisional agenda</w:t>
      </w:r>
    </w:p>
    <w:p w:rsidR="004F3580" w:rsidRDefault="004F3580" w:rsidP="00CD3425">
      <w:pPr>
        <w:spacing w:after="0"/>
        <w:rPr>
          <w:b/>
        </w:rPr>
      </w:pPr>
      <w:r w:rsidRPr="004F3580">
        <w:rPr>
          <w:b/>
        </w:rPr>
        <w:t xml:space="preserve">Harmonization with the United Nations Recommendations </w:t>
      </w:r>
    </w:p>
    <w:p w:rsidR="00A62F57" w:rsidRPr="004F3580" w:rsidRDefault="004F3580" w:rsidP="00CD3425">
      <w:pPr>
        <w:spacing w:after="0"/>
        <w:rPr>
          <w:b/>
        </w:rPr>
      </w:pPr>
      <w:proofErr w:type="gramStart"/>
      <w:r w:rsidRPr="004F3580">
        <w:rPr>
          <w:b/>
        </w:rPr>
        <w:t>on</w:t>
      </w:r>
      <w:proofErr w:type="gramEnd"/>
      <w:r w:rsidRPr="004F3580">
        <w:rPr>
          <w:b/>
        </w:rPr>
        <w:t xml:space="preserve"> the Transport of Dangerous Goods</w:t>
      </w:r>
    </w:p>
    <w:p w:rsidR="002C4E51" w:rsidRDefault="002C4E51" w:rsidP="00914514">
      <w:pPr>
        <w:pStyle w:val="HChG"/>
      </w:pPr>
      <w:r>
        <w:tab/>
      </w:r>
      <w:r>
        <w:tab/>
      </w:r>
      <w:r w:rsidR="002038C1">
        <w:t>Translation Issue in the French version of the Proposed Transposition of Revised SP 310</w:t>
      </w:r>
    </w:p>
    <w:p w:rsidR="00CD3425" w:rsidRDefault="00A62F57" w:rsidP="00914514">
      <w:pPr>
        <w:pStyle w:val="H1G"/>
      </w:pPr>
      <w:r w:rsidRPr="00CD3425">
        <w:tab/>
      </w:r>
      <w:r w:rsidRPr="00CD3425">
        <w:tab/>
      </w:r>
      <w:r w:rsidR="000138FA">
        <w:t xml:space="preserve">Transmitted by </w:t>
      </w:r>
      <w:r w:rsidR="002C4E51">
        <w:t>RECHARGE</w:t>
      </w:r>
    </w:p>
    <w:p w:rsidR="00331E6E" w:rsidRDefault="00331E6E" w:rsidP="00331E6E">
      <w:pPr>
        <w:pStyle w:val="HChG"/>
        <w:ind w:firstLine="0"/>
      </w:pPr>
      <w:r>
        <w:t>Introduction</w:t>
      </w:r>
    </w:p>
    <w:p w:rsidR="00331E6E" w:rsidRPr="00914514" w:rsidRDefault="00331E6E" w:rsidP="00914514">
      <w:pPr>
        <w:pStyle w:val="SingleTxtG"/>
      </w:pPr>
      <w:r w:rsidRPr="00914514">
        <w:t xml:space="preserve">We are referring to the documents ECE-TRANS-WP15-AC1-2015-23a1e </w:t>
      </w:r>
      <w:proofErr w:type="gramStart"/>
      <w:r w:rsidRPr="00914514">
        <w:t>and  ECE</w:t>
      </w:r>
      <w:proofErr w:type="gramEnd"/>
      <w:r w:rsidRPr="00914514">
        <w:t xml:space="preserve">-TRANS-WP15-AC1-2015-23a1f, entitled “Draft amendments to RID/ADR/ADN proposed by the Ad Hoc Working Group. </w:t>
      </w:r>
      <w:proofErr w:type="gramStart"/>
      <w:r w:rsidRPr="00914514">
        <w:t>Report of the Ad Hoc Working Group on the Harmonization of RID/ADR/ADN with the United Nations Recommendations on the Transport of Dangerous Goods”.</w:t>
      </w:r>
      <w:proofErr w:type="gramEnd"/>
    </w:p>
    <w:p w:rsidR="00331E6E" w:rsidRPr="00A228A3" w:rsidRDefault="00331E6E" w:rsidP="00914514">
      <w:pPr>
        <w:pStyle w:val="SingleTxtG"/>
        <w:rPr>
          <w:b/>
        </w:rPr>
      </w:pPr>
      <w:r w:rsidRPr="00A228A3">
        <w:t xml:space="preserve">In these documents, we have observed a lack of coherence between the English version and the French version of the Chapter 3.3. </w:t>
      </w:r>
      <w:proofErr w:type="gramStart"/>
      <w:r w:rsidRPr="00A228A3">
        <w:t>SP 310 last paragraph.</w:t>
      </w:r>
      <w:proofErr w:type="gramEnd"/>
    </w:p>
    <w:p w:rsidR="00331E6E" w:rsidRPr="00A228A3" w:rsidRDefault="002038C1" w:rsidP="00914514">
      <w:pPr>
        <w:pStyle w:val="SingleTxtG"/>
      </w:pPr>
      <w:r>
        <w:t>In the English version, t</w:t>
      </w:r>
      <w:r w:rsidR="00A228A3" w:rsidRPr="00A228A3">
        <w:t>he current proposal is the following.</w:t>
      </w:r>
    </w:p>
    <w:p w:rsidR="00331E6E" w:rsidRPr="00A228A3" w:rsidRDefault="00331E6E" w:rsidP="00914514">
      <w:pPr>
        <w:pStyle w:val="SingleTxtG"/>
      </w:pPr>
      <w:r w:rsidRPr="00A228A3">
        <w:t>SP310</w:t>
      </w:r>
      <w:r w:rsidRPr="00A228A3">
        <w:tab/>
        <w:t>Amend to read as follows:</w:t>
      </w:r>
    </w:p>
    <w:p w:rsidR="00331E6E" w:rsidRPr="00A228A3" w:rsidRDefault="00331E6E" w:rsidP="00914514">
      <w:pPr>
        <w:pStyle w:val="SingleTxtG"/>
      </w:pPr>
      <w:r w:rsidRPr="00A228A3">
        <w:t>“310</w:t>
      </w:r>
      <w:r w:rsidRPr="00A228A3">
        <w:tab/>
        <w:t>The testing requirements in the Manual of Tests and Criteria, part III sub-section 38.3 do not apply to production runs, consisting of not more than 100 cells and batteries, or to pre-production prototypes of cells and batteries when these prototypes are carried for testing when packaged in accordance with packing instruction P910 of 4.1.4.1</w:t>
      </w:r>
    </w:p>
    <w:p w:rsidR="00331E6E" w:rsidRPr="00A228A3" w:rsidRDefault="00331E6E" w:rsidP="00914514">
      <w:pPr>
        <w:pStyle w:val="SingleTxtG"/>
      </w:pPr>
      <w:r w:rsidRPr="00A228A3">
        <w:t>…</w:t>
      </w:r>
    </w:p>
    <w:p w:rsidR="00331E6E" w:rsidRPr="00A228A3" w:rsidRDefault="00331E6E" w:rsidP="00914514">
      <w:pPr>
        <w:pStyle w:val="SingleTxtG"/>
      </w:pPr>
      <w:r w:rsidRPr="00A228A3">
        <w:t xml:space="preserve">Cells, batteries or cells and batteries contained in equipment carried for disposal or recycling </w:t>
      </w:r>
      <w:r w:rsidRPr="00A228A3">
        <w:rPr>
          <w:b/>
          <w:u w:val="single"/>
        </w:rPr>
        <w:t>may be</w:t>
      </w:r>
      <w:r w:rsidRPr="00A228A3">
        <w:t xml:space="preserve"> packaged in accordance with special provision 377 and packing instruction P909 of 4.1.4.1.</w:t>
      </w:r>
      <w:proofErr w:type="gramStart"/>
      <w:r w:rsidRPr="00A228A3">
        <w:t>”.</w:t>
      </w:r>
      <w:proofErr w:type="gramEnd"/>
    </w:p>
    <w:p w:rsidR="00A228A3" w:rsidRPr="00914514" w:rsidRDefault="00A228A3" w:rsidP="00914514">
      <w:pPr>
        <w:pStyle w:val="SingleTxtG"/>
      </w:pPr>
      <w:r w:rsidRPr="00914514">
        <w:t>In the French version, one can read the following.</w:t>
      </w:r>
    </w:p>
    <w:p w:rsidR="00331E6E" w:rsidRPr="004663A5" w:rsidRDefault="00331E6E" w:rsidP="00914514">
      <w:pPr>
        <w:pStyle w:val="SingleTxtG"/>
        <w:rPr>
          <w:lang w:val="fr-CH"/>
        </w:rPr>
      </w:pPr>
      <w:r w:rsidRPr="004663A5">
        <w:rPr>
          <w:lang w:val="fr-CH"/>
        </w:rPr>
        <w:t>Disposition spéciale 310</w:t>
      </w:r>
      <w:r w:rsidRPr="004663A5">
        <w:rPr>
          <w:lang w:val="fr-CH"/>
        </w:rPr>
        <w:tab/>
        <w:t>Modifier pour lire comme suit:</w:t>
      </w:r>
    </w:p>
    <w:p w:rsidR="00331E6E" w:rsidRPr="004663A5" w:rsidRDefault="00331E6E" w:rsidP="00914514">
      <w:pPr>
        <w:pStyle w:val="SingleTxtG"/>
        <w:rPr>
          <w:lang w:val="fr-CH"/>
        </w:rPr>
      </w:pPr>
      <w:r w:rsidRPr="004663A5">
        <w:rPr>
          <w:lang w:val="fr-CH"/>
        </w:rPr>
        <w:t>«310</w:t>
      </w:r>
      <w:r w:rsidRPr="004663A5">
        <w:rPr>
          <w:lang w:val="fr-CH"/>
        </w:rPr>
        <w:tab/>
        <w:t>Les prescriptions des épreuves de la sous-section 38.3 de la troisième partie du Manuel d’épreuves et de critères ne s’appliquent pas aux séries de production composées d’au plus 100 piles et batteries ni aux prototypes de pré-production des piles et batteries lorsque ces prototypes sont transportés pour être éprouvés et qu’ils sont emballés conformément à l’instruction d’emballage P910 du 4.1.4.1.</w:t>
      </w:r>
    </w:p>
    <w:p w:rsidR="00331E6E" w:rsidRPr="004663A5" w:rsidRDefault="00331E6E" w:rsidP="00914514">
      <w:pPr>
        <w:pStyle w:val="SingleTxtG"/>
        <w:rPr>
          <w:lang w:val="fr-CH"/>
        </w:rPr>
      </w:pPr>
      <w:r w:rsidRPr="004663A5">
        <w:rPr>
          <w:lang w:val="fr-CH"/>
        </w:rPr>
        <w:t>….</w:t>
      </w:r>
    </w:p>
    <w:p w:rsidR="00331E6E" w:rsidRPr="00A228A3" w:rsidRDefault="00331E6E" w:rsidP="00914514">
      <w:pPr>
        <w:pStyle w:val="SingleTxtG"/>
        <w:rPr>
          <w:lang w:val="fr-FR"/>
        </w:rPr>
      </w:pPr>
      <w:r w:rsidRPr="00A228A3">
        <w:rPr>
          <w:lang w:val="fr-FR"/>
        </w:rPr>
        <w:lastRenderedPageBreak/>
        <w:t xml:space="preserve">Les piles, batteries ou piles et batteries contenues dans des équipements, transportées en vue de leur élimination ou de leur recyclage </w:t>
      </w:r>
      <w:r w:rsidRPr="00A228A3">
        <w:rPr>
          <w:b/>
          <w:u w:val="single"/>
          <w:lang w:val="fr-FR"/>
        </w:rPr>
        <w:t>doivent</w:t>
      </w:r>
      <w:r w:rsidRPr="00A228A3">
        <w:rPr>
          <w:lang w:val="fr-FR"/>
        </w:rPr>
        <w:t xml:space="preserve"> être emballées conformément à la disposition spéciale 377 et à l’instruction d’emballage P909 du 4.1.4.1.».</w:t>
      </w:r>
    </w:p>
    <w:p w:rsidR="00331E6E" w:rsidRPr="00A228A3" w:rsidRDefault="00A228A3" w:rsidP="00914514">
      <w:pPr>
        <w:pStyle w:val="SingleTxtG"/>
      </w:pPr>
      <w:r w:rsidRPr="00A228A3">
        <w:t xml:space="preserve">It is observed that </w:t>
      </w:r>
      <w:r w:rsidR="00331E6E" w:rsidRPr="00A228A3">
        <w:t xml:space="preserve">the French version requires a mandatory use of SP377 </w:t>
      </w:r>
      <w:r w:rsidRPr="00A228A3">
        <w:t xml:space="preserve">and P909 </w:t>
      </w:r>
      <w:r w:rsidR="002038C1">
        <w:t xml:space="preserve">(DOIVENT) </w:t>
      </w:r>
      <w:r w:rsidR="00331E6E" w:rsidRPr="00A228A3">
        <w:t>while</w:t>
      </w:r>
      <w:r w:rsidR="008F2352">
        <w:t xml:space="preserve"> </w:t>
      </w:r>
      <w:bookmarkStart w:id="0" w:name="_GoBack"/>
      <w:bookmarkEnd w:id="0"/>
      <w:r w:rsidR="00331E6E" w:rsidRPr="00A228A3">
        <w:t xml:space="preserve">the English version offers the use of SP377 </w:t>
      </w:r>
      <w:r w:rsidRPr="00A228A3">
        <w:t xml:space="preserve">and P909 </w:t>
      </w:r>
      <w:r w:rsidR="002038C1">
        <w:t>as an option (MAY BE).</w:t>
      </w:r>
    </w:p>
    <w:p w:rsidR="00A228A3" w:rsidRPr="00A228A3" w:rsidRDefault="00331E6E" w:rsidP="00914514">
      <w:pPr>
        <w:pStyle w:val="SingleTxtG"/>
      </w:pPr>
      <w:r w:rsidRPr="00A228A3">
        <w:t>It seems appro</w:t>
      </w:r>
      <w:r w:rsidR="002038C1">
        <w:t xml:space="preserve">priate to align </w:t>
      </w:r>
      <w:r w:rsidRPr="00A228A3">
        <w:t>the French version on the text of SP377</w:t>
      </w:r>
      <w:r w:rsidR="002038C1">
        <w:t xml:space="preserve"> which offers the use of SP377 as an option</w:t>
      </w:r>
      <w:proofErr w:type="gramStart"/>
      <w:r w:rsidR="002038C1">
        <w:t>.</w:t>
      </w:r>
      <w:r w:rsidRPr="00A228A3">
        <w:t>.</w:t>
      </w:r>
      <w:proofErr w:type="gramEnd"/>
      <w:r w:rsidRPr="00A228A3">
        <w:t xml:space="preserve"> </w:t>
      </w:r>
    </w:p>
    <w:p w:rsidR="00331E6E" w:rsidRPr="00A228A3" w:rsidRDefault="00331E6E" w:rsidP="00914514">
      <w:pPr>
        <w:pStyle w:val="SingleTxtG"/>
      </w:pPr>
      <w:r w:rsidRPr="00A228A3">
        <w:t xml:space="preserve">The change in the French </w:t>
      </w:r>
      <w:r w:rsidR="00A228A3" w:rsidRPr="00A228A3">
        <w:t>version is proposed below.</w:t>
      </w:r>
    </w:p>
    <w:p w:rsidR="00D549A0" w:rsidRPr="00914514" w:rsidRDefault="00914514" w:rsidP="00914514">
      <w:pPr>
        <w:pStyle w:val="HChG"/>
      </w:pPr>
      <w:r>
        <w:tab/>
      </w:r>
      <w:r>
        <w:tab/>
      </w:r>
      <w:r w:rsidR="00D549A0" w:rsidRPr="00914514">
        <w:t>Proposal</w:t>
      </w:r>
    </w:p>
    <w:p w:rsidR="002038C1" w:rsidRPr="00A228A3" w:rsidRDefault="002038C1" w:rsidP="00914514">
      <w:pPr>
        <w:pStyle w:val="SingleTxtG"/>
      </w:pPr>
      <w:r w:rsidRPr="00A228A3">
        <w:t>The change in the French version is proposed below.</w:t>
      </w:r>
    </w:p>
    <w:p w:rsidR="00331E6E" w:rsidRPr="00A228A3" w:rsidRDefault="00331E6E" w:rsidP="00914514">
      <w:pPr>
        <w:pStyle w:val="SingleTxtG"/>
        <w:rPr>
          <w:lang w:val="fr-FR"/>
        </w:rPr>
      </w:pPr>
      <w:r w:rsidRPr="00A228A3">
        <w:rPr>
          <w:lang w:val="fr-FR"/>
        </w:rPr>
        <w:t>Disposition spéciale 310</w:t>
      </w:r>
      <w:r w:rsidRPr="00A228A3">
        <w:rPr>
          <w:lang w:val="fr-FR"/>
        </w:rPr>
        <w:tab/>
        <w:t>Modifier pour lire comme suit:</w:t>
      </w:r>
    </w:p>
    <w:p w:rsidR="00331E6E" w:rsidRPr="00A228A3" w:rsidRDefault="00331E6E" w:rsidP="00914514">
      <w:pPr>
        <w:pStyle w:val="SingleTxtG"/>
        <w:rPr>
          <w:lang w:val="fr-FR"/>
        </w:rPr>
      </w:pPr>
      <w:r w:rsidRPr="00A228A3">
        <w:rPr>
          <w:lang w:val="fr-FR"/>
        </w:rPr>
        <w:t>«310</w:t>
      </w:r>
      <w:r w:rsidRPr="00A228A3">
        <w:rPr>
          <w:lang w:val="fr-FR"/>
        </w:rPr>
        <w:tab/>
        <w:t xml:space="preserve">Les prescriptions des épreuves de la sous-section 38.3 de la troisième partie du </w:t>
      </w:r>
      <w:r w:rsidRPr="00A228A3">
        <w:rPr>
          <w:i/>
          <w:lang w:val="fr-FR"/>
        </w:rPr>
        <w:t xml:space="preserve">Manuel d’épreuves et de critères </w:t>
      </w:r>
      <w:r w:rsidRPr="00A228A3">
        <w:rPr>
          <w:lang w:val="fr-FR"/>
        </w:rPr>
        <w:t>ne s’appliquent pas aux séries de production composées d’au plus 100 piles et batteries ni aux prototypes de pré-production des piles et batteries lorsque ces prototypes sont transportés pour être éprouvés et qu’ils sont emballés conformément à l’instruction d’emballage P910 du 4.1.4.1.</w:t>
      </w:r>
    </w:p>
    <w:p w:rsidR="00331E6E" w:rsidRPr="00A228A3" w:rsidRDefault="00331E6E" w:rsidP="00914514">
      <w:pPr>
        <w:pStyle w:val="SingleTxtG"/>
        <w:rPr>
          <w:lang w:val="fr-FR"/>
        </w:rPr>
      </w:pPr>
      <w:r w:rsidRPr="00A228A3">
        <w:rPr>
          <w:lang w:val="fr-FR"/>
        </w:rPr>
        <w:t>….</w:t>
      </w:r>
    </w:p>
    <w:p w:rsidR="00331E6E" w:rsidRDefault="00331E6E" w:rsidP="00331E6E">
      <w:pPr>
        <w:pStyle w:val="SingleTxtG"/>
        <w:rPr>
          <w:lang w:val="fr-FR"/>
        </w:rPr>
      </w:pPr>
      <w:r w:rsidRPr="00914514">
        <w:rPr>
          <w:lang w:val="fr-FR"/>
        </w:rPr>
        <w:t xml:space="preserve">Les piles, batteries ou piles et batteries contenues dans des équipements, transportées en vue de leur élimination ou de leur recyclage </w:t>
      </w:r>
      <w:r w:rsidRPr="00914514">
        <w:rPr>
          <w:b/>
          <w:strike/>
          <w:color w:val="FF0000"/>
          <w:lang w:val="fr-FR"/>
        </w:rPr>
        <w:t xml:space="preserve">doivent </w:t>
      </w:r>
      <w:r w:rsidRPr="00914514">
        <w:rPr>
          <w:b/>
          <w:i/>
          <w:u w:val="single"/>
          <w:lang w:val="fr-FR"/>
        </w:rPr>
        <w:t>peuvent</w:t>
      </w:r>
      <w:r w:rsidRPr="00914514">
        <w:rPr>
          <w:b/>
          <w:lang w:val="fr-FR"/>
        </w:rPr>
        <w:t xml:space="preserve"> </w:t>
      </w:r>
      <w:r w:rsidRPr="00914514">
        <w:rPr>
          <w:lang w:val="fr-FR"/>
        </w:rPr>
        <w:t>être emballées conformément à la disposition spéciale 377 et à l’instruction d’emballage P909 du 4.1.4.1.».</w:t>
      </w:r>
    </w:p>
    <w:p w:rsidR="00914514" w:rsidRPr="004663A5" w:rsidRDefault="00914514" w:rsidP="00914514">
      <w:pPr>
        <w:pStyle w:val="SingleTxtG"/>
        <w:suppressAutoHyphens/>
        <w:spacing w:before="240" w:after="0" w:line="240" w:lineRule="atLeast"/>
        <w:jc w:val="center"/>
        <w:rPr>
          <w:u w:val="single"/>
          <w:lang w:val="fr-CH"/>
        </w:rPr>
      </w:pPr>
      <w:r w:rsidRPr="004663A5">
        <w:rPr>
          <w:sz w:val="22"/>
          <w:szCs w:val="22"/>
          <w:u w:val="single"/>
          <w:lang w:val="fr-CH"/>
        </w:rPr>
        <w:tab/>
      </w:r>
      <w:r w:rsidRPr="004663A5">
        <w:rPr>
          <w:u w:val="single"/>
          <w:lang w:val="fr-CH"/>
        </w:rPr>
        <w:tab/>
      </w:r>
      <w:r w:rsidRPr="004663A5">
        <w:rPr>
          <w:u w:val="single"/>
          <w:lang w:val="fr-CH"/>
        </w:rPr>
        <w:tab/>
      </w:r>
    </w:p>
    <w:sectPr w:rsidR="00914514" w:rsidRPr="004663A5"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7C" w:rsidRDefault="00EA547C"/>
  </w:endnote>
  <w:endnote w:type="continuationSeparator" w:id="0">
    <w:p w:rsidR="00EA547C" w:rsidRDefault="00EA547C"/>
  </w:endnote>
  <w:endnote w:type="continuationNotice" w:id="1">
    <w:p w:rsidR="00EA547C" w:rsidRDefault="00EA5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3B3A7E" w:rsidRDefault="00472BC5" w:rsidP="003B3A7E">
    <w:pPr>
      <w:pStyle w:val="Footer"/>
    </w:pPr>
    <w:r>
      <w:rPr>
        <w:rStyle w:val="PageNumber"/>
      </w:rPr>
      <w:fldChar w:fldCharType="begin"/>
    </w:r>
    <w:r w:rsidR="00265DB7">
      <w:rPr>
        <w:rStyle w:val="PageNumber"/>
      </w:rPr>
      <w:instrText xml:space="preserve"> PAGE </w:instrText>
    </w:r>
    <w:r>
      <w:rPr>
        <w:rStyle w:val="PageNumber"/>
      </w:rPr>
      <w:fldChar w:fldCharType="separate"/>
    </w:r>
    <w:r w:rsidR="008F235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472BC5" w:rsidP="003B3A7E">
    <w:pPr>
      <w:pStyle w:val="Footer"/>
      <w:jc w:val="right"/>
    </w:pPr>
    <w:r>
      <w:rPr>
        <w:rStyle w:val="PageNumber"/>
      </w:rPr>
      <w:fldChar w:fldCharType="begin"/>
    </w:r>
    <w:r w:rsidR="00265DB7">
      <w:rPr>
        <w:rStyle w:val="PageNumber"/>
      </w:rPr>
      <w:instrText xml:space="preserve"> PAGE </w:instrText>
    </w:r>
    <w:r>
      <w:rPr>
        <w:rStyle w:val="PageNumber"/>
      </w:rPr>
      <w:fldChar w:fldCharType="separate"/>
    </w:r>
    <w:r w:rsidR="00A228A3">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Default="007A5310">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9"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7C" w:rsidRPr="000B175B" w:rsidRDefault="00EA547C" w:rsidP="000B175B">
      <w:pPr>
        <w:tabs>
          <w:tab w:val="right" w:pos="2155"/>
        </w:tabs>
        <w:spacing w:after="80"/>
        <w:ind w:left="680"/>
        <w:rPr>
          <w:u w:val="single"/>
        </w:rPr>
      </w:pPr>
      <w:r>
        <w:rPr>
          <w:u w:val="single"/>
        </w:rPr>
        <w:tab/>
      </w:r>
    </w:p>
  </w:footnote>
  <w:footnote w:type="continuationSeparator" w:id="0">
    <w:p w:rsidR="00EA547C" w:rsidRPr="00FC68B7" w:rsidRDefault="00EA547C" w:rsidP="00FC68B7">
      <w:pPr>
        <w:tabs>
          <w:tab w:val="left" w:pos="2155"/>
        </w:tabs>
        <w:spacing w:after="80"/>
        <w:ind w:left="680"/>
        <w:rPr>
          <w:u w:val="single"/>
        </w:rPr>
      </w:pPr>
      <w:r>
        <w:rPr>
          <w:u w:val="single"/>
        </w:rPr>
        <w:tab/>
      </w:r>
    </w:p>
  </w:footnote>
  <w:footnote w:type="continuationNotice" w:id="1">
    <w:p w:rsidR="00EA547C" w:rsidRDefault="00EA5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9455D" w:rsidRDefault="007A7FFE">
    <w:pPr>
      <w:pStyle w:val="Header"/>
      <w:rPr>
        <w:lang w:val="fr-CH"/>
      </w:rPr>
    </w:pPr>
    <w:r>
      <w:rPr>
        <w:lang w:val="fr-CH"/>
      </w:rPr>
      <w:t>INF.</w:t>
    </w:r>
    <w:r w:rsidR="00914514">
      <w:rPr>
        <w:lang w:val="fr-CH"/>
      </w:rPr>
      <w:t>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073BC9" w:rsidRDefault="00265DB7" w:rsidP="0009455D">
    <w:pPr>
      <w:pStyle w:val="Header"/>
      <w:jc w:val="right"/>
    </w:pPr>
    <w:r>
      <w:t>INF.</w:t>
    </w:r>
    <w:r w:rsidR="00741ACF">
      <w:t>1</w:t>
    </w:r>
    <w:r w:rsidR="000D407E">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DB7" w:rsidRPr="00560572" w:rsidRDefault="00265DB7" w:rsidP="00E37495">
    <w:pPr>
      <w:pStyle w:val="Header"/>
      <w:pBdr>
        <w:bottom w:val="single" w:sz="4" w:space="1" w:color="auto"/>
      </w:pBdr>
      <w:jc w:val="right"/>
      <w:rPr>
        <w:sz w:val="28"/>
        <w:szCs w:val="28"/>
      </w:rPr>
    </w:pPr>
    <w:r w:rsidRPr="00560572">
      <w:rPr>
        <w:sz w:val="28"/>
        <w:szCs w:val="28"/>
      </w:rPr>
      <w:t>INF.</w:t>
    </w:r>
    <w:r w:rsidR="00914514">
      <w:rPr>
        <w:sz w:val="28"/>
        <w:szCs w:val="28"/>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0D1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F365D"/>
    <w:multiLevelType w:val="hybridMultilevel"/>
    <w:tmpl w:val="2754482E"/>
    <w:lvl w:ilvl="0" w:tplc="D3E81D22">
      <w:start w:val="1"/>
      <w:numFmt w:val="lowerLetter"/>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EA08F7"/>
    <w:multiLevelType w:val="hybridMultilevel"/>
    <w:tmpl w:val="442A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3">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4">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7"/>
  </w:num>
  <w:num w:numId="13">
    <w:abstractNumId w:val="12"/>
  </w:num>
  <w:num w:numId="14">
    <w:abstractNumId w:val="14"/>
  </w:num>
  <w:num w:numId="15">
    <w:abstractNumId w:val="20"/>
  </w:num>
  <w:num w:numId="16">
    <w:abstractNumId w:val="16"/>
  </w:num>
  <w:num w:numId="17">
    <w:abstractNumId w:val="26"/>
  </w:num>
  <w:num w:numId="18">
    <w:abstractNumId w:val="29"/>
  </w:num>
  <w:num w:numId="19">
    <w:abstractNumId w:val="25"/>
  </w:num>
  <w:num w:numId="20">
    <w:abstractNumId w:val="15"/>
  </w:num>
  <w:num w:numId="21">
    <w:abstractNumId w:val="22"/>
  </w:num>
  <w:num w:numId="22">
    <w:abstractNumId w:val="30"/>
  </w:num>
  <w:num w:numId="23">
    <w:abstractNumId w:val="21"/>
  </w:num>
  <w:num w:numId="24">
    <w:abstractNumId w:val="24"/>
  </w:num>
  <w:num w:numId="25">
    <w:abstractNumId w:val="28"/>
  </w:num>
  <w:num w:numId="26">
    <w:abstractNumId w:val="23"/>
  </w:num>
  <w:num w:numId="27">
    <w:abstractNumId w:val="0"/>
  </w:num>
  <w:num w:numId="28">
    <w:abstractNumId w:val="13"/>
  </w:num>
  <w:num w:numId="29">
    <w:abstractNumId w:val="11"/>
  </w:num>
  <w:num w:numId="30">
    <w:abstractNumId w:val="18"/>
  </w:num>
  <w:num w:numId="31">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138FA"/>
    <w:rsid w:val="00020DCC"/>
    <w:rsid w:val="00027624"/>
    <w:rsid w:val="0004360B"/>
    <w:rsid w:val="00050F6B"/>
    <w:rsid w:val="00051293"/>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D407E"/>
    <w:rsid w:val="000E0415"/>
    <w:rsid w:val="000E233A"/>
    <w:rsid w:val="000E63CB"/>
    <w:rsid w:val="000E7EB0"/>
    <w:rsid w:val="000F7715"/>
    <w:rsid w:val="001022EF"/>
    <w:rsid w:val="00103E99"/>
    <w:rsid w:val="00123B34"/>
    <w:rsid w:val="00140040"/>
    <w:rsid w:val="0014401A"/>
    <w:rsid w:val="0015404D"/>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13B5"/>
    <w:rsid w:val="001A3481"/>
    <w:rsid w:val="001A5F15"/>
    <w:rsid w:val="001B4B04"/>
    <w:rsid w:val="001B5225"/>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38C1"/>
    <w:rsid w:val="002043F0"/>
    <w:rsid w:val="002060B9"/>
    <w:rsid w:val="00211E0B"/>
    <w:rsid w:val="00215A1B"/>
    <w:rsid w:val="00216BB2"/>
    <w:rsid w:val="00230496"/>
    <w:rsid w:val="00232575"/>
    <w:rsid w:val="00233D67"/>
    <w:rsid w:val="0023589F"/>
    <w:rsid w:val="00247258"/>
    <w:rsid w:val="00250356"/>
    <w:rsid w:val="002565C8"/>
    <w:rsid w:val="002574B9"/>
    <w:rsid w:val="00257CAC"/>
    <w:rsid w:val="0026112D"/>
    <w:rsid w:val="002634EA"/>
    <w:rsid w:val="00264807"/>
    <w:rsid w:val="00265DB7"/>
    <w:rsid w:val="00280375"/>
    <w:rsid w:val="002815FC"/>
    <w:rsid w:val="00294621"/>
    <w:rsid w:val="00295F1A"/>
    <w:rsid w:val="002974E9"/>
    <w:rsid w:val="002A214F"/>
    <w:rsid w:val="002A3359"/>
    <w:rsid w:val="002A6D75"/>
    <w:rsid w:val="002A7F94"/>
    <w:rsid w:val="002B109A"/>
    <w:rsid w:val="002B400C"/>
    <w:rsid w:val="002C1973"/>
    <w:rsid w:val="002C3A37"/>
    <w:rsid w:val="002C4661"/>
    <w:rsid w:val="002C4E51"/>
    <w:rsid w:val="002C57D6"/>
    <w:rsid w:val="002C5DDC"/>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1E6E"/>
    <w:rsid w:val="003346C2"/>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85549"/>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3520"/>
    <w:rsid w:val="00414F7A"/>
    <w:rsid w:val="00421D52"/>
    <w:rsid w:val="00431D4D"/>
    <w:rsid w:val="004325CB"/>
    <w:rsid w:val="00433A82"/>
    <w:rsid w:val="00440A07"/>
    <w:rsid w:val="00456441"/>
    <w:rsid w:val="00461FDB"/>
    <w:rsid w:val="00462880"/>
    <w:rsid w:val="004663A5"/>
    <w:rsid w:val="0047298C"/>
    <w:rsid w:val="00472BC5"/>
    <w:rsid w:val="0047429E"/>
    <w:rsid w:val="00476F24"/>
    <w:rsid w:val="0048402E"/>
    <w:rsid w:val="004909E7"/>
    <w:rsid w:val="0049311D"/>
    <w:rsid w:val="00497B46"/>
    <w:rsid w:val="004B45B0"/>
    <w:rsid w:val="004B4BFA"/>
    <w:rsid w:val="004B7EA2"/>
    <w:rsid w:val="004C55B0"/>
    <w:rsid w:val="004D4D13"/>
    <w:rsid w:val="004D51F6"/>
    <w:rsid w:val="004D63B1"/>
    <w:rsid w:val="004E4179"/>
    <w:rsid w:val="004E7160"/>
    <w:rsid w:val="004F3580"/>
    <w:rsid w:val="004F3BBF"/>
    <w:rsid w:val="004F3F8F"/>
    <w:rsid w:val="004F6BA0"/>
    <w:rsid w:val="00503BEA"/>
    <w:rsid w:val="005206A7"/>
    <w:rsid w:val="005250A0"/>
    <w:rsid w:val="00530289"/>
    <w:rsid w:val="00533616"/>
    <w:rsid w:val="00533D9B"/>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0C7F"/>
    <w:rsid w:val="00595520"/>
    <w:rsid w:val="005A0287"/>
    <w:rsid w:val="005A44B9"/>
    <w:rsid w:val="005A548A"/>
    <w:rsid w:val="005B1BA0"/>
    <w:rsid w:val="005B3DB3"/>
    <w:rsid w:val="005C58F0"/>
    <w:rsid w:val="005C700B"/>
    <w:rsid w:val="005D15CA"/>
    <w:rsid w:val="005D1867"/>
    <w:rsid w:val="005D2C39"/>
    <w:rsid w:val="005D35CD"/>
    <w:rsid w:val="005D390C"/>
    <w:rsid w:val="005D3DF2"/>
    <w:rsid w:val="005E6AAF"/>
    <w:rsid w:val="005F0494"/>
    <w:rsid w:val="005F3066"/>
    <w:rsid w:val="005F3E61"/>
    <w:rsid w:val="005F51F6"/>
    <w:rsid w:val="005F69C7"/>
    <w:rsid w:val="005F7732"/>
    <w:rsid w:val="00601F32"/>
    <w:rsid w:val="00604DDD"/>
    <w:rsid w:val="006115CC"/>
    <w:rsid w:val="00611FC4"/>
    <w:rsid w:val="00613302"/>
    <w:rsid w:val="006176FB"/>
    <w:rsid w:val="0062380F"/>
    <w:rsid w:val="0062564C"/>
    <w:rsid w:val="00630FCB"/>
    <w:rsid w:val="00632F10"/>
    <w:rsid w:val="006368BF"/>
    <w:rsid w:val="0064017F"/>
    <w:rsid w:val="00640B26"/>
    <w:rsid w:val="00642312"/>
    <w:rsid w:val="00642502"/>
    <w:rsid w:val="00651A29"/>
    <w:rsid w:val="006643C6"/>
    <w:rsid w:val="00665C39"/>
    <w:rsid w:val="00667D6B"/>
    <w:rsid w:val="006770B2"/>
    <w:rsid w:val="006853B3"/>
    <w:rsid w:val="006920E3"/>
    <w:rsid w:val="006940E1"/>
    <w:rsid w:val="006A1D39"/>
    <w:rsid w:val="006A3C72"/>
    <w:rsid w:val="006A7392"/>
    <w:rsid w:val="006B03A1"/>
    <w:rsid w:val="006B67D9"/>
    <w:rsid w:val="006B6FE3"/>
    <w:rsid w:val="006C5535"/>
    <w:rsid w:val="006C698D"/>
    <w:rsid w:val="006D0589"/>
    <w:rsid w:val="006D513E"/>
    <w:rsid w:val="006E564B"/>
    <w:rsid w:val="006E7154"/>
    <w:rsid w:val="006F0884"/>
    <w:rsid w:val="007003CD"/>
    <w:rsid w:val="00703A6D"/>
    <w:rsid w:val="0070701E"/>
    <w:rsid w:val="0070702F"/>
    <w:rsid w:val="00713288"/>
    <w:rsid w:val="0071447C"/>
    <w:rsid w:val="00714B5C"/>
    <w:rsid w:val="00715BE5"/>
    <w:rsid w:val="0072632A"/>
    <w:rsid w:val="007358E8"/>
    <w:rsid w:val="00736ECE"/>
    <w:rsid w:val="00741ACF"/>
    <w:rsid w:val="00742F4C"/>
    <w:rsid w:val="0074533B"/>
    <w:rsid w:val="00762EA6"/>
    <w:rsid w:val="0076432E"/>
    <w:rsid w:val="007643BC"/>
    <w:rsid w:val="00764F01"/>
    <w:rsid w:val="00770846"/>
    <w:rsid w:val="00773DB3"/>
    <w:rsid w:val="007810E1"/>
    <w:rsid w:val="00781D93"/>
    <w:rsid w:val="007865A5"/>
    <w:rsid w:val="00790877"/>
    <w:rsid w:val="007959FE"/>
    <w:rsid w:val="00795E37"/>
    <w:rsid w:val="007A0CF1"/>
    <w:rsid w:val="007A38B0"/>
    <w:rsid w:val="007A5310"/>
    <w:rsid w:val="007A7CC0"/>
    <w:rsid w:val="007A7FFE"/>
    <w:rsid w:val="007B614B"/>
    <w:rsid w:val="007B6A61"/>
    <w:rsid w:val="007B6BA5"/>
    <w:rsid w:val="007C3390"/>
    <w:rsid w:val="007C42D8"/>
    <w:rsid w:val="007C4F4B"/>
    <w:rsid w:val="007C68C8"/>
    <w:rsid w:val="007D5759"/>
    <w:rsid w:val="007D6D44"/>
    <w:rsid w:val="007D7362"/>
    <w:rsid w:val="007E0E8A"/>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2A1C"/>
    <w:rsid w:val="00897132"/>
    <w:rsid w:val="008979B1"/>
    <w:rsid w:val="008A57C8"/>
    <w:rsid w:val="008A6792"/>
    <w:rsid w:val="008A6B25"/>
    <w:rsid w:val="008A6C4F"/>
    <w:rsid w:val="008A7787"/>
    <w:rsid w:val="008B389E"/>
    <w:rsid w:val="008B41F4"/>
    <w:rsid w:val="008B59E3"/>
    <w:rsid w:val="008C1480"/>
    <w:rsid w:val="008C5B2D"/>
    <w:rsid w:val="008C5BCB"/>
    <w:rsid w:val="008D045E"/>
    <w:rsid w:val="008D3F25"/>
    <w:rsid w:val="008D4D82"/>
    <w:rsid w:val="008E0E09"/>
    <w:rsid w:val="008E0E46"/>
    <w:rsid w:val="008E5A5D"/>
    <w:rsid w:val="008E7116"/>
    <w:rsid w:val="008F143B"/>
    <w:rsid w:val="008F2352"/>
    <w:rsid w:val="008F33C4"/>
    <w:rsid w:val="008F3882"/>
    <w:rsid w:val="008F3C40"/>
    <w:rsid w:val="008F4B7C"/>
    <w:rsid w:val="00901BC2"/>
    <w:rsid w:val="00904D63"/>
    <w:rsid w:val="00906BFE"/>
    <w:rsid w:val="00914514"/>
    <w:rsid w:val="00914DC3"/>
    <w:rsid w:val="00915C95"/>
    <w:rsid w:val="00916B9C"/>
    <w:rsid w:val="00924CF0"/>
    <w:rsid w:val="00926E47"/>
    <w:rsid w:val="009324AE"/>
    <w:rsid w:val="00935F5E"/>
    <w:rsid w:val="00937C30"/>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10E"/>
    <w:rsid w:val="0098592B"/>
    <w:rsid w:val="00985FC4"/>
    <w:rsid w:val="00986DFE"/>
    <w:rsid w:val="00990766"/>
    <w:rsid w:val="00991261"/>
    <w:rsid w:val="0099198F"/>
    <w:rsid w:val="00992C68"/>
    <w:rsid w:val="0099552C"/>
    <w:rsid w:val="00995FA1"/>
    <w:rsid w:val="009964C4"/>
    <w:rsid w:val="009A75C8"/>
    <w:rsid w:val="009A7B81"/>
    <w:rsid w:val="009B7871"/>
    <w:rsid w:val="009C144C"/>
    <w:rsid w:val="009C59B9"/>
    <w:rsid w:val="009D01C0"/>
    <w:rsid w:val="009D0FD7"/>
    <w:rsid w:val="009D6A08"/>
    <w:rsid w:val="009E0A16"/>
    <w:rsid w:val="009E7970"/>
    <w:rsid w:val="009F2EAC"/>
    <w:rsid w:val="009F57E3"/>
    <w:rsid w:val="00A00D3D"/>
    <w:rsid w:val="00A07EBB"/>
    <w:rsid w:val="00A10F4F"/>
    <w:rsid w:val="00A11067"/>
    <w:rsid w:val="00A138AB"/>
    <w:rsid w:val="00A1704A"/>
    <w:rsid w:val="00A228A3"/>
    <w:rsid w:val="00A23E9E"/>
    <w:rsid w:val="00A41BB8"/>
    <w:rsid w:val="00A425EB"/>
    <w:rsid w:val="00A45CB7"/>
    <w:rsid w:val="00A47439"/>
    <w:rsid w:val="00A62F57"/>
    <w:rsid w:val="00A6454D"/>
    <w:rsid w:val="00A72F22"/>
    <w:rsid w:val="00A733BC"/>
    <w:rsid w:val="00A748A6"/>
    <w:rsid w:val="00A749C1"/>
    <w:rsid w:val="00A76A69"/>
    <w:rsid w:val="00A77D0C"/>
    <w:rsid w:val="00A824E7"/>
    <w:rsid w:val="00A86F87"/>
    <w:rsid w:val="00A879A4"/>
    <w:rsid w:val="00A96696"/>
    <w:rsid w:val="00A976DD"/>
    <w:rsid w:val="00AA0FF8"/>
    <w:rsid w:val="00AA3567"/>
    <w:rsid w:val="00AB2CE7"/>
    <w:rsid w:val="00AC0F2C"/>
    <w:rsid w:val="00AC502A"/>
    <w:rsid w:val="00AC7298"/>
    <w:rsid w:val="00AF0401"/>
    <w:rsid w:val="00AF3A98"/>
    <w:rsid w:val="00AF58C1"/>
    <w:rsid w:val="00B0138F"/>
    <w:rsid w:val="00B03E68"/>
    <w:rsid w:val="00B05D2C"/>
    <w:rsid w:val="00B06643"/>
    <w:rsid w:val="00B15055"/>
    <w:rsid w:val="00B17FC5"/>
    <w:rsid w:val="00B2175D"/>
    <w:rsid w:val="00B22FCB"/>
    <w:rsid w:val="00B30179"/>
    <w:rsid w:val="00B37B15"/>
    <w:rsid w:val="00B4482F"/>
    <w:rsid w:val="00B45C02"/>
    <w:rsid w:val="00B4691D"/>
    <w:rsid w:val="00B53402"/>
    <w:rsid w:val="00B609E7"/>
    <w:rsid w:val="00B628EC"/>
    <w:rsid w:val="00B636FF"/>
    <w:rsid w:val="00B63F27"/>
    <w:rsid w:val="00B70F5A"/>
    <w:rsid w:val="00B72A1E"/>
    <w:rsid w:val="00B81E12"/>
    <w:rsid w:val="00B8509D"/>
    <w:rsid w:val="00B94EAD"/>
    <w:rsid w:val="00BA339B"/>
    <w:rsid w:val="00BA7C8E"/>
    <w:rsid w:val="00BB3978"/>
    <w:rsid w:val="00BC1E7E"/>
    <w:rsid w:val="00BC2E45"/>
    <w:rsid w:val="00BC3E26"/>
    <w:rsid w:val="00BC6B2B"/>
    <w:rsid w:val="00BC74E9"/>
    <w:rsid w:val="00BD4868"/>
    <w:rsid w:val="00BE36A9"/>
    <w:rsid w:val="00BE618E"/>
    <w:rsid w:val="00BE7BEC"/>
    <w:rsid w:val="00BF0A5A"/>
    <w:rsid w:val="00BF0E63"/>
    <w:rsid w:val="00BF103C"/>
    <w:rsid w:val="00BF12A3"/>
    <w:rsid w:val="00BF16D7"/>
    <w:rsid w:val="00BF218C"/>
    <w:rsid w:val="00BF2373"/>
    <w:rsid w:val="00BF5B6B"/>
    <w:rsid w:val="00C013B0"/>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3425"/>
    <w:rsid w:val="00CD46F5"/>
    <w:rsid w:val="00CD58A9"/>
    <w:rsid w:val="00CD6883"/>
    <w:rsid w:val="00CD6C29"/>
    <w:rsid w:val="00CE2428"/>
    <w:rsid w:val="00CE4A8F"/>
    <w:rsid w:val="00CE52ED"/>
    <w:rsid w:val="00CF071D"/>
    <w:rsid w:val="00CF0BD1"/>
    <w:rsid w:val="00CF116C"/>
    <w:rsid w:val="00D00745"/>
    <w:rsid w:val="00D00FD7"/>
    <w:rsid w:val="00D03595"/>
    <w:rsid w:val="00D15B04"/>
    <w:rsid w:val="00D161C1"/>
    <w:rsid w:val="00D2031B"/>
    <w:rsid w:val="00D22806"/>
    <w:rsid w:val="00D23EAC"/>
    <w:rsid w:val="00D25EC1"/>
    <w:rsid w:val="00D25FE2"/>
    <w:rsid w:val="00D275C2"/>
    <w:rsid w:val="00D37DA9"/>
    <w:rsid w:val="00D406A7"/>
    <w:rsid w:val="00D43252"/>
    <w:rsid w:val="00D44D86"/>
    <w:rsid w:val="00D4540B"/>
    <w:rsid w:val="00D46981"/>
    <w:rsid w:val="00D50B7D"/>
    <w:rsid w:val="00D52012"/>
    <w:rsid w:val="00D52588"/>
    <w:rsid w:val="00D549A0"/>
    <w:rsid w:val="00D57536"/>
    <w:rsid w:val="00D662CD"/>
    <w:rsid w:val="00D704E5"/>
    <w:rsid w:val="00D72727"/>
    <w:rsid w:val="00D731DD"/>
    <w:rsid w:val="00D73D7E"/>
    <w:rsid w:val="00D871AC"/>
    <w:rsid w:val="00D90395"/>
    <w:rsid w:val="00D90415"/>
    <w:rsid w:val="00D917F9"/>
    <w:rsid w:val="00D92E8B"/>
    <w:rsid w:val="00D978C6"/>
    <w:rsid w:val="00DA0293"/>
    <w:rsid w:val="00DA0956"/>
    <w:rsid w:val="00DA121A"/>
    <w:rsid w:val="00DA357F"/>
    <w:rsid w:val="00DA36DB"/>
    <w:rsid w:val="00DA3E12"/>
    <w:rsid w:val="00DB5900"/>
    <w:rsid w:val="00DB66FA"/>
    <w:rsid w:val="00DC18AD"/>
    <w:rsid w:val="00DC2396"/>
    <w:rsid w:val="00DC36B8"/>
    <w:rsid w:val="00DC584A"/>
    <w:rsid w:val="00DD3FE8"/>
    <w:rsid w:val="00DD6C2E"/>
    <w:rsid w:val="00DE0CB9"/>
    <w:rsid w:val="00DE178B"/>
    <w:rsid w:val="00DE5105"/>
    <w:rsid w:val="00DF1147"/>
    <w:rsid w:val="00DF1A1E"/>
    <w:rsid w:val="00DF4518"/>
    <w:rsid w:val="00DF6A82"/>
    <w:rsid w:val="00DF7CAE"/>
    <w:rsid w:val="00E02011"/>
    <w:rsid w:val="00E1773B"/>
    <w:rsid w:val="00E324A0"/>
    <w:rsid w:val="00E37495"/>
    <w:rsid w:val="00E41329"/>
    <w:rsid w:val="00E423C0"/>
    <w:rsid w:val="00E50BC6"/>
    <w:rsid w:val="00E52ECA"/>
    <w:rsid w:val="00E53624"/>
    <w:rsid w:val="00E550E7"/>
    <w:rsid w:val="00E57974"/>
    <w:rsid w:val="00E62965"/>
    <w:rsid w:val="00E6414C"/>
    <w:rsid w:val="00E65354"/>
    <w:rsid w:val="00E672F0"/>
    <w:rsid w:val="00E7260F"/>
    <w:rsid w:val="00E82C50"/>
    <w:rsid w:val="00E86772"/>
    <w:rsid w:val="00E8702D"/>
    <w:rsid w:val="00E87C7D"/>
    <w:rsid w:val="00E916A9"/>
    <w:rsid w:val="00E916DE"/>
    <w:rsid w:val="00E96630"/>
    <w:rsid w:val="00EA547C"/>
    <w:rsid w:val="00EA586A"/>
    <w:rsid w:val="00EB5B1B"/>
    <w:rsid w:val="00EB7168"/>
    <w:rsid w:val="00EC0962"/>
    <w:rsid w:val="00EC10B9"/>
    <w:rsid w:val="00ED18DC"/>
    <w:rsid w:val="00ED6201"/>
    <w:rsid w:val="00ED7A2A"/>
    <w:rsid w:val="00ED7F40"/>
    <w:rsid w:val="00EE4832"/>
    <w:rsid w:val="00EF1D7F"/>
    <w:rsid w:val="00EF4426"/>
    <w:rsid w:val="00F0137E"/>
    <w:rsid w:val="00F0148F"/>
    <w:rsid w:val="00F21786"/>
    <w:rsid w:val="00F237F4"/>
    <w:rsid w:val="00F3258A"/>
    <w:rsid w:val="00F341B6"/>
    <w:rsid w:val="00F347BC"/>
    <w:rsid w:val="00F3742B"/>
    <w:rsid w:val="00F40CCF"/>
    <w:rsid w:val="00F41FDB"/>
    <w:rsid w:val="00F512E7"/>
    <w:rsid w:val="00F5337D"/>
    <w:rsid w:val="00F5390C"/>
    <w:rsid w:val="00F56D63"/>
    <w:rsid w:val="00F609A9"/>
    <w:rsid w:val="00F6280E"/>
    <w:rsid w:val="00F701AA"/>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3D34"/>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character" w:customStyle="1" w:styleId="H23GChar">
    <w:name w:val="_ H_2/3_G Char"/>
    <w:link w:val="H23G"/>
    <w:rsid w:val="00331E6E"/>
    <w:rPr>
      <w:b/>
      <w:lang w:val="en-GB" w:eastAsia="en-US"/>
    </w:rPr>
  </w:style>
  <w:style w:type="character" w:customStyle="1" w:styleId="FootnoteTextChar">
    <w:name w:val="Footnote Text Char"/>
    <w:aliases w:val="5_G Char"/>
    <w:link w:val="FootnoteText"/>
    <w:rsid w:val="00331E6E"/>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BC6B2B"/>
    <w:pPr>
      <w:outlineLvl w:val="1"/>
    </w:pPr>
  </w:style>
  <w:style w:type="paragraph" w:styleId="Heading3">
    <w:name w:val="heading 3"/>
    <w:basedOn w:val="Normal"/>
    <w:next w:val="Normal"/>
    <w:qFormat/>
    <w:rsid w:val="00BC6B2B"/>
    <w:pPr>
      <w:outlineLvl w:val="2"/>
    </w:pPr>
  </w:style>
  <w:style w:type="paragraph" w:styleId="Heading4">
    <w:name w:val="heading 4"/>
    <w:basedOn w:val="Normal"/>
    <w:next w:val="Normal"/>
    <w:qFormat/>
    <w:rsid w:val="00BC6B2B"/>
    <w:pPr>
      <w:outlineLvl w:val="3"/>
    </w:pPr>
  </w:style>
  <w:style w:type="paragraph" w:styleId="Heading5">
    <w:name w:val="heading 5"/>
    <w:basedOn w:val="Normal"/>
    <w:next w:val="Normal"/>
    <w:qFormat/>
    <w:rsid w:val="00BC6B2B"/>
    <w:pPr>
      <w:outlineLvl w:val="4"/>
    </w:pPr>
  </w:style>
  <w:style w:type="paragraph" w:styleId="Heading6">
    <w:name w:val="heading 6"/>
    <w:basedOn w:val="Normal"/>
    <w:next w:val="Normal"/>
    <w:qFormat/>
    <w:rsid w:val="00BC6B2B"/>
    <w:pPr>
      <w:outlineLvl w:val="5"/>
    </w:pPr>
  </w:style>
  <w:style w:type="paragraph" w:styleId="Heading7">
    <w:name w:val="heading 7"/>
    <w:basedOn w:val="Normal"/>
    <w:next w:val="Normal"/>
    <w:qFormat/>
    <w:rsid w:val="00BC6B2B"/>
    <w:pPr>
      <w:outlineLvl w:val="6"/>
    </w:pPr>
  </w:style>
  <w:style w:type="paragraph" w:styleId="Heading8">
    <w:name w:val="heading 8"/>
    <w:basedOn w:val="Normal"/>
    <w:next w:val="Normal"/>
    <w:qFormat/>
    <w:rsid w:val="00BC6B2B"/>
    <w:pPr>
      <w:outlineLvl w:val="7"/>
    </w:pPr>
  </w:style>
  <w:style w:type="paragraph" w:styleId="Heading9">
    <w:name w:val="heading 9"/>
    <w:basedOn w:val="Normal"/>
    <w:next w:val="Normal"/>
    <w:qFormat/>
    <w:rsid w:val="00BC6B2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BC6B2B"/>
    <w:pPr>
      <w:spacing w:after="120"/>
      <w:ind w:left="1134" w:right="1134"/>
      <w:jc w:val="both"/>
    </w:pPr>
  </w:style>
  <w:style w:type="paragraph" w:customStyle="1" w:styleId="HMG">
    <w:name w:val="_ H __M_G"/>
    <w:basedOn w:val="Normal"/>
    <w:next w:val="Normal"/>
    <w:rsid w:val="00BC6B2B"/>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BC6B2B"/>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BC6B2B"/>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rsid w:val="00BC6B2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C6B2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character" w:styleId="CommentReference">
    <w:name w:val="annotation reference"/>
    <w:rsid w:val="00421D52"/>
    <w:rPr>
      <w:sz w:val="6"/>
    </w:rPr>
  </w:style>
  <w:style w:type="paragraph" w:styleId="CommentText">
    <w:name w:val="annotation text"/>
    <w:basedOn w:val="Normal"/>
    <w:link w:val="CommentTextChar"/>
    <w:rsid w:val="00421D52"/>
    <w:pPr>
      <w:suppressAutoHyphens/>
      <w:spacing w:after="0" w:line="240" w:lineRule="atLeast"/>
    </w:pPr>
  </w:style>
  <w:style w:type="character" w:customStyle="1" w:styleId="CommentTextChar">
    <w:name w:val="Comment Text Char"/>
    <w:basedOn w:val="DefaultParagraphFont"/>
    <w:link w:val="CommentText"/>
    <w:rsid w:val="00421D52"/>
  </w:style>
  <w:style w:type="character" w:customStyle="1" w:styleId="Caractresdenotedebasdepage">
    <w:name w:val="Caractères de note de bas de page"/>
    <w:rsid w:val="000138FA"/>
    <w:rPr>
      <w:rFonts w:ascii="Times New Roman" w:hAnsi="Times New Roman" w:cs="Times New Roman"/>
      <w:sz w:val="18"/>
      <w:vertAlign w:val="superscript"/>
    </w:rPr>
  </w:style>
  <w:style w:type="character" w:customStyle="1" w:styleId="Appelnotedebasdep1">
    <w:name w:val="Appel note de bas de p.1"/>
    <w:rsid w:val="000138FA"/>
    <w:rPr>
      <w:vertAlign w:val="superscript"/>
    </w:rPr>
  </w:style>
  <w:style w:type="paragraph" w:customStyle="1" w:styleId="BodyTextIndent31">
    <w:name w:val="Body Text Indent 31"/>
    <w:basedOn w:val="Normal"/>
    <w:rsid w:val="000138FA"/>
    <w:pPr>
      <w:suppressAutoHyphens/>
      <w:spacing w:after="120" w:line="240" w:lineRule="atLeast"/>
      <w:ind w:left="283"/>
    </w:pPr>
    <w:rPr>
      <w:sz w:val="16"/>
      <w:szCs w:val="16"/>
      <w:lang w:eastAsia="zh-CN"/>
    </w:rPr>
  </w:style>
  <w:style w:type="character" w:customStyle="1" w:styleId="H23GChar">
    <w:name w:val="_ H_2/3_G Char"/>
    <w:link w:val="H23G"/>
    <w:rsid w:val="00331E6E"/>
    <w:rPr>
      <w:b/>
      <w:lang w:val="en-GB" w:eastAsia="en-US"/>
    </w:rPr>
  </w:style>
  <w:style w:type="character" w:customStyle="1" w:styleId="FootnoteTextChar">
    <w:name w:val="Footnote Text Char"/>
    <w:aliases w:val="5_G Char"/>
    <w:link w:val="FootnoteText"/>
    <w:rsid w:val="00331E6E"/>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7D8D-9AE4-44DA-8C28-AC06F7B1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3</cp:revision>
  <cp:lastPrinted>2015-09-11T06:43:00Z</cp:lastPrinted>
  <dcterms:created xsi:type="dcterms:W3CDTF">2015-09-11T06:44:00Z</dcterms:created>
  <dcterms:modified xsi:type="dcterms:W3CDTF">2015-09-11T06:44:00Z</dcterms:modified>
</cp:coreProperties>
</file>