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F468BA">
      <w:pPr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F468BA">
        <w:rPr>
          <w:b/>
          <w:szCs w:val="24"/>
        </w:rPr>
        <w:tab/>
      </w:r>
      <w:r w:rsidR="00F468BA">
        <w:rPr>
          <w:b/>
          <w:szCs w:val="24"/>
        </w:rPr>
        <w:tab/>
      </w:r>
      <w:r w:rsidR="00F468BA">
        <w:rPr>
          <w:b/>
          <w:szCs w:val="24"/>
        </w:rPr>
        <w:tab/>
      </w:r>
      <w:r w:rsidR="00F468BA">
        <w:rPr>
          <w:b/>
          <w:szCs w:val="24"/>
        </w:rPr>
        <w:tab/>
      </w:r>
      <w:r w:rsidR="00444B4A">
        <w:rPr>
          <w:b/>
        </w:rPr>
        <w:t>8</w:t>
      </w:r>
      <w:r w:rsidR="00234C7E">
        <w:rPr>
          <w:b/>
        </w:rPr>
        <w:t xml:space="preserve"> September </w:t>
      </w:r>
      <w:r w:rsidR="00FA3269">
        <w:rPr>
          <w:b/>
        </w:rPr>
        <w:t>201</w:t>
      </w:r>
      <w:r w:rsidR="00FA28CC">
        <w:rPr>
          <w:b/>
        </w:rPr>
        <w:t>5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BF28AC" w:rsidRDefault="00097793" w:rsidP="00BF28AC">
      <w:pPr>
        <w:spacing w:before="120" w:after="12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FA3269">
        <w:t>5</w:t>
      </w:r>
      <w:r w:rsidR="00DC584A" w:rsidRPr="00560572">
        <w:t>–</w:t>
      </w:r>
      <w:r w:rsidR="00FA28CC">
        <w:t>25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FA28CC">
        <w:t>5</w:t>
      </w:r>
      <w:r w:rsidR="00215A1B" w:rsidRPr="00560572">
        <w:br/>
        <w:t xml:space="preserve">Item </w:t>
      </w:r>
      <w:r w:rsidR="00234C7E">
        <w:t>3 (b)</w:t>
      </w:r>
      <w:r w:rsidR="00215A1B" w:rsidRPr="00560572">
        <w:t xml:space="preserve"> of the provisional agenda</w:t>
      </w:r>
      <w:r w:rsidR="00215A1B" w:rsidRPr="00560572">
        <w:br/>
      </w:r>
      <w:r w:rsidR="00234C7E">
        <w:rPr>
          <w:b/>
        </w:rPr>
        <w:t>Proposals for amendments to RID/ADR/A</w:t>
      </w:r>
      <w:r w:rsidR="008361B2">
        <w:rPr>
          <w:b/>
        </w:rPr>
        <w:t>D</w:t>
      </w:r>
      <w:r w:rsidR="008C5573">
        <w:rPr>
          <w:b/>
        </w:rPr>
        <w:t>N</w:t>
      </w:r>
      <w:proofErr w:type="gramStart"/>
      <w:r w:rsidR="008C5573">
        <w:rPr>
          <w:b/>
        </w:rPr>
        <w:t>:</w:t>
      </w:r>
      <w:proofErr w:type="gramEnd"/>
      <w:r w:rsidR="008C5573">
        <w:rPr>
          <w:b/>
        </w:rPr>
        <w:br/>
        <w:t>n</w:t>
      </w:r>
      <w:r w:rsidR="00234C7E">
        <w:rPr>
          <w:b/>
        </w:rPr>
        <w:t>ew proposals</w:t>
      </w:r>
    </w:p>
    <w:p w:rsidR="006121AF" w:rsidRDefault="00234C7E" w:rsidP="006121AF">
      <w:pPr>
        <w:pStyle w:val="HChG"/>
      </w:pPr>
      <w:r>
        <w:tab/>
      </w:r>
      <w:r>
        <w:tab/>
      </w:r>
      <w:r w:rsidR="00D36F7F">
        <w:t xml:space="preserve">Comments </w:t>
      </w:r>
      <w:r w:rsidR="00C61ADD">
        <w:t>related to</w:t>
      </w:r>
      <w:r w:rsidR="00D36F7F">
        <w:t xml:space="preserve"> </w:t>
      </w:r>
      <w:r w:rsidR="008361B2">
        <w:t xml:space="preserve">document 2015/35 submitted by the Government of Romania </w:t>
      </w:r>
      <w:r w:rsidR="008361B2">
        <w:br/>
        <w:t>A</w:t>
      </w:r>
      <w:r w:rsidR="00D36F7F">
        <w:t>mendments to section 5.4.3 Instructions in writing in RID/ADR/AD</w:t>
      </w:r>
      <w:r w:rsidR="008361B2">
        <w:t>N</w:t>
      </w:r>
    </w:p>
    <w:p w:rsidR="006121AF" w:rsidRPr="005124CC" w:rsidRDefault="006121AF" w:rsidP="006121AF">
      <w:pPr>
        <w:pStyle w:val="H1G"/>
      </w:pPr>
      <w:r>
        <w:tab/>
      </w:r>
      <w:r>
        <w:tab/>
      </w:r>
      <w:r w:rsidRPr="00A66E8A">
        <w:t xml:space="preserve">Transmitted by the </w:t>
      </w:r>
      <w:r>
        <w:t>G</w:t>
      </w:r>
      <w:bookmarkStart w:id="0" w:name="_GoBack"/>
      <w:bookmarkEnd w:id="0"/>
      <w:r>
        <w:t xml:space="preserve">overnment of </w:t>
      </w:r>
      <w:r w:rsidR="00D36F7F">
        <w:t>Sweden</w:t>
      </w:r>
    </w:p>
    <w:p w:rsidR="006121AF" w:rsidRDefault="006121AF" w:rsidP="006121AF">
      <w:pPr>
        <w:pStyle w:val="HChG"/>
      </w:pPr>
      <w:r>
        <w:tab/>
      </w:r>
      <w:r>
        <w:tab/>
        <w:t>Summary</w:t>
      </w:r>
    </w:p>
    <w:p w:rsidR="00D36F7F" w:rsidRDefault="00D36F7F" w:rsidP="006121AF">
      <w:pPr>
        <w:pStyle w:val="SingleTxtG"/>
        <w:tabs>
          <w:tab w:val="num" w:pos="1854"/>
        </w:tabs>
      </w:pPr>
      <w:r>
        <w:t xml:space="preserve">Sweden </w:t>
      </w:r>
      <w:r w:rsidR="005C63E0">
        <w:t>appreciates</w:t>
      </w:r>
      <w:r>
        <w:t xml:space="preserve"> the work carried out by R</w:t>
      </w:r>
      <w:r w:rsidR="00CC4FF5">
        <w:t>o</w:t>
      </w:r>
      <w:r>
        <w:t xml:space="preserve">mania </w:t>
      </w:r>
      <w:r w:rsidR="00F87C2D">
        <w:t xml:space="preserve">presented </w:t>
      </w:r>
      <w:r>
        <w:t>in their document 2015/35. We support some of the proposals while we would like to propose an alternative solution to some others.</w:t>
      </w:r>
    </w:p>
    <w:p w:rsidR="00D36F7F" w:rsidRDefault="00D36F7F" w:rsidP="006121AF">
      <w:pPr>
        <w:pStyle w:val="SingleTxtG"/>
        <w:tabs>
          <w:tab w:val="num" w:pos="1854"/>
        </w:tabs>
      </w:pPr>
      <w:r>
        <w:t xml:space="preserve">During the years </w:t>
      </w:r>
      <w:r w:rsidR="00761B35">
        <w:t xml:space="preserve">when </w:t>
      </w:r>
      <w:r>
        <w:t xml:space="preserve">the written instructions have been in force, we have </w:t>
      </w:r>
      <w:r w:rsidR="00B64BE9">
        <w:t>received</w:t>
      </w:r>
      <w:r>
        <w:t xml:space="preserve"> a number of questions concerning the content in this four page model. Many </w:t>
      </w:r>
      <w:r w:rsidR="00232AB8">
        <w:t>carriers</w:t>
      </w:r>
      <w:r>
        <w:t xml:space="preserve"> would like to adapt the information in order to </w:t>
      </w:r>
      <w:r w:rsidR="00232AB8">
        <w:t>obtain</w:t>
      </w:r>
      <w:r w:rsidR="002A1216">
        <w:t xml:space="preserve"> </w:t>
      </w:r>
      <w:r>
        <w:t xml:space="preserve">instructions more </w:t>
      </w:r>
      <w:r w:rsidR="00F87C2D">
        <w:t xml:space="preserve">accurate and </w:t>
      </w:r>
      <w:r>
        <w:t>direct</w:t>
      </w:r>
      <w:r w:rsidR="005C63E0">
        <w:t xml:space="preserve">ly connected to the substance being carried. </w:t>
      </w:r>
      <w:r w:rsidR="00886E3F">
        <w:t>A</w:t>
      </w:r>
      <w:r w:rsidR="005C63E0">
        <w:t>lso</w:t>
      </w:r>
      <w:r w:rsidR="00886E3F">
        <w:t>, the possibility to</w:t>
      </w:r>
      <w:r w:rsidR="005C63E0">
        <w:t xml:space="preserve"> insert </w:t>
      </w:r>
      <w:r w:rsidR="0098116B">
        <w:t>optional</w:t>
      </w:r>
      <w:r w:rsidR="00F87C2D">
        <w:t xml:space="preserve"> </w:t>
      </w:r>
      <w:r w:rsidR="005C63E0">
        <w:t xml:space="preserve">information related to the transport such as emergency </w:t>
      </w:r>
      <w:r w:rsidR="002A1216">
        <w:t xml:space="preserve">telephone </w:t>
      </w:r>
      <w:r w:rsidR="005C63E0">
        <w:t>numbers, contact information to safety adviser</w:t>
      </w:r>
      <w:r w:rsidR="0098116B">
        <w:t>s, additional equipment required by the carrier</w:t>
      </w:r>
      <w:r w:rsidR="005C63E0">
        <w:t xml:space="preserve"> </w:t>
      </w:r>
      <w:r w:rsidR="00F87C2D">
        <w:t>etc</w:t>
      </w:r>
      <w:r w:rsidR="000D227A">
        <w:t>.</w:t>
      </w:r>
      <w:r w:rsidR="00886E3F">
        <w:t>, has been requested.</w:t>
      </w:r>
    </w:p>
    <w:p w:rsidR="00B64BE9" w:rsidRDefault="00B64BE9" w:rsidP="006121AF">
      <w:pPr>
        <w:pStyle w:val="SingleTxtG"/>
        <w:tabs>
          <w:tab w:val="num" w:pos="1854"/>
        </w:tabs>
      </w:pPr>
      <w:r>
        <w:t>Furthermore, we have also received a request whether it would be possible to include a reference to 8.1.4 concerning fire extinguishers in order to have a</w:t>
      </w:r>
      <w:r w:rsidR="000D227A">
        <w:t xml:space="preserve"> more</w:t>
      </w:r>
      <w:r>
        <w:t xml:space="preserve"> complete </w:t>
      </w:r>
      <w:r w:rsidR="000D227A">
        <w:t>list</w:t>
      </w:r>
      <w:r>
        <w:t xml:space="preserve"> of what equipment that is actually required. This seems relevant since the fire extinguishers are clearly referred to in the list of actions to be taken </w:t>
      </w:r>
      <w:r w:rsidR="00E04A4D">
        <w:t>on</w:t>
      </w:r>
      <w:r>
        <w:t xml:space="preserve"> the first page of the instructions in writing.</w:t>
      </w:r>
    </w:p>
    <w:p w:rsidR="005C63E0" w:rsidRDefault="00F87C2D" w:rsidP="00CC4FF5">
      <w:pPr>
        <w:pStyle w:val="SingleTxtG"/>
        <w:tabs>
          <w:tab w:val="num" w:pos="1854"/>
        </w:tabs>
      </w:pPr>
      <w:r>
        <w:t>However</w:t>
      </w:r>
      <w:r w:rsidR="005C63E0">
        <w:t xml:space="preserve">, since ADR does not allow </w:t>
      </w:r>
      <w:r w:rsidR="002A1216">
        <w:t xml:space="preserve">for </w:t>
      </w:r>
      <w:r w:rsidR="0098116B">
        <w:t xml:space="preserve">any </w:t>
      </w:r>
      <w:r w:rsidR="005C63E0">
        <w:t>deviations from the four page model it is not possible to insert additional information even if it would improve the level of safety</w:t>
      </w:r>
      <w:r w:rsidR="0098116B">
        <w:t>.</w:t>
      </w:r>
      <w:r w:rsidR="005C63E0">
        <w:t xml:space="preserve"> </w:t>
      </w:r>
      <w:r w:rsidR="0098116B">
        <w:t xml:space="preserve">When the instructions in writing first came into force, the </w:t>
      </w:r>
      <w:r w:rsidR="005C63E0">
        <w:t xml:space="preserve">intention </w:t>
      </w:r>
      <w:r w:rsidR="0098116B">
        <w:t xml:space="preserve">was that </w:t>
      </w:r>
      <w:r w:rsidR="005C63E0">
        <w:t xml:space="preserve">these </w:t>
      </w:r>
      <w:r w:rsidR="0098116B">
        <w:t xml:space="preserve">should be </w:t>
      </w:r>
      <w:r w:rsidR="002A1216">
        <w:t>relatively</w:t>
      </w:r>
      <w:r w:rsidR="0098116B">
        <w:t xml:space="preserve"> intact and</w:t>
      </w:r>
      <w:r w:rsidR="000318DF">
        <w:t>,</w:t>
      </w:r>
      <w:r w:rsidR="0098116B">
        <w:t xml:space="preserve"> thus</w:t>
      </w:r>
      <w:r w:rsidR="000318DF">
        <w:t>,</w:t>
      </w:r>
      <w:r w:rsidR="0098116B">
        <w:t xml:space="preserve"> b</w:t>
      </w:r>
      <w:r w:rsidR="005C63E0">
        <w:t xml:space="preserve">e </w:t>
      </w:r>
      <w:r w:rsidR="0098116B">
        <w:t xml:space="preserve">able to </w:t>
      </w:r>
      <w:r w:rsidR="005C63E0">
        <w:t>use</w:t>
      </w:r>
      <w:r w:rsidR="0098116B">
        <w:t xml:space="preserve"> over a long period of time</w:t>
      </w:r>
      <w:r w:rsidR="005C63E0">
        <w:t>.</w:t>
      </w:r>
      <w:r>
        <w:t xml:space="preserve"> </w:t>
      </w:r>
      <w:r w:rsidR="0098116B">
        <w:t xml:space="preserve">However, since amendments continuously have been made to these instructions this has not been achieved. </w:t>
      </w:r>
      <w:r>
        <w:t xml:space="preserve">It is of course important to make amendments </w:t>
      </w:r>
      <w:r w:rsidR="00E04A4D">
        <w:t>when</w:t>
      </w:r>
      <w:r>
        <w:t xml:space="preserve"> improv</w:t>
      </w:r>
      <w:r w:rsidR="0098116B">
        <w:t xml:space="preserve">ements </w:t>
      </w:r>
      <w:r w:rsidR="00E04A4D">
        <w:t>are necessary</w:t>
      </w:r>
      <w:r>
        <w:t xml:space="preserve">, but it would be of </w:t>
      </w:r>
      <w:r w:rsidR="0098116B">
        <w:t>advantage</w:t>
      </w:r>
      <w:r>
        <w:t xml:space="preserve"> if we could find a way to make the instructions in writing more independent o</w:t>
      </w:r>
      <w:r w:rsidR="00E04A4D">
        <w:t>f</w:t>
      </w:r>
      <w:r w:rsidR="00CC4FF5">
        <w:t xml:space="preserve"> adjustments in</w:t>
      </w:r>
      <w:r>
        <w:t xml:space="preserve"> </w:t>
      </w:r>
      <w:r w:rsidR="0098116B">
        <w:t xml:space="preserve">certain </w:t>
      </w:r>
      <w:r w:rsidR="00CC4FF5">
        <w:t>d</w:t>
      </w:r>
      <w:r>
        <w:t>etails</w:t>
      </w:r>
      <w:r w:rsidR="00CC4FF5">
        <w:t>,</w:t>
      </w:r>
      <w:r>
        <w:t xml:space="preserve"> e.g. </w:t>
      </w:r>
      <w:r w:rsidR="00CC4FF5">
        <w:t>concerning required</w:t>
      </w:r>
      <w:r>
        <w:t xml:space="preserve"> equipment.</w:t>
      </w:r>
    </w:p>
    <w:p w:rsidR="00F87C2D" w:rsidRDefault="00F87C2D" w:rsidP="006121AF">
      <w:pPr>
        <w:pStyle w:val="SingleTxtG"/>
        <w:tabs>
          <w:tab w:val="num" w:pos="1854"/>
        </w:tabs>
      </w:pPr>
      <w:r>
        <w:t xml:space="preserve">The list of equipment in the instructions is only a reproduction of what is required in 8.1.5. Since </w:t>
      </w:r>
      <w:r w:rsidR="000318DF">
        <w:t>the</w:t>
      </w:r>
      <w:r>
        <w:t xml:space="preserve"> equipment depends on what kind of substance </w:t>
      </w:r>
      <w:r>
        <w:lastRenderedPageBreak/>
        <w:t xml:space="preserve">that is being carried, some of the listed equipment may not be relevant </w:t>
      </w:r>
      <w:r w:rsidR="0098116B">
        <w:t xml:space="preserve">for a transport </w:t>
      </w:r>
      <w:r>
        <w:t>and</w:t>
      </w:r>
      <w:r w:rsidR="00E04A4D">
        <w:t xml:space="preserve"> are</w:t>
      </w:r>
      <w:r>
        <w:t xml:space="preserve">, subsequently, </w:t>
      </w:r>
      <w:r w:rsidR="002A1216">
        <w:t>superfluous</w:t>
      </w:r>
      <w:r>
        <w:t xml:space="preserve"> information in the instructions i</w:t>
      </w:r>
      <w:r w:rsidR="00CC4FF5">
        <w:t xml:space="preserve">n writing. Instead, it would be </w:t>
      </w:r>
      <w:r w:rsidR="002A1216">
        <w:t>beneficial</w:t>
      </w:r>
      <w:r w:rsidR="00CC4FF5">
        <w:t xml:space="preserve"> </w:t>
      </w:r>
      <w:r w:rsidR="002A1216">
        <w:t>enabling</w:t>
      </w:r>
      <w:r w:rsidR="00381042">
        <w:t xml:space="preserve"> for carriers to </w:t>
      </w:r>
      <w:r w:rsidR="00CC4FF5">
        <w:t>complement the</w:t>
      </w:r>
      <w:r w:rsidR="00381042">
        <w:t>ir</w:t>
      </w:r>
      <w:r w:rsidR="00CC4FF5">
        <w:t xml:space="preserve"> instructions with information th</w:t>
      </w:r>
      <w:r w:rsidR="00381042">
        <w:t>ey find helpful.</w:t>
      </w:r>
    </w:p>
    <w:p w:rsidR="00381042" w:rsidRDefault="00381042" w:rsidP="00B64BE9">
      <w:pPr>
        <w:pStyle w:val="SingleTxtG"/>
        <w:tabs>
          <w:tab w:val="num" w:pos="1854"/>
        </w:tabs>
      </w:pPr>
      <w:r>
        <w:t xml:space="preserve">In order to make the instructions in writing </w:t>
      </w:r>
      <w:r w:rsidR="00E04A4D">
        <w:t>more permanent</w:t>
      </w:r>
      <w:r>
        <w:t>, and to enable for carriers to adapt the information in these, Sweden proposes to</w:t>
      </w:r>
      <w:r w:rsidR="0098116B">
        <w:t xml:space="preserve"> amend the last pa</w:t>
      </w:r>
      <w:r w:rsidR="002A1216">
        <w:t>ge</w:t>
      </w:r>
      <w:r w:rsidR="0098116B">
        <w:t xml:space="preserve"> of the instructions</w:t>
      </w:r>
      <w:r w:rsidR="002A1216">
        <w:t>,</w:t>
      </w:r>
      <w:r w:rsidR="0098116B">
        <w:t xml:space="preserve"> listing the equipment. Since</w:t>
      </w:r>
      <w:r>
        <w:t xml:space="preserve"> </w:t>
      </w:r>
      <w:r w:rsidR="0098116B">
        <w:t>RID do</w:t>
      </w:r>
      <w:r w:rsidR="00E04A4D">
        <w:t>es</w:t>
      </w:r>
      <w:r w:rsidR="0098116B">
        <w:t xml:space="preserve"> allow for some adjustments in the instructions in writing</w:t>
      </w:r>
      <w:r w:rsidR="00B64BE9">
        <w:t xml:space="preserve">, </w:t>
      </w:r>
      <w:r w:rsidR="000318DF">
        <w:t xml:space="preserve">two separate </w:t>
      </w:r>
      <w:r w:rsidR="00B64BE9">
        <w:t>solutions</w:t>
      </w:r>
      <w:r w:rsidR="000318DF">
        <w:t xml:space="preserve"> are proposed</w:t>
      </w:r>
      <w:r w:rsidR="00B64BE9">
        <w:t>.</w:t>
      </w:r>
    </w:p>
    <w:p w:rsidR="00381042" w:rsidRDefault="00B64BE9" w:rsidP="00B64BE9">
      <w:pPr>
        <w:pStyle w:val="HChG"/>
      </w:pPr>
      <w:r>
        <w:tab/>
      </w:r>
      <w:r>
        <w:tab/>
      </w:r>
      <w:r w:rsidR="00381042">
        <w:t>Proposal</w:t>
      </w:r>
      <w:r>
        <w:t>s</w:t>
      </w:r>
    </w:p>
    <w:p w:rsidR="002C2C61" w:rsidRDefault="00B64BE9" w:rsidP="008C5573">
      <w:pPr>
        <w:spacing w:after="0"/>
        <w:ind w:left="1134" w:right="1134"/>
      </w:pPr>
      <w:r>
        <w:t xml:space="preserve">Amend the last page of the instructions in writing </w:t>
      </w:r>
      <w:r w:rsidR="002C2C61">
        <w:t xml:space="preserve">for ADR </w:t>
      </w:r>
      <w:r w:rsidR="005A33AB">
        <w:t xml:space="preserve">(see annex for amendments in ADR with tracked changes) </w:t>
      </w:r>
      <w:r w:rsidR="002C2C61">
        <w:t>and RID respectively, to read as follows</w:t>
      </w:r>
      <w:r w:rsidR="005A33AB">
        <w:t xml:space="preserve"> (</w:t>
      </w:r>
      <w:r w:rsidR="005A33AB" w:rsidRPr="00444B4A">
        <w:rPr>
          <w:u w:val="single"/>
        </w:rPr>
        <w:t>new text underlined</w:t>
      </w:r>
      <w:r w:rsidR="005A33AB">
        <w:t>)</w:t>
      </w:r>
      <w:r w:rsidR="002C2C61">
        <w:t>:</w:t>
      </w:r>
    </w:p>
    <w:p w:rsidR="002C2C61" w:rsidRDefault="002C2C61" w:rsidP="002C2C61">
      <w:pPr>
        <w:spacing w:after="0"/>
      </w:pPr>
    </w:p>
    <w:p w:rsidR="002C2C61" w:rsidRDefault="002C2C61">
      <w:pPr>
        <w:spacing w:after="0"/>
      </w:pPr>
      <w:r>
        <w:br w:type="page"/>
      </w:r>
    </w:p>
    <w:p w:rsidR="00B64BE9" w:rsidRDefault="002C2C61" w:rsidP="00F468BA">
      <w:pPr>
        <w:spacing w:after="0"/>
        <w:ind w:left="567" w:firstLine="567"/>
      </w:pPr>
      <w:r>
        <w:lastRenderedPageBreak/>
        <w:t>ADR</w:t>
      </w:r>
      <w:r w:rsidR="005A33AB">
        <w:t xml:space="preserve"> (page 4</w:t>
      </w:r>
      <w:r w:rsidR="002A1216">
        <w:t>,</w:t>
      </w:r>
      <w:r w:rsidR="005A33AB">
        <w:t xml:space="preserve"> instructions in writing)</w:t>
      </w:r>
    </w:p>
    <w:p w:rsidR="00444B4A" w:rsidRDefault="00444B4A" w:rsidP="002C2C61">
      <w:pPr>
        <w:spacing w:after="0"/>
      </w:pPr>
    </w:p>
    <w:p w:rsidR="002C2C61" w:rsidRDefault="002C2C61" w:rsidP="002C2C61">
      <w:pPr>
        <w:spacing w:after="0"/>
      </w:pP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7"/>
        <w:gridCol w:w="2881"/>
        <w:gridCol w:w="3355"/>
      </w:tblGrid>
      <w:tr w:rsidR="00B64BE9" w:rsidRPr="00C055E4" w:rsidTr="002C2C61">
        <w:trPr>
          <w:trHeight w:val="691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 w:type="column"/>
            </w:r>
            <w:r w:rsidRPr="00C055E4">
              <w:rPr>
                <w:b/>
                <w:sz w:val="16"/>
                <w:szCs w:val="16"/>
              </w:rPr>
              <w:br w:type="column"/>
            </w:r>
            <w:r w:rsidRPr="00C055E4">
              <w:rPr>
                <w:sz w:val="16"/>
                <w:szCs w:val="16"/>
              </w:rPr>
              <w:br w:type="page"/>
            </w:r>
            <w:r w:rsidRPr="00C055E4">
              <w:rPr>
                <w:sz w:val="16"/>
                <w:szCs w:val="16"/>
              </w:rPr>
              <w:br w:type="page"/>
            </w:r>
            <w:r w:rsidRPr="00C055E4">
              <w:rPr>
                <w:b/>
                <w:bCs/>
                <w:sz w:val="16"/>
                <w:szCs w:val="16"/>
              </w:rPr>
              <w:t>Additional guidance to members of the vehicle crew on the hazard characteristics of</w:t>
            </w:r>
          </w:p>
          <w:p w:rsidR="00B64BE9" w:rsidRPr="00C055E4" w:rsidRDefault="00B64BE9" w:rsidP="00042DED">
            <w:pPr>
              <w:keepNext/>
              <w:tabs>
                <w:tab w:val="left" w:pos="1418"/>
              </w:tabs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 xml:space="preserve"> dangerous goods, indicated by marks, and on actions subject to prevailing circumstances</w:t>
            </w:r>
          </w:p>
        </w:tc>
      </w:tr>
      <w:tr w:rsidR="00B64BE9" w:rsidRPr="00C055E4" w:rsidTr="002C2C61">
        <w:trPr>
          <w:trHeight w:val="34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Mark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Hazard characteristics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Additional guidance</w:t>
            </w:r>
          </w:p>
        </w:tc>
      </w:tr>
      <w:tr w:rsidR="00B64BE9" w:rsidRPr="00C055E4" w:rsidTr="002C2C61">
        <w:trPr>
          <w:trHeight w:val="34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(3)</w:t>
            </w:r>
          </w:p>
        </w:tc>
      </w:tr>
      <w:tr w:rsidR="00B64BE9" w:rsidRPr="00C055E4" w:rsidTr="002C2C61">
        <w:trPr>
          <w:trHeight w:val="9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E9" w:rsidRPr="002F5D51" w:rsidRDefault="00B64BE9" w:rsidP="00042DED">
            <w:pPr>
              <w:keepNext/>
              <w:tabs>
                <w:tab w:val="left" w:pos="1418"/>
              </w:tabs>
              <w:jc w:val="center"/>
              <w:rPr>
                <w:bCs/>
                <w:noProof/>
                <w:color w:val="000000"/>
                <w:sz w:val="12"/>
                <w:szCs w:val="12"/>
              </w:rPr>
            </w:pPr>
          </w:p>
          <w:p w:rsidR="00B64BE9" w:rsidRPr="002F5D51" w:rsidRDefault="00B64BE9" w:rsidP="00042DED">
            <w:pPr>
              <w:keepNext/>
              <w:tabs>
                <w:tab w:val="left" w:pos="1418"/>
              </w:tabs>
              <w:jc w:val="center"/>
              <w:rPr>
                <w:bCs/>
                <w:noProof/>
                <w:color w:val="000000"/>
                <w:sz w:val="12"/>
                <w:szCs w:val="12"/>
              </w:rPr>
            </w:pPr>
          </w:p>
          <w:p w:rsidR="00B64BE9" w:rsidRPr="00C055E4" w:rsidRDefault="00B64BE9" w:rsidP="00042DED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469265" cy="469265"/>
                  <wp:effectExtent l="0" t="0" r="6985" b="6985"/>
                  <wp:docPr id="2" name="Bildobjekt 2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BE9" w:rsidRPr="00C055E4" w:rsidRDefault="00B64BE9" w:rsidP="00042DED">
            <w:pPr>
              <w:keepNext/>
              <w:tabs>
                <w:tab w:val="left" w:pos="1418"/>
              </w:tabs>
              <w:spacing w:before="60"/>
              <w:jc w:val="center"/>
              <w:rPr>
                <w:sz w:val="16"/>
                <w:szCs w:val="16"/>
              </w:rPr>
            </w:pPr>
            <w:r w:rsidRPr="00C055E4">
              <w:rPr>
                <w:sz w:val="16"/>
                <w:szCs w:val="16"/>
                <w:lang w:val="en-US"/>
              </w:rPr>
              <w:t>Environmentally hazardous substances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rPr>
                <w:bCs/>
                <w:sz w:val="16"/>
                <w:szCs w:val="16"/>
              </w:rPr>
            </w:pPr>
            <w:r w:rsidRPr="00C055E4">
              <w:rPr>
                <w:sz w:val="16"/>
                <w:szCs w:val="16"/>
              </w:rPr>
              <w:t>Risk to the aquatic environment or the sewerage system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E9" w:rsidRPr="00C055E4" w:rsidRDefault="00B64BE9" w:rsidP="00042DED">
            <w:pPr>
              <w:keepNext/>
              <w:tabs>
                <w:tab w:val="left" w:pos="1418"/>
              </w:tabs>
              <w:rPr>
                <w:bCs/>
                <w:sz w:val="16"/>
                <w:szCs w:val="16"/>
              </w:rPr>
            </w:pPr>
          </w:p>
        </w:tc>
      </w:tr>
      <w:tr w:rsidR="00B64BE9" w:rsidRPr="00C055E4" w:rsidTr="002C2C61">
        <w:trPr>
          <w:trHeight w:val="11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E9" w:rsidRPr="00C055E4" w:rsidRDefault="00B64BE9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B64BE9" w:rsidRPr="00C055E4" w:rsidRDefault="00B64BE9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635</wp:posOffset>
                  </wp:positionV>
                  <wp:extent cx="504190" cy="43942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BE9" w:rsidRDefault="00B64BE9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B64BE9" w:rsidRPr="00C055E4" w:rsidRDefault="00B64BE9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B64BE9" w:rsidRPr="00C055E4" w:rsidRDefault="00B64BE9" w:rsidP="00042DED">
            <w:pPr>
              <w:tabs>
                <w:tab w:val="left" w:pos="1418"/>
              </w:tabs>
              <w:spacing w:before="12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  <w:r w:rsidRPr="00C055E4">
              <w:rPr>
                <w:bCs/>
                <w:sz w:val="16"/>
                <w:szCs w:val="16"/>
                <w:lang w:val="en-US"/>
              </w:rPr>
              <w:t xml:space="preserve">Elevated </w:t>
            </w:r>
            <w:r w:rsidRPr="00C055E4">
              <w:rPr>
                <w:sz w:val="16"/>
                <w:szCs w:val="16"/>
                <w:lang w:val="en-US"/>
              </w:rPr>
              <w:t>temperature</w:t>
            </w:r>
            <w:r w:rsidRPr="00C055E4">
              <w:rPr>
                <w:bCs/>
                <w:sz w:val="16"/>
                <w:szCs w:val="16"/>
                <w:lang w:val="en-US"/>
              </w:rPr>
              <w:t xml:space="preserve"> substances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9" w:rsidRPr="00C055E4" w:rsidRDefault="00B64BE9" w:rsidP="00042DED">
            <w:pPr>
              <w:tabs>
                <w:tab w:val="left" w:pos="1418"/>
              </w:tabs>
              <w:spacing w:after="40"/>
              <w:rPr>
                <w:bCs/>
                <w:sz w:val="16"/>
                <w:szCs w:val="16"/>
              </w:rPr>
            </w:pPr>
            <w:r w:rsidRPr="00C055E4">
              <w:rPr>
                <w:sz w:val="16"/>
                <w:szCs w:val="16"/>
              </w:rPr>
              <w:t>Risk of burns by heat.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9" w:rsidRPr="00C055E4" w:rsidRDefault="00B64BE9" w:rsidP="00042DED">
            <w:pPr>
              <w:tabs>
                <w:tab w:val="left" w:pos="1418"/>
              </w:tabs>
              <w:spacing w:after="40"/>
              <w:rPr>
                <w:bCs/>
                <w:sz w:val="16"/>
                <w:szCs w:val="16"/>
              </w:rPr>
            </w:pPr>
            <w:r w:rsidRPr="00C055E4">
              <w:rPr>
                <w:bCs/>
                <w:sz w:val="16"/>
                <w:szCs w:val="16"/>
              </w:rPr>
              <w:t>Avoid contact with hot parts of the transport unit and the spilled substance.</w:t>
            </w:r>
          </w:p>
        </w:tc>
      </w:tr>
    </w:tbl>
    <w:p w:rsidR="00444B4A" w:rsidRDefault="00F468BA" w:rsidP="008C5573">
      <w:pPr>
        <w:pStyle w:val="H23G"/>
      </w:pPr>
      <w:r>
        <w:tab/>
      </w:r>
      <w:r>
        <w:tab/>
      </w:r>
      <w:r w:rsidR="00444B4A" w:rsidRPr="00444B4A">
        <w:t>Proposal 1</w:t>
      </w:r>
    </w:p>
    <w:p w:rsidR="002C2C61" w:rsidRPr="005A33AB" w:rsidRDefault="002C2C61" w:rsidP="00F468BA">
      <w:pPr>
        <w:pStyle w:val="Titre3"/>
        <w:ind w:left="567" w:firstLine="567"/>
        <w:rPr>
          <w:b/>
          <w:bCs/>
          <w:u w:val="single"/>
        </w:rPr>
      </w:pPr>
      <w:r w:rsidRPr="005A33AB">
        <w:rPr>
          <w:b/>
          <w:bCs/>
          <w:u w:val="single"/>
        </w:rPr>
        <w:t>Equipment</w:t>
      </w:r>
    </w:p>
    <w:p w:rsidR="002C2C61" w:rsidRPr="005A33AB" w:rsidRDefault="002C2C61" w:rsidP="00F468BA">
      <w:pPr>
        <w:pStyle w:val="Titre3"/>
        <w:ind w:left="1134"/>
        <w:rPr>
          <w:u w:val="single"/>
        </w:rPr>
      </w:pPr>
      <w:r w:rsidRPr="005A33AB">
        <w:rPr>
          <w:bCs/>
          <w:u w:val="single"/>
        </w:rPr>
        <w:t xml:space="preserve">The provisions concerning </w:t>
      </w:r>
      <w:r w:rsidR="00444B4A">
        <w:rPr>
          <w:bCs/>
          <w:u w:val="single"/>
        </w:rPr>
        <w:t>[</w:t>
      </w:r>
      <w:r w:rsidRPr="005A33AB">
        <w:rPr>
          <w:bCs/>
          <w:u w:val="single"/>
        </w:rPr>
        <w:t>f</w:t>
      </w:r>
      <w:r w:rsidRPr="005A33AB">
        <w:rPr>
          <w:u w:val="single"/>
        </w:rPr>
        <w:t>ire-fighting equipment in 8.1.4 and</w:t>
      </w:r>
      <w:r w:rsidR="00444B4A">
        <w:rPr>
          <w:u w:val="single"/>
        </w:rPr>
        <w:t>]</w:t>
      </w:r>
      <w:r w:rsidRPr="005A33AB">
        <w:rPr>
          <w:u w:val="single"/>
        </w:rPr>
        <w:t xml:space="preserve"> miscellaneous equipment and equipment for personal protection in 8.1.5 shall be applied.</w:t>
      </w:r>
    </w:p>
    <w:p w:rsidR="00444B4A" w:rsidRPr="00444B4A" w:rsidRDefault="00444B4A" w:rsidP="00F468BA">
      <w:pPr>
        <w:pStyle w:val="H23G"/>
        <w:ind w:firstLine="0"/>
      </w:pPr>
      <w:r w:rsidRPr="00444B4A">
        <w:t>Proposal 2</w:t>
      </w:r>
    </w:p>
    <w:p w:rsidR="002C2C61" w:rsidRPr="005A33AB" w:rsidRDefault="002C2C61" w:rsidP="00F468BA">
      <w:pPr>
        <w:pStyle w:val="Titre3"/>
        <w:ind w:left="567" w:firstLine="567"/>
        <w:rPr>
          <w:rFonts w:cs="Arial"/>
          <w:b/>
          <w:bCs/>
          <w:u w:val="single"/>
        </w:rPr>
      </w:pPr>
      <w:r w:rsidRPr="005A33AB">
        <w:rPr>
          <w:rFonts w:cs="Arial"/>
          <w:b/>
          <w:bCs/>
          <w:u w:val="single"/>
        </w:rPr>
        <w:t>Information</w:t>
      </w:r>
    </w:p>
    <w:p w:rsidR="002C2C61" w:rsidRPr="005A33AB" w:rsidRDefault="002C2C61" w:rsidP="00F468BA">
      <w:pPr>
        <w:pStyle w:val="Corpsdetexte"/>
        <w:spacing w:after="0"/>
        <w:ind w:left="1134"/>
        <w:rPr>
          <w:rFonts w:cs="Arial"/>
          <w:bCs/>
          <w:sz w:val="20"/>
          <w:u w:val="single"/>
        </w:rPr>
      </w:pPr>
      <w:r w:rsidRPr="005A33AB">
        <w:rPr>
          <w:rFonts w:cs="Arial"/>
          <w:bCs/>
          <w:sz w:val="20"/>
          <w:u w:val="single"/>
        </w:rPr>
        <w:t xml:space="preserve">Optional information and notes </w:t>
      </w:r>
      <w:r w:rsidR="00444B4A">
        <w:rPr>
          <w:rFonts w:cs="Arial"/>
          <w:bCs/>
          <w:sz w:val="20"/>
          <w:u w:val="single"/>
        </w:rPr>
        <w:t xml:space="preserve">[related to the dangerous goods carried] </w:t>
      </w:r>
      <w:r w:rsidRPr="005A33AB">
        <w:rPr>
          <w:rFonts w:cs="Arial"/>
          <w:bCs/>
          <w:sz w:val="20"/>
          <w:u w:val="single"/>
        </w:rPr>
        <w:t>may be inserted below:</w:t>
      </w:r>
    </w:p>
    <w:p w:rsidR="002C2C61" w:rsidRDefault="002C2C61">
      <w:pPr>
        <w:spacing w:after="0"/>
      </w:pPr>
      <w:r>
        <w:br w:type="page"/>
      </w:r>
    </w:p>
    <w:p w:rsidR="005C63E0" w:rsidRDefault="002C2C61" w:rsidP="006121AF">
      <w:pPr>
        <w:pStyle w:val="SingleTxtG"/>
        <w:tabs>
          <w:tab w:val="num" w:pos="1854"/>
        </w:tabs>
      </w:pPr>
      <w:r>
        <w:lastRenderedPageBreak/>
        <w:t>RID</w:t>
      </w:r>
      <w:r w:rsidR="005A33AB">
        <w:t xml:space="preserve"> (page 4</w:t>
      </w:r>
      <w:r w:rsidR="002A1216">
        <w:t>,</w:t>
      </w:r>
      <w:r w:rsidR="005A33AB">
        <w:t xml:space="preserve"> instructions in writing)</w:t>
      </w:r>
      <w:r w:rsidR="00090D3E" w:rsidRPr="00090D3E">
        <w:t xml:space="preserve"> </w:t>
      </w:r>
    </w:p>
    <w:p w:rsidR="00444B4A" w:rsidRDefault="00090D3E" w:rsidP="006121AF">
      <w:pPr>
        <w:pStyle w:val="SingleTxtG"/>
        <w:tabs>
          <w:tab w:val="num" w:pos="1854"/>
        </w:tabs>
      </w:pPr>
      <w:r w:rsidRPr="00090D3E"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107315</wp:posOffset>
            </wp:positionV>
            <wp:extent cx="6076950" cy="3810000"/>
            <wp:effectExtent l="0" t="0" r="0" b="0"/>
            <wp:wrapThrough wrapText="bothSides">
              <wp:wrapPolygon edited="0">
                <wp:start x="2438" y="0"/>
                <wp:lineTo x="2438" y="21168"/>
                <wp:lineTo x="21532" y="21168"/>
                <wp:lineTo x="21532" y="0"/>
                <wp:lineTo x="2438" y="0"/>
              </wp:wrapPolygon>
            </wp:wrapThrough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808" w:rsidRDefault="000F6808" w:rsidP="000F6808">
      <w:pPr>
        <w:pStyle w:val="SingleTxtG"/>
        <w:tabs>
          <w:tab w:val="num" w:pos="1854"/>
        </w:tabs>
      </w:pPr>
    </w:p>
    <w:p w:rsidR="002C2C61" w:rsidRDefault="002C2C61" w:rsidP="002C2C61">
      <w:pPr>
        <w:pStyle w:val="Corpsdetexte"/>
        <w:spacing w:after="0"/>
        <w:ind w:left="567" w:firstLine="567"/>
        <w:rPr>
          <w:rFonts w:cs="Arial"/>
          <w:b/>
          <w:bCs/>
          <w:sz w:val="20"/>
        </w:rPr>
      </w:pPr>
    </w:p>
    <w:p w:rsidR="00444B4A" w:rsidRPr="00444B4A" w:rsidRDefault="00444B4A" w:rsidP="008C5573">
      <w:pPr>
        <w:pStyle w:val="H23G"/>
        <w:tabs>
          <w:tab w:val="clear" w:pos="851"/>
        </w:tabs>
        <w:ind w:firstLine="0"/>
      </w:pPr>
      <w:r w:rsidRPr="00444B4A">
        <w:t>Proposal 3</w:t>
      </w:r>
    </w:p>
    <w:p w:rsidR="002C2C61" w:rsidRPr="005A33AB" w:rsidRDefault="002C2C61" w:rsidP="008C5573">
      <w:pPr>
        <w:pStyle w:val="Titre3"/>
        <w:ind w:left="567" w:firstLine="567"/>
        <w:rPr>
          <w:rFonts w:cs="Arial"/>
          <w:b/>
          <w:bCs/>
          <w:u w:val="single"/>
        </w:rPr>
      </w:pPr>
      <w:r w:rsidRPr="005A33AB">
        <w:rPr>
          <w:rFonts w:cs="Arial"/>
          <w:b/>
          <w:bCs/>
          <w:u w:val="single"/>
        </w:rPr>
        <w:t>Information</w:t>
      </w:r>
    </w:p>
    <w:p w:rsidR="00444B4A" w:rsidRPr="005A33AB" w:rsidRDefault="00444B4A" w:rsidP="0015116A">
      <w:pPr>
        <w:pStyle w:val="Corpsdetexte"/>
        <w:spacing w:after="0"/>
        <w:ind w:left="1134"/>
        <w:rPr>
          <w:rFonts w:cs="Arial"/>
          <w:bCs/>
          <w:sz w:val="20"/>
          <w:u w:val="single"/>
        </w:rPr>
      </w:pPr>
      <w:r w:rsidRPr="005A33AB">
        <w:rPr>
          <w:rFonts w:cs="Arial"/>
          <w:bCs/>
          <w:sz w:val="20"/>
          <w:u w:val="single"/>
        </w:rPr>
        <w:t xml:space="preserve">Optional information and notes </w:t>
      </w:r>
      <w:r>
        <w:rPr>
          <w:rFonts w:cs="Arial"/>
          <w:bCs/>
          <w:sz w:val="20"/>
          <w:u w:val="single"/>
        </w:rPr>
        <w:t xml:space="preserve">[related to the dangerous goods carried] </w:t>
      </w:r>
      <w:r w:rsidRPr="005A33AB">
        <w:rPr>
          <w:rFonts w:cs="Arial"/>
          <w:bCs/>
          <w:sz w:val="20"/>
          <w:u w:val="single"/>
        </w:rPr>
        <w:t>may be inserted below:</w:t>
      </w: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2C2C61" w:rsidRDefault="002C2C61" w:rsidP="006121AF">
      <w:pPr>
        <w:pStyle w:val="SingleTxtG"/>
        <w:tabs>
          <w:tab w:val="num" w:pos="1854"/>
        </w:tabs>
      </w:pPr>
    </w:p>
    <w:p w:rsidR="005A33AB" w:rsidRDefault="005A33AB">
      <w:pPr>
        <w:spacing w:after="0"/>
      </w:pPr>
      <w:r>
        <w:br w:type="page"/>
      </w:r>
    </w:p>
    <w:p w:rsidR="002C2C61" w:rsidRPr="00DB0B24" w:rsidRDefault="008C5573" w:rsidP="008C5573">
      <w:pPr>
        <w:pStyle w:val="HChG"/>
      </w:pPr>
      <w:r>
        <w:lastRenderedPageBreak/>
        <w:tab/>
      </w:r>
      <w:r>
        <w:tab/>
      </w:r>
      <w:r w:rsidR="005A33AB" w:rsidRPr="00DB0B24">
        <w:t>Annex</w:t>
      </w:r>
    </w:p>
    <w:p w:rsidR="005A33AB" w:rsidRDefault="005A33AB" w:rsidP="006121AF">
      <w:pPr>
        <w:pStyle w:val="SingleTxtG"/>
        <w:tabs>
          <w:tab w:val="num" w:pos="1854"/>
        </w:tabs>
      </w:pPr>
      <w:proofErr w:type="gramStart"/>
      <w:r>
        <w:t>Proposed amendments in ADR.</w:t>
      </w:r>
      <w:proofErr w:type="gramEnd"/>
      <w:r>
        <w:t xml:space="preserve"> New text underlined, deleted text stricken out.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3109"/>
        <w:gridCol w:w="3620"/>
      </w:tblGrid>
      <w:tr w:rsidR="005A33AB" w:rsidRPr="00C055E4" w:rsidTr="00042D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 w:type="column"/>
            </w:r>
            <w:r w:rsidRPr="00C055E4">
              <w:rPr>
                <w:b/>
                <w:sz w:val="16"/>
                <w:szCs w:val="16"/>
              </w:rPr>
              <w:br w:type="column"/>
            </w:r>
            <w:r w:rsidRPr="00C055E4">
              <w:rPr>
                <w:sz w:val="16"/>
                <w:szCs w:val="16"/>
              </w:rPr>
              <w:br w:type="page"/>
            </w:r>
            <w:r w:rsidRPr="00C055E4">
              <w:rPr>
                <w:sz w:val="16"/>
                <w:szCs w:val="16"/>
              </w:rPr>
              <w:br w:type="page"/>
            </w:r>
            <w:r w:rsidRPr="00C055E4">
              <w:rPr>
                <w:b/>
                <w:bCs/>
                <w:sz w:val="16"/>
                <w:szCs w:val="16"/>
              </w:rPr>
              <w:t>Additional guidance to members of the vehicle crew on the hazard characteristics of</w:t>
            </w:r>
          </w:p>
          <w:p w:rsidR="005A33AB" w:rsidRPr="00C055E4" w:rsidRDefault="005A33AB" w:rsidP="00042DED">
            <w:pPr>
              <w:keepNext/>
              <w:tabs>
                <w:tab w:val="left" w:pos="1418"/>
              </w:tabs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 xml:space="preserve"> dangerous goods, indicated by marks, and on actions subject to prevailing circumstances</w:t>
            </w:r>
          </w:p>
        </w:tc>
      </w:tr>
      <w:tr w:rsidR="005A33AB" w:rsidRPr="00C055E4" w:rsidTr="00042DE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Mark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Hazard characteristics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Additional guidance</w:t>
            </w:r>
          </w:p>
        </w:tc>
      </w:tr>
      <w:tr w:rsidR="005A33AB" w:rsidRPr="00C055E4" w:rsidTr="00042DE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055E4">
              <w:rPr>
                <w:b/>
                <w:bCs/>
                <w:sz w:val="16"/>
                <w:szCs w:val="16"/>
              </w:rPr>
              <w:t>(3)</w:t>
            </w:r>
          </w:p>
        </w:tc>
      </w:tr>
      <w:tr w:rsidR="005A33AB" w:rsidRPr="00C055E4" w:rsidTr="00042DED">
        <w:trPr>
          <w:trHeight w:val="12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3AB" w:rsidRPr="002F5D51" w:rsidRDefault="005A33AB" w:rsidP="00042DED">
            <w:pPr>
              <w:keepNext/>
              <w:tabs>
                <w:tab w:val="left" w:pos="1418"/>
              </w:tabs>
              <w:jc w:val="center"/>
              <w:rPr>
                <w:bCs/>
                <w:noProof/>
                <w:color w:val="000000"/>
                <w:sz w:val="12"/>
                <w:szCs w:val="12"/>
              </w:rPr>
            </w:pPr>
          </w:p>
          <w:p w:rsidR="005A33AB" w:rsidRPr="002F5D51" w:rsidRDefault="005A33AB" w:rsidP="00042DED">
            <w:pPr>
              <w:keepNext/>
              <w:tabs>
                <w:tab w:val="left" w:pos="1418"/>
              </w:tabs>
              <w:jc w:val="center"/>
              <w:rPr>
                <w:bCs/>
                <w:noProof/>
                <w:color w:val="000000"/>
                <w:sz w:val="12"/>
                <w:szCs w:val="12"/>
              </w:rPr>
            </w:pPr>
          </w:p>
          <w:p w:rsidR="005A33AB" w:rsidRPr="00C055E4" w:rsidRDefault="005A33AB" w:rsidP="00042DED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bCs/>
                <w:noProof/>
                <w:color w:val="000000"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469265" cy="469265"/>
                  <wp:effectExtent l="0" t="0" r="6985" b="6985"/>
                  <wp:docPr id="5" name="Bildobjekt 5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3AB" w:rsidRPr="00C055E4" w:rsidRDefault="005A33AB" w:rsidP="00042DED">
            <w:pPr>
              <w:keepNext/>
              <w:tabs>
                <w:tab w:val="left" w:pos="1418"/>
              </w:tabs>
              <w:spacing w:before="60"/>
              <w:jc w:val="center"/>
              <w:rPr>
                <w:sz w:val="16"/>
                <w:szCs w:val="16"/>
              </w:rPr>
            </w:pPr>
            <w:r w:rsidRPr="00C055E4">
              <w:rPr>
                <w:sz w:val="16"/>
                <w:szCs w:val="16"/>
                <w:lang w:val="en-US"/>
              </w:rPr>
              <w:t>Environmentally hazardous substances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rPr>
                <w:bCs/>
                <w:sz w:val="16"/>
                <w:szCs w:val="16"/>
              </w:rPr>
            </w:pPr>
            <w:r w:rsidRPr="00C055E4">
              <w:rPr>
                <w:sz w:val="16"/>
                <w:szCs w:val="16"/>
              </w:rPr>
              <w:t>Risk to the aquatic environment or the sewerage system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AB" w:rsidRPr="00C055E4" w:rsidRDefault="005A33AB" w:rsidP="00042DED">
            <w:pPr>
              <w:keepNext/>
              <w:tabs>
                <w:tab w:val="left" w:pos="1418"/>
              </w:tabs>
              <w:rPr>
                <w:bCs/>
                <w:sz w:val="16"/>
                <w:szCs w:val="16"/>
              </w:rPr>
            </w:pPr>
          </w:p>
        </w:tc>
      </w:tr>
      <w:tr w:rsidR="005A33AB" w:rsidRPr="00C055E4" w:rsidTr="00042DE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B" w:rsidRPr="00C055E4" w:rsidRDefault="005A33AB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5A33AB" w:rsidRPr="00C055E4" w:rsidRDefault="005A33AB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635</wp:posOffset>
                  </wp:positionV>
                  <wp:extent cx="504190" cy="439420"/>
                  <wp:effectExtent l="0" t="0" r="0" b="0"/>
                  <wp:wrapNone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33AB" w:rsidRDefault="005A33AB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5A33AB" w:rsidRPr="00C055E4" w:rsidRDefault="005A33AB" w:rsidP="00042DED">
            <w:pPr>
              <w:tabs>
                <w:tab w:val="left" w:pos="1418"/>
              </w:tabs>
              <w:spacing w:after="4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</w:p>
          <w:p w:rsidR="005A33AB" w:rsidRPr="00C055E4" w:rsidRDefault="005A33AB" w:rsidP="00042DED">
            <w:pPr>
              <w:tabs>
                <w:tab w:val="left" w:pos="1418"/>
              </w:tabs>
              <w:spacing w:before="120"/>
              <w:jc w:val="center"/>
              <w:rPr>
                <w:bCs/>
                <w:noProof/>
                <w:color w:val="000000"/>
                <w:sz w:val="16"/>
                <w:szCs w:val="16"/>
              </w:rPr>
            </w:pPr>
            <w:r w:rsidRPr="00C055E4">
              <w:rPr>
                <w:bCs/>
                <w:sz w:val="16"/>
                <w:szCs w:val="16"/>
                <w:lang w:val="en-US"/>
              </w:rPr>
              <w:t xml:space="preserve">Elevated </w:t>
            </w:r>
            <w:r w:rsidRPr="00C055E4">
              <w:rPr>
                <w:sz w:val="16"/>
                <w:szCs w:val="16"/>
                <w:lang w:val="en-US"/>
              </w:rPr>
              <w:t>temperature</w:t>
            </w:r>
            <w:r w:rsidRPr="00C055E4">
              <w:rPr>
                <w:bCs/>
                <w:sz w:val="16"/>
                <w:szCs w:val="16"/>
                <w:lang w:val="en-US"/>
              </w:rPr>
              <w:t xml:space="preserve"> substances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B" w:rsidRPr="00C055E4" w:rsidRDefault="005A33AB" w:rsidP="00042DED">
            <w:pPr>
              <w:tabs>
                <w:tab w:val="left" w:pos="1418"/>
              </w:tabs>
              <w:spacing w:after="40"/>
              <w:rPr>
                <w:bCs/>
                <w:sz w:val="16"/>
                <w:szCs w:val="16"/>
              </w:rPr>
            </w:pPr>
            <w:r w:rsidRPr="00C055E4">
              <w:rPr>
                <w:sz w:val="16"/>
                <w:szCs w:val="16"/>
              </w:rPr>
              <w:t>Risk of burns by heat.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B" w:rsidRPr="00C055E4" w:rsidRDefault="005A33AB" w:rsidP="00042DED">
            <w:pPr>
              <w:tabs>
                <w:tab w:val="left" w:pos="1418"/>
              </w:tabs>
              <w:spacing w:after="40"/>
              <w:rPr>
                <w:bCs/>
                <w:sz w:val="16"/>
                <w:szCs w:val="16"/>
              </w:rPr>
            </w:pPr>
            <w:r w:rsidRPr="00C055E4">
              <w:rPr>
                <w:bCs/>
                <w:sz w:val="16"/>
                <w:szCs w:val="16"/>
              </w:rPr>
              <w:t>Avoid contact with hot parts of the transport unit and the spilled substance.</w:t>
            </w:r>
          </w:p>
        </w:tc>
      </w:tr>
    </w:tbl>
    <w:p w:rsidR="005A33AB" w:rsidRDefault="005A33AB" w:rsidP="006121AF">
      <w:pPr>
        <w:pStyle w:val="SingleTxtG"/>
        <w:tabs>
          <w:tab w:val="num" w:pos="1854"/>
        </w:tabs>
      </w:pPr>
    </w:p>
    <w:p w:rsidR="005A33AB" w:rsidRPr="005A33AB" w:rsidRDefault="008C5573" w:rsidP="008C5573">
      <w:pPr>
        <w:pStyle w:val="H23G"/>
      </w:pPr>
      <w:r>
        <w:tab/>
      </w:r>
      <w:r>
        <w:tab/>
      </w:r>
      <w:r w:rsidR="005A33AB" w:rsidRPr="005A33AB">
        <w:t>Equipment</w:t>
      </w:r>
    </w:p>
    <w:p w:rsidR="005A33AB" w:rsidRPr="005A33AB" w:rsidRDefault="005A33AB" w:rsidP="00841A8E">
      <w:pPr>
        <w:keepNext/>
        <w:keepLines/>
        <w:spacing w:after="0"/>
        <w:ind w:left="1134" w:right="1134"/>
        <w:jc w:val="both"/>
        <w:outlineLvl w:val="2"/>
        <w:rPr>
          <w:u w:val="single"/>
        </w:rPr>
      </w:pPr>
      <w:r w:rsidRPr="005A33AB">
        <w:rPr>
          <w:bCs/>
          <w:u w:val="single"/>
        </w:rPr>
        <w:t xml:space="preserve">The provisions concerning </w:t>
      </w:r>
      <w:r w:rsidR="00634352">
        <w:rPr>
          <w:bCs/>
          <w:u w:val="single"/>
        </w:rPr>
        <w:t>[</w:t>
      </w:r>
      <w:r w:rsidRPr="005A33AB">
        <w:rPr>
          <w:bCs/>
          <w:u w:val="single"/>
        </w:rPr>
        <w:t>f</w:t>
      </w:r>
      <w:r w:rsidRPr="005A33AB">
        <w:rPr>
          <w:u w:val="single"/>
        </w:rPr>
        <w:t>ire-fighting equipment in 8.1.4 and</w:t>
      </w:r>
      <w:r w:rsidR="00634352">
        <w:rPr>
          <w:u w:val="single"/>
        </w:rPr>
        <w:t>]</w:t>
      </w:r>
      <w:r w:rsidRPr="005A33AB">
        <w:rPr>
          <w:u w:val="single"/>
        </w:rPr>
        <w:t xml:space="preserve"> miscellaneous equipment and equipment for</w:t>
      </w:r>
      <w:r w:rsidR="00841A8E">
        <w:rPr>
          <w:u w:val="single"/>
        </w:rPr>
        <w:t xml:space="preserve"> </w:t>
      </w:r>
      <w:r w:rsidRPr="005A33AB">
        <w:rPr>
          <w:u w:val="single"/>
        </w:rPr>
        <w:t>personal protection in 8.1.5 shall be applied.</w:t>
      </w:r>
    </w:p>
    <w:p w:rsidR="005A33AB" w:rsidRPr="005A33AB" w:rsidRDefault="00841A8E" w:rsidP="00841A8E">
      <w:pPr>
        <w:pStyle w:val="H23G"/>
      </w:pPr>
      <w:r>
        <w:tab/>
      </w:r>
      <w:r>
        <w:tab/>
      </w:r>
      <w:r w:rsidR="005A33AB" w:rsidRPr="005A33AB">
        <w:t>Information</w:t>
      </w:r>
    </w:p>
    <w:p w:rsidR="00634352" w:rsidRPr="005A33AB" w:rsidRDefault="00634352" w:rsidP="00841A8E">
      <w:pPr>
        <w:pStyle w:val="Corpsdetexte"/>
        <w:spacing w:before="120"/>
        <w:ind w:left="1134" w:right="1134"/>
        <w:rPr>
          <w:rFonts w:cs="Arial"/>
          <w:bCs/>
          <w:sz w:val="20"/>
          <w:u w:val="single"/>
        </w:rPr>
      </w:pPr>
      <w:r w:rsidRPr="005A33AB">
        <w:rPr>
          <w:rFonts w:cs="Arial"/>
          <w:bCs/>
          <w:sz w:val="20"/>
          <w:u w:val="single"/>
        </w:rPr>
        <w:t xml:space="preserve">Optional information and notes </w:t>
      </w:r>
      <w:r>
        <w:rPr>
          <w:rFonts w:cs="Arial"/>
          <w:bCs/>
          <w:sz w:val="20"/>
          <w:u w:val="single"/>
        </w:rPr>
        <w:t xml:space="preserve">[related to the dangerous goods carried] </w:t>
      </w:r>
      <w:r w:rsidRPr="005A33AB">
        <w:rPr>
          <w:rFonts w:cs="Arial"/>
          <w:bCs/>
          <w:sz w:val="20"/>
          <w:u w:val="single"/>
        </w:rPr>
        <w:t>may be inserted below:</w:t>
      </w:r>
    </w:p>
    <w:p w:rsidR="005A33AB" w:rsidRPr="005A33AB" w:rsidRDefault="005A33AB" w:rsidP="0015116A">
      <w:pPr>
        <w:spacing w:after="0"/>
        <w:jc w:val="center"/>
        <w:rPr>
          <w:rFonts w:cs="Arial"/>
          <w:b/>
          <w:bCs/>
          <w:strike/>
          <w:u w:val="single"/>
        </w:rPr>
      </w:pPr>
      <w:r w:rsidRPr="005A33AB">
        <w:rPr>
          <w:rFonts w:cs="Arial"/>
          <w:b/>
          <w:bCs/>
          <w:strike/>
          <w:u w:val="single"/>
        </w:rPr>
        <w:t>Equipment for personal and general protection</w:t>
      </w:r>
    </w:p>
    <w:p w:rsidR="005A33AB" w:rsidRPr="005A33AB" w:rsidRDefault="005A33AB" w:rsidP="0015116A">
      <w:pPr>
        <w:spacing w:after="0"/>
        <w:jc w:val="center"/>
        <w:rPr>
          <w:rFonts w:cs="Arial"/>
          <w:b/>
          <w:bCs/>
          <w:strike/>
          <w:u w:val="single"/>
        </w:rPr>
      </w:pPr>
      <w:proofErr w:type="gramStart"/>
      <w:r w:rsidRPr="005A33AB">
        <w:rPr>
          <w:rFonts w:cs="Arial"/>
          <w:b/>
          <w:bCs/>
          <w:strike/>
          <w:u w:val="single"/>
        </w:rPr>
        <w:t>to</w:t>
      </w:r>
      <w:proofErr w:type="gramEnd"/>
      <w:r w:rsidRPr="005A33AB">
        <w:rPr>
          <w:rFonts w:cs="Arial"/>
          <w:b/>
          <w:bCs/>
          <w:strike/>
          <w:u w:val="single"/>
        </w:rPr>
        <w:t xml:space="preserve"> carry out general actions and hazard specific emergency actions </w:t>
      </w:r>
    </w:p>
    <w:p w:rsidR="005A33AB" w:rsidRPr="005A33AB" w:rsidRDefault="005A33AB" w:rsidP="0015116A">
      <w:pPr>
        <w:spacing w:after="0"/>
        <w:jc w:val="center"/>
        <w:rPr>
          <w:rFonts w:cs="Arial"/>
          <w:b/>
          <w:strike/>
        </w:rPr>
      </w:pPr>
      <w:proofErr w:type="gramStart"/>
      <w:r w:rsidRPr="005A33AB">
        <w:rPr>
          <w:rFonts w:cs="Arial"/>
          <w:b/>
          <w:bCs/>
          <w:strike/>
          <w:u w:val="single"/>
        </w:rPr>
        <w:t>to</w:t>
      </w:r>
      <w:proofErr w:type="gramEnd"/>
      <w:r w:rsidRPr="005A33AB">
        <w:rPr>
          <w:rFonts w:cs="Arial"/>
          <w:b/>
          <w:bCs/>
          <w:strike/>
          <w:u w:val="single"/>
        </w:rPr>
        <w:t xml:space="preserve"> be carried on board the vehicle in accordance with section 8.1.5 of ADR</w:t>
      </w:r>
    </w:p>
    <w:p w:rsidR="005A33AB" w:rsidRPr="005A33AB" w:rsidRDefault="005A33AB" w:rsidP="00841A8E">
      <w:pPr>
        <w:spacing w:before="120" w:after="120"/>
        <w:ind w:left="1134"/>
        <w:jc w:val="both"/>
        <w:rPr>
          <w:strike/>
        </w:rPr>
      </w:pPr>
      <w:r w:rsidRPr="005A33AB">
        <w:rPr>
          <w:strike/>
        </w:rPr>
        <w:t>The following equipment shall be carried on board the transport unit: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for</w:t>
      </w:r>
      <w:proofErr w:type="gramEnd"/>
      <w:r w:rsidRPr="005A33AB">
        <w:rPr>
          <w:strike/>
        </w:rPr>
        <w:t xml:space="preserve"> each vehicle, a wheel chock of a size suited to the maximum mass of the vehicle and to the diameter of the wheel;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two</w:t>
      </w:r>
      <w:proofErr w:type="gramEnd"/>
      <w:r w:rsidRPr="005A33AB">
        <w:rPr>
          <w:strike/>
        </w:rPr>
        <w:t xml:space="preserve"> self-standing warning signs;</w:t>
      </w:r>
    </w:p>
    <w:p w:rsidR="005A33AB" w:rsidRPr="005A33AB" w:rsidRDefault="005A33AB" w:rsidP="00841A8E">
      <w:pPr>
        <w:spacing w:before="120" w:after="12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eye</w:t>
      </w:r>
      <w:proofErr w:type="gramEnd"/>
      <w:r w:rsidRPr="005A33AB">
        <w:rPr>
          <w:strike/>
        </w:rPr>
        <w:t xml:space="preserve"> rinsing </w:t>
      </w:r>
      <w:proofErr w:type="spellStart"/>
      <w:r w:rsidRPr="005A33AB">
        <w:rPr>
          <w:strike/>
        </w:rPr>
        <w:t>liquid</w:t>
      </w:r>
      <w:r w:rsidRPr="005A33AB">
        <w:rPr>
          <w:b/>
          <w:bCs/>
          <w:strike/>
          <w:vertAlign w:val="superscript"/>
        </w:rPr>
        <w:footnoteReference w:customMarkFollows="1" w:id="2"/>
        <w:t>a</w:t>
      </w:r>
      <w:proofErr w:type="spellEnd"/>
      <w:r w:rsidRPr="005A33AB">
        <w:rPr>
          <w:strike/>
        </w:rPr>
        <w:t>; and</w:t>
      </w:r>
    </w:p>
    <w:p w:rsidR="005A33AB" w:rsidRPr="005A33AB" w:rsidRDefault="005A33AB" w:rsidP="00841A8E">
      <w:pPr>
        <w:spacing w:before="120" w:after="120"/>
        <w:ind w:left="1644" w:hanging="510"/>
        <w:jc w:val="both"/>
        <w:rPr>
          <w:strike/>
        </w:rPr>
      </w:pPr>
      <w:proofErr w:type="gramStart"/>
      <w:r w:rsidRPr="005A33AB">
        <w:rPr>
          <w:strike/>
        </w:rPr>
        <w:t>for</w:t>
      </w:r>
      <w:proofErr w:type="gramEnd"/>
      <w:r w:rsidRPr="005A33AB">
        <w:rPr>
          <w:strike/>
        </w:rPr>
        <w:t xml:space="preserve"> each member of the vehicle crew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lastRenderedPageBreak/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a</w:t>
      </w:r>
      <w:proofErr w:type="gramEnd"/>
      <w:r w:rsidRPr="005A33AB">
        <w:rPr>
          <w:strike/>
        </w:rPr>
        <w:t xml:space="preserve"> warning vest;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portable</w:t>
      </w:r>
      <w:proofErr w:type="gramEnd"/>
      <w:r w:rsidRPr="005A33AB">
        <w:rPr>
          <w:strike/>
        </w:rPr>
        <w:t xml:space="preserve"> lighting apparatus;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a</w:t>
      </w:r>
      <w:proofErr w:type="gramEnd"/>
      <w:r w:rsidRPr="005A33AB">
        <w:rPr>
          <w:strike/>
        </w:rPr>
        <w:t xml:space="preserve"> pair of protective gloves; and</w:t>
      </w:r>
    </w:p>
    <w:p w:rsidR="005A33AB" w:rsidRPr="005A33AB" w:rsidRDefault="005A33AB" w:rsidP="00841A8E">
      <w:pPr>
        <w:spacing w:before="120" w:after="12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eye</w:t>
      </w:r>
      <w:proofErr w:type="gramEnd"/>
      <w:r w:rsidRPr="005A33AB">
        <w:rPr>
          <w:strike/>
        </w:rPr>
        <w:t xml:space="preserve"> protection.</w:t>
      </w:r>
    </w:p>
    <w:p w:rsidR="005A33AB" w:rsidRPr="005A33AB" w:rsidRDefault="005A33AB" w:rsidP="00841A8E">
      <w:pPr>
        <w:tabs>
          <w:tab w:val="left" w:pos="1418"/>
        </w:tabs>
        <w:spacing w:before="120" w:after="120"/>
        <w:ind w:left="1134"/>
        <w:jc w:val="both"/>
        <w:rPr>
          <w:strike/>
        </w:rPr>
      </w:pPr>
      <w:r w:rsidRPr="005A33AB">
        <w:rPr>
          <w:strike/>
        </w:rPr>
        <w:t>Additional equipment required for certain classes: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an</w:t>
      </w:r>
      <w:proofErr w:type="gramEnd"/>
      <w:r w:rsidRPr="005A33AB">
        <w:rPr>
          <w:strike/>
        </w:rPr>
        <w:t xml:space="preserve"> emergency escape mask for each member of the vehicle crew shall be carried on board the vehicle for danger label numbers 2.3 or 6.1;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a</w:t>
      </w:r>
      <w:proofErr w:type="gramEnd"/>
      <w:r w:rsidRPr="005A33AB">
        <w:rPr>
          <w:strike/>
        </w:rPr>
        <w:t xml:space="preserve"> </w:t>
      </w:r>
      <w:proofErr w:type="spellStart"/>
      <w:r w:rsidRPr="005A33AB">
        <w:rPr>
          <w:strike/>
        </w:rPr>
        <w:t>shovel</w:t>
      </w:r>
      <w:r w:rsidRPr="005A33AB">
        <w:rPr>
          <w:b/>
          <w:bCs/>
          <w:strike/>
          <w:vertAlign w:val="superscript"/>
        </w:rPr>
        <w:footnoteReference w:customMarkFollows="1" w:id="3"/>
        <w:t>b</w:t>
      </w:r>
      <w:proofErr w:type="spellEnd"/>
      <w:r w:rsidRPr="005A33AB">
        <w:rPr>
          <w:strike/>
        </w:rPr>
        <w:t>;</w:t>
      </w:r>
    </w:p>
    <w:p w:rsidR="005A33AB" w:rsidRPr="005A33AB" w:rsidRDefault="005A33AB" w:rsidP="005A33AB">
      <w:pPr>
        <w:spacing w:after="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a</w:t>
      </w:r>
      <w:proofErr w:type="gramEnd"/>
      <w:r w:rsidRPr="005A33AB">
        <w:rPr>
          <w:strike/>
        </w:rPr>
        <w:t xml:space="preserve"> drain </w:t>
      </w:r>
      <w:proofErr w:type="spellStart"/>
      <w:r w:rsidRPr="005A33AB">
        <w:rPr>
          <w:strike/>
        </w:rPr>
        <w:t>seal</w:t>
      </w:r>
      <w:r w:rsidRPr="005A33AB">
        <w:rPr>
          <w:b/>
          <w:strike/>
          <w:vertAlign w:val="superscript"/>
        </w:rPr>
        <w:t>b</w:t>
      </w:r>
      <w:proofErr w:type="spellEnd"/>
      <w:r w:rsidRPr="005A33AB">
        <w:rPr>
          <w:strike/>
        </w:rPr>
        <w:t>;</w:t>
      </w:r>
    </w:p>
    <w:p w:rsidR="005A33AB" w:rsidRDefault="005A33AB" w:rsidP="00841A8E">
      <w:pPr>
        <w:spacing w:after="120"/>
        <w:ind w:left="1644" w:hanging="510"/>
        <w:jc w:val="both"/>
        <w:rPr>
          <w:strike/>
        </w:rPr>
      </w:pPr>
      <w:r w:rsidRPr="005A33AB">
        <w:rPr>
          <w:strike/>
        </w:rPr>
        <w:t>-</w:t>
      </w:r>
      <w:r w:rsidRPr="005A33AB">
        <w:rPr>
          <w:strike/>
        </w:rPr>
        <w:tab/>
      </w:r>
      <w:proofErr w:type="gramStart"/>
      <w:r w:rsidRPr="005A33AB">
        <w:rPr>
          <w:strike/>
        </w:rPr>
        <w:t>a</w:t>
      </w:r>
      <w:proofErr w:type="gramEnd"/>
      <w:r w:rsidRPr="005A33AB">
        <w:rPr>
          <w:strike/>
        </w:rPr>
        <w:t xml:space="preserve"> collecting </w:t>
      </w:r>
      <w:proofErr w:type="spellStart"/>
      <w:r w:rsidRPr="005A33AB">
        <w:rPr>
          <w:strike/>
        </w:rPr>
        <w:t>container</w:t>
      </w:r>
      <w:r w:rsidRPr="005A33AB">
        <w:rPr>
          <w:b/>
          <w:strike/>
          <w:vertAlign w:val="superscript"/>
        </w:rPr>
        <w:t>b</w:t>
      </w:r>
      <w:proofErr w:type="spellEnd"/>
      <w:r w:rsidRPr="005A33AB">
        <w:rPr>
          <w:strike/>
        </w:rPr>
        <w:t>.</w:t>
      </w:r>
    </w:p>
    <w:p w:rsidR="0015116A" w:rsidRPr="00D662CD" w:rsidRDefault="0015116A" w:rsidP="0015116A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 w:rsidRPr="00937C30">
        <w:rPr>
          <w:sz w:val="22"/>
          <w:szCs w:val="2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1A8E" w:rsidRPr="005A33AB" w:rsidRDefault="00841A8E" w:rsidP="00841A8E">
      <w:pPr>
        <w:spacing w:after="120"/>
        <w:ind w:left="1644" w:hanging="510"/>
        <w:jc w:val="both"/>
        <w:rPr>
          <w:strike/>
        </w:rPr>
      </w:pPr>
    </w:p>
    <w:sectPr w:rsidR="00841A8E" w:rsidRPr="005A33AB" w:rsidSect="00841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2268" w:bottom="1135" w:left="1134" w:header="1134" w:footer="17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B0" w:rsidRDefault="003319B0"/>
  </w:endnote>
  <w:endnote w:type="continuationSeparator" w:id="0">
    <w:p w:rsidR="003319B0" w:rsidRDefault="003319B0"/>
  </w:endnote>
  <w:endnote w:type="continuationNotice" w:id="1">
    <w:p w:rsidR="003319B0" w:rsidRDefault="003319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E7" w:rsidRPr="003B3A7E" w:rsidRDefault="00375FE6" w:rsidP="003B3A7E">
    <w:pPr>
      <w:pStyle w:val="Pieddepage"/>
    </w:pPr>
    <w:r>
      <w:rPr>
        <w:rStyle w:val="Numrodepage"/>
      </w:rPr>
      <w:fldChar w:fldCharType="begin"/>
    </w:r>
    <w:r w:rsidR="00F512E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468BA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E7" w:rsidRDefault="00375FE6" w:rsidP="003B3A7E">
    <w:pPr>
      <w:pStyle w:val="Pieddepage"/>
      <w:jc w:val="right"/>
    </w:pPr>
    <w:r>
      <w:rPr>
        <w:rStyle w:val="Numrodepage"/>
      </w:rPr>
      <w:fldChar w:fldCharType="begin"/>
    </w:r>
    <w:r w:rsidR="00F512E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468BA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E7" w:rsidRDefault="0022481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1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B0" w:rsidRPr="000B175B" w:rsidRDefault="003319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19B0" w:rsidRPr="00FC68B7" w:rsidRDefault="003319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19B0" w:rsidRDefault="003319B0"/>
  </w:footnote>
  <w:footnote w:id="2">
    <w:p w:rsidR="005A33AB" w:rsidRPr="00FA16C9" w:rsidRDefault="005A33AB" w:rsidP="00841A8E">
      <w:pPr>
        <w:ind w:left="709" w:right="-6"/>
        <w:rPr>
          <w:i/>
          <w:strike/>
        </w:rPr>
      </w:pPr>
      <w:r w:rsidRPr="00FA16C9">
        <w:rPr>
          <w:rStyle w:val="Appelnotedebasdep"/>
          <w:strike/>
          <w:sz w:val="20"/>
        </w:rPr>
        <w:t>a</w:t>
      </w:r>
      <w:r w:rsidRPr="00FA16C9">
        <w:rPr>
          <w:strike/>
        </w:rPr>
        <w:t xml:space="preserve"> </w:t>
      </w:r>
      <w:r w:rsidRPr="00FA16C9">
        <w:rPr>
          <w:strike/>
        </w:rPr>
        <w:tab/>
      </w:r>
      <w:r w:rsidRPr="00FA16C9">
        <w:rPr>
          <w:i/>
          <w:strike/>
        </w:rPr>
        <w:t>Not required for danger label numbers 1, 1.4, 1.5, 1.6, 2.1, 2.2 and 2.3.</w:t>
      </w:r>
    </w:p>
  </w:footnote>
  <w:footnote w:id="3">
    <w:p w:rsidR="005A33AB" w:rsidRPr="00E536CD" w:rsidRDefault="005A33AB" w:rsidP="00841A8E">
      <w:pPr>
        <w:pStyle w:val="Notedebasdepage"/>
        <w:tabs>
          <w:tab w:val="clear" w:pos="1021"/>
        </w:tabs>
        <w:ind w:hanging="425"/>
      </w:pPr>
      <w:r w:rsidRPr="00FA16C9">
        <w:rPr>
          <w:rStyle w:val="Appelnotedebasdep"/>
          <w:strike/>
        </w:rPr>
        <w:t>b</w:t>
      </w:r>
      <w:r w:rsidRPr="00FA16C9">
        <w:rPr>
          <w:strike/>
        </w:rPr>
        <w:t xml:space="preserve"> </w:t>
      </w:r>
      <w:r w:rsidRPr="00FA16C9">
        <w:rPr>
          <w:strike/>
        </w:rPr>
        <w:tab/>
      </w:r>
      <w:proofErr w:type="gramStart"/>
      <w:r w:rsidRPr="00FA16C9">
        <w:rPr>
          <w:i/>
          <w:iCs/>
          <w:strike/>
          <w:lang w:val="en-US"/>
        </w:rPr>
        <w:t>Only required for solids and liquids with danger label numbers 3, 4.1, 4.3, 8 or 9.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E7" w:rsidRPr="0009455D" w:rsidRDefault="00F512E7">
    <w:pPr>
      <w:pStyle w:val="En-tte"/>
      <w:rPr>
        <w:lang w:val="fr-CH"/>
      </w:rPr>
    </w:pPr>
    <w:r>
      <w:rPr>
        <w:lang w:val="fr-CH"/>
      </w:rPr>
      <w:t>INF.</w:t>
    </w:r>
    <w:r w:rsidR="008C5573">
      <w:rPr>
        <w:lang w:val="fr-CH"/>
      </w:rPr>
      <w:t>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E7" w:rsidRPr="00073BC9" w:rsidRDefault="00F512E7" w:rsidP="0009455D">
    <w:pPr>
      <w:pStyle w:val="En-tte"/>
      <w:jc w:val="right"/>
    </w:pPr>
    <w:r>
      <w:t>INF.</w:t>
    </w:r>
    <w:r w:rsidR="008C5573">
      <w:t>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E7" w:rsidRPr="00560572" w:rsidRDefault="00F512E7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8C5573">
      <w:rPr>
        <w:sz w:val="28"/>
        <w:szCs w:val="28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6643C6"/>
    <w:rsid w:val="00002A7D"/>
    <w:rsid w:val="000038A8"/>
    <w:rsid w:val="000041B2"/>
    <w:rsid w:val="00004CB4"/>
    <w:rsid w:val="00006790"/>
    <w:rsid w:val="00027624"/>
    <w:rsid w:val="000318DF"/>
    <w:rsid w:val="000426CA"/>
    <w:rsid w:val="000438DF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90320"/>
    <w:rsid w:val="00090D3E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D227A"/>
    <w:rsid w:val="000E0415"/>
    <w:rsid w:val="000E233A"/>
    <w:rsid w:val="000E7EB0"/>
    <w:rsid w:val="000F6808"/>
    <w:rsid w:val="000F7715"/>
    <w:rsid w:val="001022EF"/>
    <w:rsid w:val="00103E99"/>
    <w:rsid w:val="00140040"/>
    <w:rsid w:val="0014401A"/>
    <w:rsid w:val="0015116A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5F15"/>
    <w:rsid w:val="001B4B04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4814"/>
    <w:rsid w:val="00230496"/>
    <w:rsid w:val="00232575"/>
    <w:rsid w:val="00232AB8"/>
    <w:rsid w:val="00234C7E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1216"/>
    <w:rsid w:val="002A214F"/>
    <w:rsid w:val="002A6D75"/>
    <w:rsid w:val="002A7F94"/>
    <w:rsid w:val="002B109A"/>
    <w:rsid w:val="002B400C"/>
    <w:rsid w:val="002C1973"/>
    <w:rsid w:val="002C2C61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3007E7"/>
    <w:rsid w:val="00301764"/>
    <w:rsid w:val="00302B3E"/>
    <w:rsid w:val="003229D8"/>
    <w:rsid w:val="00323AD2"/>
    <w:rsid w:val="0032508A"/>
    <w:rsid w:val="003319B0"/>
    <w:rsid w:val="00336080"/>
    <w:rsid w:val="00336C97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74CAD"/>
    <w:rsid w:val="00375FE6"/>
    <w:rsid w:val="003806F0"/>
    <w:rsid w:val="00381042"/>
    <w:rsid w:val="0038499B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25FA"/>
    <w:rsid w:val="00413520"/>
    <w:rsid w:val="00414F7A"/>
    <w:rsid w:val="00431D4D"/>
    <w:rsid w:val="004325CB"/>
    <w:rsid w:val="00433A82"/>
    <w:rsid w:val="00440A07"/>
    <w:rsid w:val="00444B4A"/>
    <w:rsid w:val="00456441"/>
    <w:rsid w:val="00462880"/>
    <w:rsid w:val="0047298C"/>
    <w:rsid w:val="0047429E"/>
    <w:rsid w:val="00476F24"/>
    <w:rsid w:val="0048402E"/>
    <w:rsid w:val="004909E7"/>
    <w:rsid w:val="0049311D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06A7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73297"/>
    <w:rsid w:val="00584173"/>
    <w:rsid w:val="005850DE"/>
    <w:rsid w:val="00595520"/>
    <w:rsid w:val="005A0287"/>
    <w:rsid w:val="005A33AB"/>
    <w:rsid w:val="005A44B9"/>
    <w:rsid w:val="005A548A"/>
    <w:rsid w:val="005B1BA0"/>
    <w:rsid w:val="005B3DB3"/>
    <w:rsid w:val="005C58F0"/>
    <w:rsid w:val="005C63E0"/>
    <w:rsid w:val="005C700B"/>
    <w:rsid w:val="005D15CA"/>
    <w:rsid w:val="005D1867"/>
    <w:rsid w:val="005D2C39"/>
    <w:rsid w:val="005D390C"/>
    <w:rsid w:val="005E6AAF"/>
    <w:rsid w:val="005F0DE0"/>
    <w:rsid w:val="005F3066"/>
    <w:rsid w:val="005F3E61"/>
    <w:rsid w:val="005F51F6"/>
    <w:rsid w:val="005F69C7"/>
    <w:rsid w:val="005F7732"/>
    <w:rsid w:val="00604DDD"/>
    <w:rsid w:val="006115CC"/>
    <w:rsid w:val="00611FC4"/>
    <w:rsid w:val="006121AF"/>
    <w:rsid w:val="00613302"/>
    <w:rsid w:val="006176FB"/>
    <w:rsid w:val="0062380F"/>
    <w:rsid w:val="0062564C"/>
    <w:rsid w:val="00630FCB"/>
    <w:rsid w:val="00632F10"/>
    <w:rsid w:val="00634352"/>
    <w:rsid w:val="0064017F"/>
    <w:rsid w:val="00640B26"/>
    <w:rsid w:val="00642312"/>
    <w:rsid w:val="00642502"/>
    <w:rsid w:val="00651A29"/>
    <w:rsid w:val="006643C6"/>
    <w:rsid w:val="00667D6B"/>
    <w:rsid w:val="006770B2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54CD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56F7"/>
    <w:rsid w:val="0072632A"/>
    <w:rsid w:val="007358E8"/>
    <w:rsid w:val="00736ECE"/>
    <w:rsid w:val="0074533B"/>
    <w:rsid w:val="00761B35"/>
    <w:rsid w:val="00762EA6"/>
    <w:rsid w:val="0076432E"/>
    <w:rsid w:val="007643BC"/>
    <w:rsid w:val="00764F01"/>
    <w:rsid w:val="00770846"/>
    <w:rsid w:val="00773DB3"/>
    <w:rsid w:val="007810E1"/>
    <w:rsid w:val="00781D93"/>
    <w:rsid w:val="00790877"/>
    <w:rsid w:val="007959FE"/>
    <w:rsid w:val="00795E37"/>
    <w:rsid w:val="007A0CF1"/>
    <w:rsid w:val="007A38B0"/>
    <w:rsid w:val="007A7CC0"/>
    <w:rsid w:val="007B614B"/>
    <w:rsid w:val="007B6A61"/>
    <w:rsid w:val="007B6BA5"/>
    <w:rsid w:val="007C3390"/>
    <w:rsid w:val="007C42D8"/>
    <w:rsid w:val="007C4F4B"/>
    <w:rsid w:val="007C68C8"/>
    <w:rsid w:val="007C70B8"/>
    <w:rsid w:val="007D5759"/>
    <w:rsid w:val="007D6D44"/>
    <w:rsid w:val="007D7362"/>
    <w:rsid w:val="007E4914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61B2"/>
    <w:rsid w:val="00841A8E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6E3F"/>
    <w:rsid w:val="00887A7D"/>
    <w:rsid w:val="0089256A"/>
    <w:rsid w:val="008979B1"/>
    <w:rsid w:val="008A36C5"/>
    <w:rsid w:val="008A57C8"/>
    <w:rsid w:val="008A6792"/>
    <w:rsid w:val="008A6B25"/>
    <w:rsid w:val="008A6C4F"/>
    <w:rsid w:val="008A7787"/>
    <w:rsid w:val="008B389E"/>
    <w:rsid w:val="008B41F4"/>
    <w:rsid w:val="008B59E3"/>
    <w:rsid w:val="008C5573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E7B91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7162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116B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75C8"/>
    <w:rsid w:val="009A7B81"/>
    <w:rsid w:val="009C144C"/>
    <w:rsid w:val="009C59B9"/>
    <w:rsid w:val="009D01C0"/>
    <w:rsid w:val="009D0FD7"/>
    <w:rsid w:val="009D6A08"/>
    <w:rsid w:val="009E0A16"/>
    <w:rsid w:val="009E7970"/>
    <w:rsid w:val="009F0F56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90CFF"/>
    <w:rsid w:val="00A96696"/>
    <w:rsid w:val="00A976DD"/>
    <w:rsid w:val="00AA0FF8"/>
    <w:rsid w:val="00AA3567"/>
    <w:rsid w:val="00AB2CE7"/>
    <w:rsid w:val="00AC0F2C"/>
    <w:rsid w:val="00AC502A"/>
    <w:rsid w:val="00AC554B"/>
    <w:rsid w:val="00AC7298"/>
    <w:rsid w:val="00AF3A98"/>
    <w:rsid w:val="00AF58C1"/>
    <w:rsid w:val="00B03E68"/>
    <w:rsid w:val="00B05D2C"/>
    <w:rsid w:val="00B06643"/>
    <w:rsid w:val="00B15055"/>
    <w:rsid w:val="00B17FC5"/>
    <w:rsid w:val="00B2175D"/>
    <w:rsid w:val="00B22731"/>
    <w:rsid w:val="00B30179"/>
    <w:rsid w:val="00B37B15"/>
    <w:rsid w:val="00B4482F"/>
    <w:rsid w:val="00B45C02"/>
    <w:rsid w:val="00B4691D"/>
    <w:rsid w:val="00B609E7"/>
    <w:rsid w:val="00B628EC"/>
    <w:rsid w:val="00B63F27"/>
    <w:rsid w:val="00B64BE9"/>
    <w:rsid w:val="00B70F5A"/>
    <w:rsid w:val="00B72A1E"/>
    <w:rsid w:val="00B81E12"/>
    <w:rsid w:val="00B8509D"/>
    <w:rsid w:val="00BA339B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0B6"/>
    <w:rsid w:val="00BF12A3"/>
    <w:rsid w:val="00BF16D7"/>
    <w:rsid w:val="00BF218C"/>
    <w:rsid w:val="00BF2373"/>
    <w:rsid w:val="00BF28AC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6878"/>
    <w:rsid w:val="00C443B6"/>
    <w:rsid w:val="00C44BB0"/>
    <w:rsid w:val="00C45BBB"/>
    <w:rsid w:val="00C463DD"/>
    <w:rsid w:val="00C60D93"/>
    <w:rsid w:val="00C61ADD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B3A"/>
    <w:rsid w:val="00CC4E06"/>
    <w:rsid w:val="00CC4EC6"/>
    <w:rsid w:val="00CC4FF5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CF5F51"/>
    <w:rsid w:val="00D00745"/>
    <w:rsid w:val="00D03595"/>
    <w:rsid w:val="00D15B04"/>
    <w:rsid w:val="00D2031B"/>
    <w:rsid w:val="00D22806"/>
    <w:rsid w:val="00D23EAC"/>
    <w:rsid w:val="00D25EC1"/>
    <w:rsid w:val="00D25FE2"/>
    <w:rsid w:val="00D36F7F"/>
    <w:rsid w:val="00D37DA9"/>
    <w:rsid w:val="00D406A7"/>
    <w:rsid w:val="00D43252"/>
    <w:rsid w:val="00D44D86"/>
    <w:rsid w:val="00D4540B"/>
    <w:rsid w:val="00D50B7D"/>
    <w:rsid w:val="00D52012"/>
    <w:rsid w:val="00D52588"/>
    <w:rsid w:val="00D57536"/>
    <w:rsid w:val="00D662CD"/>
    <w:rsid w:val="00D704E5"/>
    <w:rsid w:val="00D72727"/>
    <w:rsid w:val="00D731DD"/>
    <w:rsid w:val="00D73D7E"/>
    <w:rsid w:val="00D80508"/>
    <w:rsid w:val="00D871AC"/>
    <w:rsid w:val="00D90395"/>
    <w:rsid w:val="00D90415"/>
    <w:rsid w:val="00D917F9"/>
    <w:rsid w:val="00D978C6"/>
    <w:rsid w:val="00DA0956"/>
    <w:rsid w:val="00DA121A"/>
    <w:rsid w:val="00DA357F"/>
    <w:rsid w:val="00DA3E12"/>
    <w:rsid w:val="00DB0B24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6A82"/>
    <w:rsid w:val="00DF7CAE"/>
    <w:rsid w:val="00E02011"/>
    <w:rsid w:val="00E04A4D"/>
    <w:rsid w:val="00E1773B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6630"/>
    <w:rsid w:val="00E976DD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468BA"/>
    <w:rsid w:val="00F512E7"/>
    <w:rsid w:val="00F5337D"/>
    <w:rsid w:val="00F5390C"/>
    <w:rsid w:val="00F56D63"/>
    <w:rsid w:val="00F609A9"/>
    <w:rsid w:val="00F6280E"/>
    <w:rsid w:val="00F80C99"/>
    <w:rsid w:val="00F867EC"/>
    <w:rsid w:val="00F87C2D"/>
    <w:rsid w:val="00F91B2B"/>
    <w:rsid w:val="00FA1CB9"/>
    <w:rsid w:val="00FA28CC"/>
    <w:rsid w:val="00FA3135"/>
    <w:rsid w:val="00FA3269"/>
    <w:rsid w:val="00FB468B"/>
    <w:rsid w:val="00FB4E5A"/>
    <w:rsid w:val="00FC03CD"/>
    <w:rsid w:val="00FC0646"/>
    <w:rsid w:val="00FC0826"/>
    <w:rsid w:val="00FC2FC6"/>
    <w:rsid w:val="00FC55A7"/>
    <w:rsid w:val="00FC68B7"/>
    <w:rsid w:val="00FD0A90"/>
    <w:rsid w:val="00FD6E23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8A36C5"/>
    <w:pPr>
      <w:outlineLvl w:val="1"/>
    </w:pPr>
  </w:style>
  <w:style w:type="paragraph" w:styleId="Titre3">
    <w:name w:val="heading 3"/>
    <w:basedOn w:val="Normal"/>
    <w:next w:val="Normal"/>
    <w:qFormat/>
    <w:rsid w:val="008A36C5"/>
    <w:pPr>
      <w:outlineLvl w:val="2"/>
    </w:pPr>
  </w:style>
  <w:style w:type="paragraph" w:styleId="Titre4">
    <w:name w:val="heading 4"/>
    <w:basedOn w:val="Normal"/>
    <w:next w:val="Normal"/>
    <w:qFormat/>
    <w:rsid w:val="008A36C5"/>
    <w:pPr>
      <w:outlineLvl w:val="3"/>
    </w:pPr>
  </w:style>
  <w:style w:type="paragraph" w:styleId="Titre5">
    <w:name w:val="heading 5"/>
    <w:basedOn w:val="Normal"/>
    <w:next w:val="Normal"/>
    <w:qFormat/>
    <w:rsid w:val="008A36C5"/>
    <w:pPr>
      <w:outlineLvl w:val="4"/>
    </w:pPr>
  </w:style>
  <w:style w:type="paragraph" w:styleId="Titre6">
    <w:name w:val="heading 6"/>
    <w:basedOn w:val="Normal"/>
    <w:next w:val="Normal"/>
    <w:qFormat/>
    <w:rsid w:val="008A36C5"/>
    <w:pPr>
      <w:outlineLvl w:val="5"/>
    </w:pPr>
  </w:style>
  <w:style w:type="paragraph" w:styleId="Titre7">
    <w:name w:val="heading 7"/>
    <w:basedOn w:val="Normal"/>
    <w:next w:val="Normal"/>
    <w:qFormat/>
    <w:rsid w:val="008A36C5"/>
    <w:pPr>
      <w:outlineLvl w:val="6"/>
    </w:pPr>
  </w:style>
  <w:style w:type="paragraph" w:styleId="Titre8">
    <w:name w:val="heading 8"/>
    <w:basedOn w:val="Normal"/>
    <w:next w:val="Normal"/>
    <w:qFormat/>
    <w:rsid w:val="008A36C5"/>
    <w:pPr>
      <w:outlineLvl w:val="7"/>
    </w:pPr>
  </w:style>
  <w:style w:type="paragraph" w:styleId="Titre9">
    <w:name w:val="heading 9"/>
    <w:basedOn w:val="Normal"/>
    <w:next w:val="Normal"/>
    <w:qFormat/>
    <w:rsid w:val="008A36C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Policepardfaut"/>
    <w:link w:val="NormalList"/>
    <w:rsid w:val="00BF28AC"/>
    <w:rPr>
      <w:rFonts w:ascii="Arial" w:hAnsi="Arial"/>
      <w:color w:val="000000"/>
      <w:sz w:val="18"/>
      <w:lang w:val="en-GB" w:eastAsia="en-GB"/>
    </w:rPr>
  </w:style>
  <w:style w:type="paragraph" w:styleId="Corpsdetexte">
    <w:name w:val="Body Text"/>
    <w:basedOn w:val="Normal"/>
    <w:link w:val="CorpsdetexteCar"/>
    <w:rsid w:val="002C2C61"/>
    <w:pPr>
      <w:spacing w:after="120"/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2C2C61"/>
    <w:rPr>
      <w:sz w:val="22"/>
      <w:lang w:val="en-GB" w:eastAsia="en-US"/>
    </w:rPr>
  </w:style>
  <w:style w:type="paragraph" w:customStyle="1" w:styleId="Faktatext">
    <w:name w:val="Faktatext"/>
    <w:basedOn w:val="Normal"/>
    <w:qFormat/>
    <w:rsid w:val="00761B35"/>
    <w:pPr>
      <w:pBdr>
        <w:left w:val="single" w:sz="18" w:space="4" w:color="BFBFBF" w:themeColor="background1" w:themeShade="BF"/>
      </w:pBdr>
      <w:spacing w:after="0" w:line="210" w:lineRule="exact"/>
    </w:pPr>
    <w:rPr>
      <w:rFonts w:ascii="Verdana" w:hAnsi="Verdana"/>
      <w:sz w:val="15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Rubrik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Rubrik2">
    <w:name w:val="heading 2"/>
    <w:basedOn w:val="Normal"/>
    <w:next w:val="Normal"/>
    <w:qFormat/>
    <w:rsid w:val="008A36C5"/>
    <w:pPr>
      <w:outlineLvl w:val="1"/>
    </w:pPr>
  </w:style>
  <w:style w:type="paragraph" w:styleId="Rubrik3">
    <w:name w:val="heading 3"/>
    <w:basedOn w:val="Normal"/>
    <w:next w:val="Normal"/>
    <w:qFormat/>
    <w:rsid w:val="008A36C5"/>
    <w:pPr>
      <w:outlineLvl w:val="2"/>
    </w:pPr>
  </w:style>
  <w:style w:type="paragraph" w:styleId="Rubrik4">
    <w:name w:val="heading 4"/>
    <w:basedOn w:val="Normal"/>
    <w:next w:val="Normal"/>
    <w:qFormat/>
    <w:rsid w:val="008A36C5"/>
    <w:pPr>
      <w:outlineLvl w:val="3"/>
    </w:pPr>
  </w:style>
  <w:style w:type="paragraph" w:styleId="Rubrik5">
    <w:name w:val="heading 5"/>
    <w:basedOn w:val="Normal"/>
    <w:next w:val="Normal"/>
    <w:qFormat/>
    <w:rsid w:val="008A36C5"/>
    <w:pPr>
      <w:outlineLvl w:val="4"/>
    </w:pPr>
  </w:style>
  <w:style w:type="paragraph" w:styleId="Rubrik6">
    <w:name w:val="heading 6"/>
    <w:basedOn w:val="Normal"/>
    <w:next w:val="Normal"/>
    <w:qFormat/>
    <w:rsid w:val="008A36C5"/>
    <w:pPr>
      <w:outlineLvl w:val="5"/>
    </w:pPr>
  </w:style>
  <w:style w:type="paragraph" w:styleId="Rubrik7">
    <w:name w:val="heading 7"/>
    <w:basedOn w:val="Normal"/>
    <w:next w:val="Normal"/>
    <w:qFormat/>
    <w:rsid w:val="008A36C5"/>
    <w:pPr>
      <w:outlineLvl w:val="6"/>
    </w:pPr>
  </w:style>
  <w:style w:type="paragraph" w:styleId="Rubrik8">
    <w:name w:val="heading 8"/>
    <w:basedOn w:val="Normal"/>
    <w:next w:val="Normal"/>
    <w:qFormat/>
    <w:rsid w:val="008A36C5"/>
    <w:pPr>
      <w:outlineLvl w:val="7"/>
    </w:pPr>
  </w:style>
  <w:style w:type="paragraph" w:styleId="Rubrik9">
    <w:name w:val="heading 9"/>
    <w:basedOn w:val="Normal"/>
    <w:next w:val="Normal"/>
    <w:qFormat/>
    <w:rsid w:val="008A36C5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Sidnumm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Slutkommentarsreferens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tnotsreferens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tnots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Slutkommentar">
    <w:name w:val="endnote text"/>
    <w:aliases w:val="2_G"/>
    <w:basedOn w:val="Fotnots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nk">
    <w:name w:val="Hyperlink"/>
    <w:semiHidden/>
    <w:rsid w:val="00A23E9E"/>
    <w:rPr>
      <w:color w:val="auto"/>
      <w:u w:val="none"/>
    </w:rPr>
  </w:style>
  <w:style w:type="paragraph" w:styleId="Sidfot">
    <w:name w:val="footer"/>
    <w:aliases w:val="3_G"/>
    <w:basedOn w:val="Normal"/>
    <w:rsid w:val="009F2EAC"/>
    <w:rPr>
      <w:sz w:val="16"/>
    </w:rPr>
  </w:style>
  <w:style w:type="paragraph" w:styleId="Sidhuvud">
    <w:name w:val="header"/>
    <w:aliases w:val="6_G"/>
    <w:basedOn w:val="Normal"/>
    <w:link w:val="Sidhuvud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dhuvudChar">
    <w:name w:val="Sidhuvud Char"/>
    <w:aliases w:val="6_G Char"/>
    <w:link w:val="Sidhuvud"/>
    <w:rsid w:val="006643C6"/>
    <w:rPr>
      <w:b/>
      <w:sz w:val="18"/>
      <w:lang w:val="en-GB" w:eastAsia="en-US" w:bidi="ar-SA"/>
    </w:rPr>
  </w:style>
  <w:style w:type="table" w:styleId="Tabellrutnt">
    <w:name w:val="Table Grid"/>
    <w:basedOn w:val="Normaltabel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nvndHyperl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Normaltabell"/>
    <w:next w:val="Tabellrutnt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Standardstycketeckensnitt"/>
    <w:link w:val="NormalList"/>
    <w:rsid w:val="00BF28AC"/>
    <w:rPr>
      <w:rFonts w:ascii="Arial" w:hAnsi="Arial"/>
      <w:color w:val="000000"/>
      <w:sz w:val="18"/>
      <w:lang w:val="en-GB" w:eastAsia="en-GB"/>
    </w:rPr>
  </w:style>
  <w:style w:type="paragraph" w:styleId="Brdtext">
    <w:name w:val="Body Text"/>
    <w:basedOn w:val="Normal"/>
    <w:link w:val="BrdtextChar"/>
    <w:rsid w:val="002C2C61"/>
    <w:pPr>
      <w:spacing w:after="120"/>
      <w:jc w:val="both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2C2C61"/>
    <w:rPr>
      <w:sz w:val="22"/>
      <w:lang w:val="en-GB" w:eastAsia="en-US"/>
    </w:rPr>
  </w:style>
  <w:style w:type="paragraph" w:customStyle="1" w:styleId="Faktatext">
    <w:name w:val="Faktatext"/>
    <w:basedOn w:val="Normal"/>
    <w:qFormat/>
    <w:rsid w:val="00761B35"/>
    <w:pPr>
      <w:pBdr>
        <w:left w:val="single" w:sz="18" w:space="4" w:color="BFBFBF" w:themeColor="background1" w:themeShade="BF"/>
      </w:pBdr>
      <w:spacing w:after="0" w:line="210" w:lineRule="exact"/>
    </w:pPr>
    <w:rPr>
      <w:rFonts w:ascii="Verdana" w:hAnsi="Verdana"/>
      <w:sz w:val="15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E9A-6670-4B86-A31B-178D25C2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916</Words>
  <Characters>5039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Maison</cp:lastModifiedBy>
  <cp:revision>3</cp:revision>
  <cp:lastPrinted>2012-09-14T16:01:00Z</cp:lastPrinted>
  <dcterms:created xsi:type="dcterms:W3CDTF">2015-09-08T14:56:00Z</dcterms:created>
  <dcterms:modified xsi:type="dcterms:W3CDTF">2015-09-08T14:58:00Z</dcterms:modified>
</cp:coreProperties>
</file>