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7" w:rsidRPr="00A62F57" w:rsidRDefault="00A62F57" w:rsidP="00A62F57">
      <w:pPr>
        <w:pStyle w:val="H1G"/>
        <w:spacing w:before="240" w:after="120" w:line="223" w:lineRule="auto"/>
        <w:ind w:right="-6"/>
        <w:rPr>
          <w:sz w:val="28"/>
          <w:szCs w:val="28"/>
        </w:rPr>
      </w:pPr>
      <w:r w:rsidRPr="00A62F57">
        <w:rPr>
          <w:sz w:val="28"/>
          <w:szCs w:val="28"/>
        </w:rPr>
        <w:t>Economic Commission for Europe</w:t>
      </w:r>
    </w:p>
    <w:p w:rsidR="00A62F57" w:rsidRPr="00B22FCB" w:rsidRDefault="00A62F57" w:rsidP="00A62F57">
      <w:pPr>
        <w:pStyle w:val="H1G"/>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B22FCB">
      <w:pPr>
        <w:pStyle w:val="H1G"/>
        <w:tabs>
          <w:tab w:val="left" w:pos="7938"/>
        </w:tabs>
        <w:spacing w:before="120" w:after="0" w:line="223" w:lineRule="auto"/>
        <w:ind w:right="-6"/>
        <w:rPr>
          <w:sz w:val="20"/>
        </w:rPr>
      </w:pPr>
      <w:r w:rsidRPr="00B22FCB">
        <w:rPr>
          <w:sz w:val="20"/>
        </w:rPr>
        <w:t>Working Party on the Transport of Dangerous Goods</w:t>
      </w:r>
      <w:r w:rsidR="00B22FCB">
        <w:rPr>
          <w:sz w:val="20"/>
        </w:rPr>
        <w:tab/>
      </w:r>
      <w:r w:rsidR="00676345">
        <w:rPr>
          <w:sz w:val="20"/>
        </w:rPr>
        <w:t>26</w:t>
      </w:r>
      <w:r w:rsidR="00EC0962">
        <w:rPr>
          <w:sz w:val="20"/>
        </w:rPr>
        <w:t xml:space="preserve"> August</w:t>
      </w:r>
      <w:r w:rsidR="00D92E8B">
        <w:rPr>
          <w:sz w:val="20"/>
        </w:rPr>
        <w:t xml:space="preserve"> 2015</w:t>
      </w:r>
    </w:p>
    <w:p w:rsidR="00A62F57" w:rsidRPr="00B22FCB" w:rsidRDefault="00A62F57" w:rsidP="00B22FCB">
      <w:pPr>
        <w:pStyle w:val="H1G"/>
        <w:spacing w:before="120" w:after="120" w:line="223" w:lineRule="auto"/>
        <w:ind w:left="0" w:right="-6" w:firstLine="0"/>
        <w:rPr>
          <w:sz w:val="20"/>
        </w:rPr>
      </w:pPr>
      <w:r w:rsidRPr="00B22FCB">
        <w:rPr>
          <w:sz w:val="20"/>
        </w:rPr>
        <w:t>Joint Meeting of the RID Committee of Experts and the</w:t>
      </w:r>
      <w:r w:rsidR="00B22FCB" w:rsidRPr="00B22FCB">
        <w:rPr>
          <w:sz w:val="20"/>
        </w:rPr>
        <w:br/>
      </w: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D3425">
      <w:pPr>
        <w:spacing w:after="0"/>
      </w:pPr>
      <w:r w:rsidRPr="00B22FCB">
        <w:t>Geneva, 15–25 September 2015</w:t>
      </w:r>
    </w:p>
    <w:p w:rsidR="00A62F57" w:rsidRPr="00B22FCB" w:rsidRDefault="00A62F57" w:rsidP="00CD3425">
      <w:pPr>
        <w:spacing w:after="0"/>
      </w:pPr>
      <w:r w:rsidRPr="00B22FCB">
        <w:t>Item 4 of the provisional agenda</w:t>
      </w:r>
    </w:p>
    <w:p w:rsidR="00A62F57" w:rsidRPr="00CD3425" w:rsidRDefault="00A62F57" w:rsidP="00CD3425">
      <w:pPr>
        <w:spacing w:after="0"/>
        <w:rPr>
          <w:b/>
        </w:rPr>
      </w:pPr>
      <w:r w:rsidRPr="00CD3425">
        <w:rPr>
          <w:b/>
        </w:rPr>
        <w:t>Reports of informal working groups</w:t>
      </w:r>
    </w:p>
    <w:p w:rsidR="00A62F57" w:rsidRPr="00A62F57" w:rsidRDefault="00A62F57" w:rsidP="009801CA">
      <w:pPr>
        <w:pStyle w:val="HChG"/>
      </w:pPr>
      <w:r w:rsidRPr="00A62F57">
        <w:tab/>
      </w:r>
      <w:r w:rsidRPr="00A62F57">
        <w:tab/>
      </w:r>
      <w:r w:rsidR="00CD3425">
        <w:t>Addendum to the r</w:t>
      </w:r>
      <w:r w:rsidRPr="00A62F57">
        <w:t>eport of the informal working group on “Provisions on equipment for tanks and pressure receptacles” including proposals for revising the text of RID/ADR/ADN concerning pressure receptacles</w:t>
      </w:r>
      <w:r w:rsidR="00676345">
        <w:t xml:space="preserve"> (ECE/TRANS/WP.15/AC.1/2015/38)</w:t>
      </w:r>
      <w:bookmarkStart w:id="0" w:name="_GoBack"/>
      <w:bookmarkEnd w:id="0"/>
    </w:p>
    <w:p w:rsidR="00CD3425" w:rsidRDefault="00A62F57" w:rsidP="007E0E8A">
      <w:pPr>
        <w:pStyle w:val="H1G"/>
        <w:spacing w:before="240" w:after="120" w:line="223" w:lineRule="auto"/>
        <w:jc w:val="both"/>
        <w:rPr>
          <w:szCs w:val="24"/>
        </w:rPr>
      </w:pPr>
      <w:r w:rsidRPr="00CD3425">
        <w:rPr>
          <w:szCs w:val="24"/>
        </w:rPr>
        <w:tab/>
      </w:r>
      <w:r w:rsidRPr="00CD3425">
        <w:rPr>
          <w:szCs w:val="24"/>
        </w:rPr>
        <w:tab/>
        <w:t>Transmitted by the European Industrial Gases Association (EIGA)</w:t>
      </w:r>
    </w:p>
    <w:p w:rsidR="002634EA" w:rsidRDefault="002634EA" w:rsidP="007E0E8A">
      <w:pPr>
        <w:pStyle w:val="HChG"/>
        <w:spacing w:before="240"/>
        <w:jc w:val="both"/>
      </w:pPr>
      <w:r>
        <w:tab/>
      </w:r>
      <w:r>
        <w:tab/>
        <w:t>Introduction</w:t>
      </w:r>
    </w:p>
    <w:p w:rsidR="00F512E7" w:rsidRPr="00F512E7" w:rsidRDefault="00F512E7" w:rsidP="007E0E8A">
      <w:pPr>
        <w:pStyle w:val="SingleTxtG"/>
      </w:pPr>
      <w:r w:rsidRPr="00F512E7">
        <w:t>1.</w:t>
      </w:r>
      <w:r w:rsidRPr="00F512E7">
        <w:tab/>
      </w:r>
      <w:r w:rsidR="00CD3425">
        <w:t xml:space="preserve">This paper should be read in conjunction with paper </w:t>
      </w:r>
      <w:r w:rsidR="00CD3425" w:rsidRPr="008510E1">
        <w:t>ECE/TRANS/WP.15/AC.1/2015/</w:t>
      </w:r>
      <w:r w:rsidR="00CD3425">
        <w:t>38 (EIGA). It contains the remainder of the proposals from the working group.</w:t>
      </w:r>
    </w:p>
    <w:p w:rsidR="00F512E7" w:rsidRPr="00F512E7" w:rsidRDefault="00F512E7" w:rsidP="007E0E8A">
      <w:pPr>
        <w:pStyle w:val="SingleTxtG"/>
      </w:pPr>
      <w:r w:rsidRPr="00F512E7">
        <w:t>2.</w:t>
      </w:r>
      <w:r w:rsidRPr="00F512E7">
        <w:tab/>
      </w:r>
      <w:r w:rsidR="00461FDB">
        <w:t>The RID/ADR generally has no requirements for fitting pressure relief devices to cylinders, pressure drums and tubes.  Nevertheless, if they are fitted, it is essential that they shall fulfil the requirement to protect against harmful over pressure but not open during normal conditions of carriage.  The working group has attempted to devise suitable requirements, but so far a consensus has not yet been achieved.  A further meeting of the working group will be arranged for October or November</w:t>
      </w:r>
      <w:r w:rsidR="00CD3425">
        <w:t xml:space="preserve"> </w:t>
      </w:r>
      <w:r w:rsidR="00020DCC">
        <w:t xml:space="preserve">to </w:t>
      </w:r>
      <w:r w:rsidR="00461FDB">
        <w:t>find an acceptable solution.</w:t>
      </w:r>
      <w:r w:rsidR="00CD3425">
        <w:t xml:space="preserve"> </w:t>
      </w:r>
    </w:p>
    <w:p w:rsidR="00F512E7" w:rsidRDefault="00F512E7" w:rsidP="007E0E8A">
      <w:pPr>
        <w:pStyle w:val="SingleTxtG"/>
      </w:pPr>
      <w:proofErr w:type="gramStart"/>
      <w:r w:rsidRPr="00F512E7">
        <w:t>3.</w:t>
      </w:r>
      <w:r w:rsidRPr="00F512E7">
        <w:tab/>
      </w:r>
      <w:r w:rsidR="002634EA">
        <w:t>The proposal</w:t>
      </w:r>
      <w:proofErr w:type="gramEnd"/>
      <w:r w:rsidR="002634EA">
        <w:t xml:space="preserve"> which follow are complete and could be adopted without requirements for pressure relief devices</w:t>
      </w:r>
      <w:r w:rsidRPr="00F512E7">
        <w:t xml:space="preserve">. </w:t>
      </w:r>
    </w:p>
    <w:p w:rsidR="007E0E8A" w:rsidRDefault="007E0E8A" w:rsidP="007E0E8A">
      <w:pPr>
        <w:pStyle w:val="SingleTxtG"/>
      </w:pPr>
      <w:r>
        <w:t>4.</w:t>
      </w:r>
      <w:r>
        <w:tab/>
        <w:t>As in the proposals in the formal paper, text enclosed in a box explains the preceding amendment.</w:t>
      </w:r>
    </w:p>
    <w:p w:rsidR="002634EA" w:rsidRDefault="002634EA" w:rsidP="009801CA">
      <w:pPr>
        <w:pStyle w:val="H1G"/>
      </w:pPr>
      <w:r>
        <w:tab/>
      </w:r>
      <w:r>
        <w:tab/>
        <w:t>Proposal 3 (continued) – Amendments to the UN Model Regulations text in 6.2.1 and 6.2.2</w:t>
      </w:r>
    </w:p>
    <w:p w:rsidR="002634EA" w:rsidRDefault="00421D52" w:rsidP="007E0E8A">
      <w:pPr>
        <w:pStyle w:val="SingleTxtG"/>
        <w:rPr>
          <w:i/>
        </w:rPr>
      </w:pPr>
      <w:r>
        <w:t>6.2.2.7.3</w:t>
      </w:r>
      <w:r w:rsidR="00935F5E">
        <w:t xml:space="preserve"> (</w:t>
      </w:r>
      <w:proofErr w:type="spellStart"/>
      <w:proofErr w:type="gramStart"/>
      <w:r w:rsidR="00935F5E">
        <w:t>i</w:t>
      </w:r>
      <w:proofErr w:type="spellEnd"/>
      <w:proofErr w:type="gramEnd"/>
      <w:r w:rsidR="00935F5E">
        <w:t>)</w:t>
      </w:r>
      <w:r>
        <w:tab/>
        <w:t xml:space="preserve">At the end insert the following </w:t>
      </w:r>
      <w:r w:rsidRPr="00421D52">
        <w:rPr>
          <w:i/>
        </w:rPr>
        <w:t>NOTE</w:t>
      </w:r>
      <w:r>
        <w:rPr>
          <w:i/>
        </w:rPr>
        <w:t>.</w:t>
      </w:r>
    </w:p>
    <w:p w:rsidR="00421D52" w:rsidRPr="001B5225" w:rsidRDefault="00421D52" w:rsidP="007E0E8A">
      <w:pPr>
        <w:pStyle w:val="SingleTxtG"/>
      </w:pPr>
      <w:r w:rsidRPr="001B5225">
        <w:rPr>
          <w:b/>
          <w:i/>
        </w:rPr>
        <w:t xml:space="preserve">NOTE: </w:t>
      </w:r>
      <w:r w:rsidRPr="001B5225">
        <w:rPr>
          <w:i/>
        </w:rPr>
        <w:t>When a cylinder shell is intended for use as an acetylene cylinder (including the porous material), the working pressure mark is not required until the acetylene cylinder is completed.</w:t>
      </w:r>
    </w:p>
    <w:p w:rsidR="00421D52" w:rsidRDefault="00421D52" w:rsidP="009801CA">
      <w:pPr>
        <w:pStyle w:val="SingleTxtG"/>
        <w:ind w:left="2268" w:hanging="1134"/>
      </w:pPr>
      <w:r>
        <w:t>6.2.2.7.3</w:t>
      </w:r>
      <w:r w:rsidR="00935F5E">
        <w:t xml:space="preserve"> (j)</w:t>
      </w:r>
      <w:r>
        <w:tab/>
        <w:t xml:space="preserve">In </w:t>
      </w:r>
      <w:r w:rsidR="00935F5E">
        <w:t>the first sentence</w:t>
      </w:r>
      <w:r>
        <w:t xml:space="preserve"> replace “liquefied gases and refrigerated liquefied</w:t>
      </w:r>
      <w:r w:rsidR="00935F5E">
        <w:t xml:space="preserve"> gases” by “liquefied gases, refrigerated liquefied gases and dissolved gases”</w:t>
      </w:r>
      <w:r w:rsidR="003346C2">
        <w:t>.</w:t>
      </w:r>
    </w:p>
    <w:p w:rsidR="003346C2" w:rsidRDefault="003346C2" w:rsidP="007E0E8A">
      <w:pPr>
        <w:pStyle w:val="SingleTxtG"/>
      </w:pPr>
      <w:r>
        <w:t>6.2.2.7.3 (</w:t>
      </w:r>
      <w:proofErr w:type="gramStart"/>
      <w:r>
        <w:t>k</w:t>
      </w:r>
      <w:proofErr w:type="gramEnd"/>
      <w:r>
        <w:t>) and (l)</w:t>
      </w:r>
      <w:r>
        <w:tab/>
        <w:t>Replace paragraphs (k) and (l) with the following.</w:t>
      </w:r>
    </w:p>
    <w:p w:rsidR="00665C39" w:rsidRDefault="00665C39" w:rsidP="007E0E8A">
      <w:pPr>
        <w:spacing w:after="120"/>
        <w:ind w:left="1701" w:right="1134" w:hanging="567"/>
        <w:jc w:val="both"/>
      </w:pPr>
      <w:r>
        <w:t>(k)</w:t>
      </w:r>
      <w:r>
        <w:tab/>
      </w:r>
      <w:r w:rsidRPr="00546B1A">
        <w:t>In the case of cylinders for UN No. 1001 acetylene, dissolved</w:t>
      </w:r>
      <w:r>
        <w:t>:</w:t>
      </w:r>
      <w:r w:rsidRPr="00546B1A">
        <w:t xml:space="preserve"> </w:t>
      </w:r>
    </w:p>
    <w:p w:rsidR="00665C39" w:rsidRDefault="00665C39" w:rsidP="007E0E8A">
      <w:pPr>
        <w:spacing w:after="120"/>
        <w:ind w:left="2268" w:right="1134" w:hanging="567"/>
        <w:jc w:val="both"/>
      </w:pPr>
      <w:r>
        <w:lastRenderedPageBreak/>
        <w:t>(</w:t>
      </w:r>
      <w:proofErr w:type="spellStart"/>
      <w:r>
        <w:t>i</w:t>
      </w:r>
      <w:proofErr w:type="spellEnd"/>
      <w:r>
        <w:t>)</w:t>
      </w:r>
      <w:r>
        <w:tab/>
      </w:r>
      <w:r w:rsidRPr="00546B1A">
        <w:t>the tare in k</w:t>
      </w:r>
      <w:r w:rsidR="00051293">
        <w:t>ilograms</w:t>
      </w:r>
      <w:r w:rsidRPr="00546B1A">
        <w:t xml:space="preserve"> consisting of the total of the mass of the empty cylinder shell,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rsidR="00665C39" w:rsidRDefault="00665C39" w:rsidP="007E0E8A">
      <w:pPr>
        <w:spacing w:after="120"/>
        <w:ind w:left="1701" w:right="1134"/>
        <w:jc w:val="both"/>
      </w:pPr>
      <w:r>
        <w:t>(ii)</w:t>
      </w:r>
      <w:r>
        <w:tab/>
      </w:r>
      <w:proofErr w:type="gramStart"/>
      <w:r w:rsidRPr="00546B1A">
        <w:t>the</w:t>
      </w:r>
      <w:proofErr w:type="gramEnd"/>
      <w:r w:rsidRPr="00546B1A">
        <w:t xml:space="preserve"> identity of the porous material; </w:t>
      </w:r>
      <w:r w:rsidR="005F0494">
        <w:t>and</w:t>
      </w:r>
    </w:p>
    <w:p w:rsidR="00665C39" w:rsidRPr="00546B1A" w:rsidRDefault="00665C39" w:rsidP="007E0E8A">
      <w:pPr>
        <w:spacing w:after="120"/>
        <w:ind w:left="2268" w:right="1134" w:hanging="567"/>
        <w:jc w:val="both"/>
      </w:pPr>
      <w:r>
        <w:t>(iii)</w:t>
      </w:r>
      <w:r>
        <w:tab/>
      </w:r>
      <w:proofErr w:type="gramStart"/>
      <w:r w:rsidRPr="00546B1A">
        <w:t>the</w:t>
      </w:r>
      <w:proofErr w:type="gramEnd"/>
      <w:r w:rsidRPr="00546B1A">
        <w:t xml:space="preserve"> total </w:t>
      </w:r>
      <w:r>
        <w:t xml:space="preserve">mass </w:t>
      </w:r>
      <w:r w:rsidRPr="00546B1A">
        <w:t xml:space="preserve">of the </w:t>
      </w:r>
      <w:r w:rsidR="00D46981">
        <w:t xml:space="preserve">filled </w:t>
      </w:r>
      <w:r w:rsidRPr="00546B1A">
        <w:t>acetylene cylinder in k</w:t>
      </w:r>
      <w:r>
        <w:t>ilo</w:t>
      </w:r>
      <w:r w:rsidRPr="00546B1A">
        <w:t>g</w:t>
      </w:r>
      <w:r>
        <w:t>rams followed by the letter</w:t>
      </w:r>
      <w:r w:rsidR="00051293">
        <w:t>s</w:t>
      </w:r>
      <w:r>
        <w:t xml:space="preserve"> “KG”</w:t>
      </w:r>
      <w:r w:rsidRPr="00546B1A">
        <w:t>;</w:t>
      </w:r>
    </w:p>
    <w:p w:rsidR="00665C39" w:rsidRDefault="00665C39" w:rsidP="007E0E8A">
      <w:pPr>
        <w:spacing w:after="120"/>
        <w:ind w:left="1701" w:right="1134" w:hanging="567"/>
        <w:jc w:val="both"/>
      </w:pPr>
      <w:r w:rsidRPr="00546B1A">
        <w:t>(l)</w:t>
      </w:r>
      <w:r w:rsidRPr="00546B1A">
        <w:tab/>
        <w:t>In the case of cylinders for UN No</w:t>
      </w:r>
      <w:r>
        <w:t>. 3374 acetylene, solvent free:</w:t>
      </w:r>
    </w:p>
    <w:p w:rsidR="00665C39" w:rsidRDefault="00665C39" w:rsidP="007E0E8A">
      <w:pPr>
        <w:spacing w:after="120"/>
        <w:ind w:left="2268" w:right="1134" w:hanging="567"/>
        <w:jc w:val="both"/>
      </w:pPr>
      <w:r>
        <w:t>(</w:t>
      </w:r>
      <w:proofErr w:type="spellStart"/>
      <w:r>
        <w:t>i</w:t>
      </w:r>
      <w:proofErr w:type="spellEnd"/>
      <w:r>
        <w:t>)</w:t>
      </w:r>
      <w:r>
        <w:tab/>
      </w:r>
      <w:r w:rsidRPr="00546B1A">
        <w:t xml:space="preserve">the tare in kg consisting of the total of the mass of the empty cylinder shell, service equipment (including porous material) not removed during filling,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rsidR="00665C39" w:rsidRDefault="00665C39" w:rsidP="007E0E8A">
      <w:pPr>
        <w:spacing w:after="120"/>
        <w:ind w:left="2268" w:right="1134" w:hanging="567"/>
        <w:jc w:val="both"/>
      </w:pPr>
      <w:r>
        <w:t>(ii)</w:t>
      </w:r>
      <w:r>
        <w:tab/>
      </w:r>
      <w:proofErr w:type="gramStart"/>
      <w:r w:rsidRPr="00546B1A">
        <w:t>the</w:t>
      </w:r>
      <w:proofErr w:type="gramEnd"/>
      <w:r w:rsidRPr="00546B1A">
        <w:t xml:space="preserve"> identity of the porous material; </w:t>
      </w:r>
      <w:r w:rsidR="005F0494">
        <w:t>and</w:t>
      </w:r>
    </w:p>
    <w:p w:rsidR="00665C39" w:rsidRPr="00546B1A" w:rsidRDefault="00665C39" w:rsidP="007E0E8A">
      <w:pPr>
        <w:spacing w:after="120"/>
        <w:ind w:left="2268" w:right="1134" w:hanging="567"/>
        <w:jc w:val="both"/>
      </w:pPr>
      <w:r>
        <w:t>(iii)</w:t>
      </w:r>
      <w:r>
        <w:tab/>
      </w:r>
      <w:proofErr w:type="gramStart"/>
      <w:r>
        <w:t>the</w:t>
      </w:r>
      <w:proofErr w:type="gramEnd"/>
      <w:r>
        <w:t xml:space="preserve"> total mass of the </w:t>
      </w:r>
      <w:r w:rsidR="00D46981">
        <w:t xml:space="preserve">filled </w:t>
      </w:r>
      <w:r>
        <w:t>acetylene cylinder in kilograms followed by the letters “KG”;</w:t>
      </w:r>
    </w:p>
    <w:p w:rsidR="003346C2" w:rsidRDefault="00590C7F" w:rsidP="007E0E8A">
      <w:pPr>
        <w:pStyle w:val="SingleTxtG"/>
        <w:pBdr>
          <w:top w:val="single" w:sz="4" w:space="1" w:color="auto"/>
          <w:left w:val="single" w:sz="4" w:space="4" w:color="auto"/>
          <w:bottom w:val="single" w:sz="4" w:space="1" w:color="auto"/>
          <w:right w:val="single" w:sz="4" w:space="4" w:color="auto"/>
        </w:pBdr>
      </w:pPr>
      <w:r>
        <w:t>The amendments</w:t>
      </w:r>
      <w:r w:rsidR="00051293">
        <w:t xml:space="preserve"> to (j), (k) and (l) introduce marks necessary for the filling and periodic inspection of acetylene cylinders.</w:t>
      </w:r>
    </w:p>
    <w:p w:rsidR="00051293" w:rsidRDefault="00497B46" w:rsidP="007E0E8A">
      <w:pPr>
        <w:pStyle w:val="SingleTxtG"/>
        <w:rPr>
          <w:b/>
          <w:i/>
        </w:rPr>
      </w:pPr>
      <w:r>
        <w:t>6.2.2.7.4 (</w:t>
      </w:r>
      <w:proofErr w:type="gramStart"/>
      <w:r>
        <w:t>n</w:t>
      </w:r>
      <w:proofErr w:type="gramEnd"/>
      <w:r>
        <w:t>)</w:t>
      </w:r>
      <w:r>
        <w:tab/>
        <w:t xml:space="preserve">After the existing text insert a new </w:t>
      </w:r>
      <w:r w:rsidRPr="00497B46">
        <w:rPr>
          <w:b/>
          <w:i/>
        </w:rPr>
        <w:t>NOTE</w:t>
      </w:r>
    </w:p>
    <w:p w:rsidR="00497B46" w:rsidRPr="00497B46" w:rsidRDefault="001B5225" w:rsidP="007E0E8A">
      <w:pPr>
        <w:spacing w:after="120"/>
        <w:ind w:left="1134" w:right="1134"/>
        <w:jc w:val="both"/>
        <w:rPr>
          <w:i/>
        </w:rPr>
      </w:pPr>
      <w:r w:rsidRPr="001B5225">
        <w:t>“</w:t>
      </w:r>
      <w:r w:rsidR="00497B46" w:rsidRPr="00497B46">
        <w:rPr>
          <w:b/>
          <w:i/>
        </w:rPr>
        <w:t xml:space="preserve">NOTE: </w:t>
      </w:r>
      <w:r w:rsidR="00497B46" w:rsidRPr="00497B46">
        <w:rPr>
          <w:i/>
        </w:rPr>
        <w:t>If the manufacturer of the acetylene cylinder and the manufacturer of the cylinder shell are different, the mark of both manufacturers shall be applied.</w:t>
      </w:r>
      <w:r w:rsidRPr="001B5225">
        <w:t>”</w:t>
      </w:r>
    </w:p>
    <w:p w:rsidR="00497B46" w:rsidRPr="00497B46" w:rsidRDefault="00497B46" w:rsidP="007E0E8A">
      <w:pPr>
        <w:pStyle w:val="SingleTxtG"/>
      </w:pPr>
      <w:r w:rsidRPr="00497B46">
        <w:rPr>
          <w:b/>
        </w:rPr>
        <w:t>6.2.2.8</w:t>
      </w:r>
      <w:r w:rsidRPr="00497B46">
        <w:rPr>
          <w:b/>
        </w:rPr>
        <w:tab/>
      </w:r>
      <w:r w:rsidRPr="00497B46">
        <w:rPr>
          <w:b/>
        </w:rPr>
        <w:tab/>
      </w:r>
      <w:r>
        <w:t>In</w:t>
      </w:r>
      <w:r w:rsidRPr="00497B46">
        <w:t xml:space="preserve"> the title</w:t>
      </w:r>
      <w:r>
        <w:rPr>
          <w:b/>
        </w:rPr>
        <w:t xml:space="preserve"> </w:t>
      </w:r>
      <w:r w:rsidRPr="00497B46">
        <w:t>replace “</w:t>
      </w:r>
      <w:r>
        <w:rPr>
          <w:b/>
        </w:rPr>
        <w:t>pressure receptacles</w:t>
      </w:r>
      <w:r w:rsidRPr="00497B46">
        <w:t>”</w:t>
      </w:r>
      <w:r>
        <w:rPr>
          <w:b/>
        </w:rPr>
        <w:t xml:space="preserve"> </w:t>
      </w:r>
      <w:r w:rsidRPr="00497B46">
        <w:t>by “</w:t>
      </w:r>
      <w:r>
        <w:rPr>
          <w:b/>
        </w:rPr>
        <w:t>cylinders</w:t>
      </w:r>
      <w:r w:rsidRPr="00497B46">
        <w:t>”.</w:t>
      </w:r>
    </w:p>
    <w:p w:rsidR="00497B46" w:rsidRDefault="00497B46" w:rsidP="007E0E8A">
      <w:pPr>
        <w:pStyle w:val="SingleTxtG"/>
      </w:pPr>
      <w:r>
        <w:t>6.2.2.8.1</w:t>
      </w:r>
      <w:r>
        <w:tab/>
      </w:r>
      <w:r w:rsidR="00D275C2">
        <w:t>In the first sentence r</w:t>
      </w:r>
      <w:r>
        <w:t xml:space="preserve">eplace </w:t>
      </w:r>
      <w:r w:rsidR="00D275C2">
        <w:t>“pressure receptacles” by “cylinders”.</w:t>
      </w:r>
    </w:p>
    <w:p w:rsidR="00D275C2" w:rsidRDefault="00D275C2" w:rsidP="007E0E8A">
      <w:pPr>
        <w:pStyle w:val="SingleTxtG"/>
      </w:pPr>
      <w:r>
        <w:t>In the second sentence replace “pressure receptacle” by “cylinders”.</w:t>
      </w:r>
    </w:p>
    <w:p w:rsidR="00D275C2" w:rsidRDefault="00D275C2" w:rsidP="007E0E8A">
      <w:pPr>
        <w:pStyle w:val="SingleTxtG"/>
      </w:pPr>
      <w:r>
        <w:t>In the third sentence replace “pressure receptacle” at the first occurrence by “cylinder shell” and at the second occurrence by “cylinder”.</w:t>
      </w:r>
    </w:p>
    <w:p w:rsidR="005250A0" w:rsidRDefault="005250A0" w:rsidP="007E0E8A">
      <w:pPr>
        <w:pStyle w:val="SingleTxtG"/>
      </w:pPr>
      <w:r>
        <w:t>In the fifth (penultimate) sentence replace “pressure receptacles” by “cylinders” twice.</w:t>
      </w:r>
    </w:p>
    <w:p w:rsidR="005250A0" w:rsidRDefault="005250A0" w:rsidP="007E0E8A">
      <w:pPr>
        <w:pStyle w:val="SingleTxtG"/>
      </w:pPr>
      <w:r>
        <w:t>6.2.2.8.3</w:t>
      </w:r>
      <w:r>
        <w:tab/>
        <w:t xml:space="preserve">In the </w:t>
      </w:r>
      <w:r w:rsidRPr="005250A0">
        <w:rPr>
          <w:b/>
          <w:i/>
        </w:rPr>
        <w:t>NOTE</w:t>
      </w:r>
      <w:r>
        <w:t xml:space="preserve"> replace “pressure receptacles” by “cylinders”.</w:t>
      </w:r>
    </w:p>
    <w:p w:rsidR="005250A0" w:rsidRPr="005250A0" w:rsidRDefault="005250A0" w:rsidP="007E0E8A">
      <w:pPr>
        <w:pStyle w:val="SingleTxtG"/>
        <w:pBdr>
          <w:top w:val="single" w:sz="4" w:space="1" w:color="auto"/>
          <w:left w:val="single" w:sz="4" w:space="4" w:color="auto"/>
          <w:bottom w:val="single" w:sz="4" w:space="1" w:color="auto"/>
          <w:right w:val="single" w:sz="4" w:space="4" w:color="auto"/>
        </w:pBdr>
      </w:pPr>
      <w:r>
        <w:t xml:space="preserve">Cylinders are the only non-refillable UN pressure receptacle allowed by the Regulations and other types of non-refillable pressure receptacle are very </w:t>
      </w:r>
      <w:r w:rsidR="00280375">
        <w:t>unlikely to be required.</w:t>
      </w:r>
    </w:p>
    <w:p w:rsidR="00280375" w:rsidRPr="00280375" w:rsidRDefault="00280375" w:rsidP="009801CA">
      <w:pPr>
        <w:pStyle w:val="SingleTxtG"/>
        <w:suppressAutoHyphens/>
        <w:spacing w:line="240" w:lineRule="atLeast"/>
        <w:ind w:left="2268" w:hanging="1134"/>
      </w:pPr>
      <w:r w:rsidRPr="00280375">
        <w:t>6.</w:t>
      </w:r>
      <w:r>
        <w:t>2.2.10.1</w:t>
      </w:r>
      <w:r>
        <w:tab/>
        <w:t>Replace “cylinders” by “cylinder shells”.  Insert a new second sentence as follows. “</w:t>
      </w:r>
      <w:r w:rsidRPr="00280375">
        <w:t>Individual closures in a bundle of cylinders shall be marked in accordance with 6.2.2.11.</w:t>
      </w:r>
      <w:r>
        <w:t>”</w:t>
      </w:r>
    </w:p>
    <w:p w:rsidR="00280375" w:rsidRDefault="009801CA" w:rsidP="009801CA">
      <w:pPr>
        <w:pStyle w:val="SingleTxtG"/>
        <w:suppressAutoHyphens/>
        <w:spacing w:line="240" w:lineRule="atLeast"/>
        <w:ind w:left="2268" w:hanging="1134"/>
      </w:pPr>
      <w:r>
        <w:t>6.2.2.10.3 (</w:t>
      </w:r>
      <w:proofErr w:type="gramStart"/>
      <w:r>
        <w:t>b</w:t>
      </w:r>
      <w:proofErr w:type="gramEnd"/>
      <w:r>
        <w:t>)</w:t>
      </w:r>
      <w:r>
        <w:tab/>
      </w:r>
      <w:r w:rsidR="00280375">
        <w:t>In the first sentence replace the phrase in brackets by “cylinder shells and service equipment”.</w:t>
      </w:r>
    </w:p>
    <w:p w:rsidR="00280375" w:rsidRDefault="00280375" w:rsidP="007E0E8A">
      <w:pPr>
        <w:pStyle w:val="SingleTxtG"/>
        <w:suppressAutoHyphens/>
        <w:spacing w:line="240" w:lineRule="atLeast"/>
      </w:pPr>
      <w:r>
        <w:t>In the second sentence after “tare” delete “mass”.</w:t>
      </w:r>
    </w:p>
    <w:p w:rsidR="00280375" w:rsidRDefault="00280375" w:rsidP="007E0E8A">
      <w:pPr>
        <w:pStyle w:val="SingleTxtG"/>
        <w:suppressAutoHyphens/>
        <w:spacing w:line="240" w:lineRule="atLeast"/>
      </w:pPr>
      <w:r>
        <w:t>At the end insert a new subsection 6.2.2.11 as follows</w:t>
      </w:r>
      <w:r w:rsidR="00CF0BD1">
        <w:t xml:space="preserve"> and renumber existing 6.2.2.11 as 6.2.2.12</w:t>
      </w:r>
      <w:r>
        <w:t>.</w:t>
      </w:r>
    </w:p>
    <w:p w:rsidR="00CF0BD1" w:rsidRPr="00CF0BD1" w:rsidRDefault="00CF0BD1" w:rsidP="005F0494">
      <w:pPr>
        <w:keepNext/>
        <w:spacing w:after="120"/>
        <w:ind w:left="1418" w:right="1134" w:hanging="284"/>
        <w:jc w:val="both"/>
        <w:rPr>
          <w:b/>
        </w:rPr>
      </w:pPr>
      <w:r>
        <w:lastRenderedPageBreak/>
        <w:t>“</w:t>
      </w:r>
      <w:r w:rsidRPr="00CF0BD1">
        <w:rPr>
          <w:b/>
        </w:rPr>
        <w:t>6.2.2.11</w:t>
      </w:r>
      <w:r w:rsidRPr="00CF0BD1">
        <w:rPr>
          <w:b/>
        </w:rPr>
        <w:tab/>
      </w:r>
      <w:proofErr w:type="gramStart"/>
      <w:r w:rsidRPr="00CF0BD1">
        <w:rPr>
          <w:b/>
        </w:rPr>
        <w:t>Marking</w:t>
      </w:r>
      <w:proofErr w:type="gramEnd"/>
      <w:r w:rsidRPr="00CF0BD1">
        <w:rPr>
          <w:b/>
        </w:rPr>
        <w:t xml:space="preserve"> of closures for refillable UN pressure receptacles</w:t>
      </w:r>
    </w:p>
    <w:p w:rsidR="00CF0BD1" w:rsidRPr="00CF0BD1" w:rsidRDefault="00CF0BD1" w:rsidP="007E0E8A">
      <w:pPr>
        <w:spacing w:after="120"/>
        <w:ind w:left="1134" w:right="1134"/>
        <w:jc w:val="both"/>
      </w:pPr>
      <w:r w:rsidRPr="00CF0BD1">
        <w:t>For closures the following permanent marks shall be applied clearly and legibly, (e.g. stamped, engraved or etched):</w:t>
      </w:r>
    </w:p>
    <w:p w:rsidR="00CF0BD1" w:rsidRPr="00CF0BD1" w:rsidRDefault="009801CA" w:rsidP="009801CA">
      <w:pPr>
        <w:spacing w:after="120"/>
        <w:ind w:left="2268" w:right="1134"/>
        <w:jc w:val="both"/>
      </w:pPr>
      <w:r>
        <w:t>(a)</w:t>
      </w:r>
      <w:r>
        <w:tab/>
      </w:r>
      <w:r w:rsidR="00CF0BD1" w:rsidRPr="00CF0BD1">
        <w:t>Manufacturer’s identification mark</w:t>
      </w:r>
    </w:p>
    <w:p w:rsidR="00CF0BD1" w:rsidRPr="00CF0BD1" w:rsidRDefault="009801CA" w:rsidP="009801CA">
      <w:pPr>
        <w:spacing w:after="120"/>
        <w:ind w:left="2268" w:right="1134"/>
        <w:jc w:val="both"/>
      </w:pPr>
      <w:r>
        <w:t>(b)</w:t>
      </w:r>
      <w:r>
        <w:tab/>
      </w:r>
      <w:r w:rsidR="00CF0BD1" w:rsidRPr="00CF0BD1">
        <w:t>Design standard or design standard designation</w:t>
      </w:r>
    </w:p>
    <w:p w:rsidR="00CF0BD1" w:rsidRPr="00CF0BD1" w:rsidRDefault="009801CA" w:rsidP="009801CA">
      <w:pPr>
        <w:spacing w:after="120"/>
        <w:ind w:left="2268" w:right="1134"/>
        <w:jc w:val="both"/>
      </w:pPr>
      <w:r>
        <w:t>(c)</w:t>
      </w:r>
      <w:r>
        <w:tab/>
      </w:r>
      <w:r w:rsidR="00CF0BD1" w:rsidRPr="00CF0BD1">
        <w:t xml:space="preserve">Date of manufacture, (year and month or year and </w:t>
      </w:r>
      <w:proofErr w:type="gramStart"/>
      <w:r w:rsidR="00CF0BD1" w:rsidRPr="00CF0BD1">
        <w:t>week )</w:t>
      </w:r>
      <w:proofErr w:type="gramEnd"/>
    </w:p>
    <w:p w:rsidR="00CF0BD1" w:rsidRPr="00CF0BD1" w:rsidRDefault="00CF0BD1" w:rsidP="007E0E8A">
      <w:pPr>
        <w:spacing w:after="120"/>
        <w:ind w:left="1134" w:right="1134"/>
        <w:jc w:val="both"/>
      </w:pPr>
      <w:r w:rsidRPr="00CF0BD1">
        <w:t>The valve test pressure shall be marked when it is less than the test pressure which is indicated by the shape of the valve filling connection.</w:t>
      </w:r>
    </w:p>
    <w:p w:rsidR="00CF0BD1" w:rsidRPr="00CF0BD1" w:rsidRDefault="00CF0BD1" w:rsidP="007E0E8A">
      <w:pPr>
        <w:spacing w:after="120"/>
        <w:ind w:left="1134" w:right="1134"/>
        <w:jc w:val="both"/>
      </w:pPr>
      <w:r w:rsidRPr="00CF0BD1">
        <w:t>Closures which are conformity assessed separately shall be marked in addition with the UN packaging symbol as specified in 6.2.2.7.2 (a) with a minimum size of</w:t>
      </w:r>
      <w:r>
        <w:t xml:space="preserve"> 5 mm.”</w:t>
      </w:r>
    </w:p>
    <w:p w:rsidR="00CF0BD1" w:rsidRPr="00A6454D" w:rsidRDefault="00CF0BD1" w:rsidP="007E0E8A">
      <w:pPr>
        <w:spacing w:after="120"/>
        <w:ind w:left="1134" w:right="1134"/>
        <w:jc w:val="both"/>
      </w:pPr>
      <w:r w:rsidRPr="005F0494">
        <w:rPr>
          <w:b/>
        </w:rPr>
        <w:t>6.2.2.12</w:t>
      </w:r>
      <w:r w:rsidRPr="00A6454D">
        <w:t xml:space="preserve"> (renumbered</w:t>
      </w:r>
      <w:r w:rsidR="00DC2396">
        <w:t xml:space="preserve"> 6.2.2.11</w:t>
      </w:r>
      <w:r w:rsidRPr="00A6454D">
        <w:t>)</w:t>
      </w:r>
      <w:r w:rsidRPr="00A6454D">
        <w:tab/>
      </w:r>
      <w:proofErr w:type="gramStart"/>
      <w:r w:rsidRPr="00A6454D">
        <w:t>After</w:t>
      </w:r>
      <w:proofErr w:type="gramEnd"/>
      <w:r w:rsidRPr="00A6454D">
        <w:t xml:space="preserve"> the table insert a new sentence “For separate conformity assessments (e.g. cylinder shell and closure) see 6.2.1.4.3.</w:t>
      </w:r>
      <w:r w:rsidR="00A6454D">
        <w:t>”</w:t>
      </w:r>
    </w:p>
    <w:p w:rsidR="00A6454D" w:rsidRDefault="00B94EAD" w:rsidP="009801CA">
      <w:pPr>
        <w:pStyle w:val="H1G"/>
      </w:pPr>
      <w:r>
        <w:tab/>
      </w:r>
      <w:r>
        <w:tab/>
        <w:t>Proposal 4</w:t>
      </w:r>
      <w:r w:rsidR="00A6454D">
        <w:t xml:space="preserve"> – Amendments to RID/ADR text in 6.2.3, 6.2.4 and 6.2.5</w:t>
      </w:r>
    </w:p>
    <w:p w:rsidR="00A6454D" w:rsidRDefault="00A6454D" w:rsidP="007E0E8A">
      <w:pPr>
        <w:spacing w:after="120"/>
        <w:ind w:left="1134" w:right="1134"/>
        <w:jc w:val="both"/>
      </w:pPr>
      <w:r>
        <w:t>6.2.3.1.1</w:t>
      </w:r>
      <w:r>
        <w:tab/>
        <w:t>After “Pressure receptacles” delete “and their closures”.</w:t>
      </w:r>
    </w:p>
    <w:p w:rsidR="00CF0BD1" w:rsidRDefault="00A6454D" w:rsidP="009801CA">
      <w:pPr>
        <w:spacing w:after="120"/>
        <w:ind w:left="2268" w:right="1134" w:hanging="1134"/>
        <w:jc w:val="both"/>
      </w:pPr>
      <w:r>
        <w:t>6.2.3.1.2</w:t>
      </w:r>
      <w:r>
        <w:tab/>
        <w:t xml:space="preserve">In the second paragraph replace “pressure envelope and supporting </w:t>
      </w:r>
      <w:r w:rsidRPr="00A6454D">
        <w:t>components” by “pressure receptacle and/or pressure receptacle shells including all permanently attached integral parts (e.g. neck ring, foot ring, etc.)”</w:t>
      </w:r>
    </w:p>
    <w:p w:rsidR="00A6454D" w:rsidRDefault="00A6454D" w:rsidP="007E0E8A">
      <w:pPr>
        <w:spacing w:after="120"/>
        <w:ind w:left="1134" w:right="1134"/>
        <w:jc w:val="both"/>
      </w:pPr>
      <w:r>
        <w:t>6.2.3.3.2</w:t>
      </w:r>
      <w:r>
        <w:tab/>
        <w:t>Delete the heading “</w:t>
      </w:r>
      <w:r w:rsidRPr="00A6454D">
        <w:rPr>
          <w:i/>
        </w:rPr>
        <w:t>Openings</w:t>
      </w:r>
      <w:r>
        <w:t>”</w:t>
      </w:r>
      <w:r w:rsidR="002C5DDC">
        <w:t>.</w:t>
      </w:r>
    </w:p>
    <w:p w:rsidR="00A6454D" w:rsidRDefault="00A6454D" w:rsidP="007E0E8A">
      <w:pPr>
        <w:spacing w:after="120"/>
        <w:ind w:left="1134" w:right="1134"/>
        <w:jc w:val="both"/>
      </w:pPr>
      <w:r>
        <w:t>6.2.2.3.3</w:t>
      </w:r>
      <w:r>
        <w:tab/>
        <w:t>Delete the heading “</w:t>
      </w:r>
      <w:r w:rsidR="002C5DDC" w:rsidRPr="002C5DDC">
        <w:rPr>
          <w:i/>
        </w:rPr>
        <w:t>Fittings</w:t>
      </w:r>
      <w:r w:rsidR="002C5DDC">
        <w:t>”.</w:t>
      </w:r>
    </w:p>
    <w:p w:rsidR="002C5DDC" w:rsidRPr="00A6454D" w:rsidRDefault="002C5DDC" w:rsidP="009801CA">
      <w:pPr>
        <w:spacing w:after="120"/>
        <w:ind w:left="2268" w:right="1134" w:hanging="1134"/>
        <w:jc w:val="both"/>
      </w:pPr>
      <w:r>
        <w:t>6.2.2.3.4.2</w:t>
      </w:r>
      <w:r>
        <w:tab/>
        <w:t>In the title replace “</w:t>
      </w:r>
      <w:r w:rsidRPr="002C5DDC">
        <w:rPr>
          <w:i/>
        </w:rPr>
        <w:t>receptacles</w:t>
      </w:r>
      <w:r>
        <w:t>” by “</w:t>
      </w:r>
      <w:r w:rsidRPr="002C5DDC">
        <w:rPr>
          <w:i/>
        </w:rPr>
        <w:t>receptacle shells</w:t>
      </w:r>
      <w:r>
        <w:t>” and in paragraph (a) replace “receptacles” by “receptacle shells”</w:t>
      </w:r>
    </w:p>
    <w:p w:rsidR="002C5DDC" w:rsidRDefault="002C5DDC" w:rsidP="007E0E8A">
      <w:pPr>
        <w:pStyle w:val="SingleTxtG"/>
        <w:suppressAutoHyphens/>
        <w:spacing w:line="240" w:lineRule="atLeast"/>
      </w:pPr>
      <w:r>
        <w:t>6.2.3.5.1</w:t>
      </w:r>
      <w:r>
        <w:tab/>
        <w:t xml:space="preserve">In the </w:t>
      </w:r>
      <w:r w:rsidRPr="002C5DDC">
        <w:rPr>
          <w:b/>
          <w:i/>
        </w:rPr>
        <w:t>NOTE</w:t>
      </w:r>
      <w:r>
        <w:t xml:space="preserve"> after “</w:t>
      </w:r>
      <w:r>
        <w:rPr>
          <w:i/>
        </w:rPr>
        <w:t>cylinder</w:t>
      </w:r>
      <w:r>
        <w:t>” insert “</w:t>
      </w:r>
      <w:r>
        <w:rPr>
          <w:i/>
        </w:rPr>
        <w:t>shell</w:t>
      </w:r>
      <w:r>
        <w:t>”.</w:t>
      </w:r>
    </w:p>
    <w:p w:rsidR="002C5DDC" w:rsidRDefault="002A3359" w:rsidP="009801CA">
      <w:pPr>
        <w:spacing w:after="120"/>
        <w:ind w:left="2268" w:right="1134" w:hanging="1134"/>
        <w:jc w:val="both"/>
      </w:pPr>
      <w:r>
        <w:t>6.2.3.5.2</w:t>
      </w:r>
      <w:r>
        <w:tab/>
        <w:t>In paragraph (a) insert “pressure” before “receptacle” and insert “service” before “equipment”.</w:t>
      </w:r>
    </w:p>
    <w:p w:rsidR="002C5DDC" w:rsidRDefault="002A3359" w:rsidP="009801CA">
      <w:pPr>
        <w:spacing w:after="120"/>
        <w:ind w:left="2268" w:right="1134" w:hanging="1134"/>
        <w:jc w:val="both"/>
      </w:pPr>
      <w:r>
        <w:t>6.2.3.6.1</w:t>
      </w:r>
      <w:r>
        <w:tab/>
        <w:t>After the table replace the sentence starting “For refillable pressure receptacles, the conformity assessment …” by “</w:t>
      </w:r>
      <w:r w:rsidRPr="002A3359">
        <w:t>For separate conformity assessments (e.g. cylinder shell and closure) see 6.2.1.4.3.</w:t>
      </w:r>
      <w:r>
        <w:t>”</w:t>
      </w:r>
    </w:p>
    <w:p w:rsidR="00A86F87" w:rsidRDefault="00A86F87" w:rsidP="009801CA">
      <w:pPr>
        <w:spacing w:after="120"/>
        <w:ind w:left="2268" w:right="1134" w:hanging="1134"/>
        <w:jc w:val="both"/>
      </w:pPr>
      <w:r w:rsidRPr="00A86F87">
        <w:t>6.2.3.9</w:t>
      </w:r>
      <w:r>
        <w:t>.1</w:t>
      </w:r>
      <w:r>
        <w:tab/>
      </w:r>
      <w:proofErr w:type="gramStart"/>
      <w:r w:rsidR="00020DCC">
        <w:t>replace</w:t>
      </w:r>
      <w:proofErr w:type="gramEnd"/>
      <w:r>
        <w:t xml:space="preserve"> the existing sentence by “Marks shall be in accordance with 6.2.2.</w:t>
      </w:r>
      <w:r w:rsidRPr="00A86F87">
        <w:t>7 and 6.2.2.11</w:t>
      </w:r>
      <w:r>
        <w:t xml:space="preserve"> with the following variations.</w:t>
      </w:r>
    </w:p>
    <w:p w:rsidR="002C5DDC" w:rsidRPr="00A86F87" w:rsidRDefault="00A86F87" w:rsidP="007E0E8A">
      <w:pPr>
        <w:pStyle w:val="SingleTxtG"/>
        <w:suppressAutoHyphens/>
        <w:spacing w:line="240" w:lineRule="atLeast"/>
        <w:rPr>
          <w:b/>
        </w:rPr>
      </w:pPr>
      <w:r w:rsidRPr="00A86F87">
        <w:rPr>
          <w:b/>
        </w:rPr>
        <w:t>6.2.3.10</w:t>
      </w:r>
      <w:r w:rsidRPr="00A86F87">
        <w:rPr>
          <w:b/>
        </w:rPr>
        <w:tab/>
      </w:r>
      <w:r w:rsidRPr="00233D67">
        <w:t>Replace</w:t>
      </w:r>
      <w:r>
        <w:rPr>
          <w:b/>
        </w:rPr>
        <w:t xml:space="preserve"> “pressure receptacles</w:t>
      </w:r>
      <w:r w:rsidR="00233D67">
        <w:t>”</w:t>
      </w:r>
      <w:r w:rsidRPr="00233D67">
        <w:t xml:space="preserve"> </w:t>
      </w:r>
      <w:r w:rsidRPr="00A86F87">
        <w:t>by “</w:t>
      </w:r>
      <w:r>
        <w:rPr>
          <w:b/>
        </w:rPr>
        <w:t>cylinders”</w:t>
      </w:r>
    </w:p>
    <w:p w:rsidR="00A86F87" w:rsidRPr="00A86F87" w:rsidRDefault="00233D67" w:rsidP="007E0E8A">
      <w:pPr>
        <w:pStyle w:val="SingleTxtG"/>
        <w:suppressAutoHyphens/>
        <w:spacing w:line="240" w:lineRule="atLeast"/>
      </w:pPr>
      <w:r>
        <w:t>6.2.3.10.1</w:t>
      </w:r>
      <w:r>
        <w:tab/>
        <w:t>Replace “Markings” by Marks”</w:t>
      </w:r>
    </w:p>
    <w:p w:rsidR="00A86F87" w:rsidRDefault="00B53402" w:rsidP="007E0E8A">
      <w:pPr>
        <w:pStyle w:val="SingleTxtG"/>
        <w:suppressAutoHyphens/>
        <w:spacing w:line="240" w:lineRule="atLeast"/>
      </w:pPr>
      <w:r w:rsidRPr="00B53402">
        <w:rPr>
          <w:b/>
        </w:rPr>
        <w:t>6.2.4.</w:t>
      </w:r>
      <w:r w:rsidR="00233D67" w:rsidRPr="00B53402">
        <w:rPr>
          <w:b/>
        </w:rPr>
        <w:t>1</w:t>
      </w:r>
      <w:r w:rsidR="00233D67">
        <w:tab/>
      </w:r>
      <w:r>
        <w:tab/>
      </w:r>
      <w:r w:rsidR="00233D67">
        <w:t xml:space="preserve">After the end of the text and before the table insert a new </w:t>
      </w:r>
      <w:r w:rsidR="00233D67" w:rsidRPr="00233D67">
        <w:rPr>
          <w:b/>
          <w:i/>
        </w:rPr>
        <w:t>NOTE</w:t>
      </w:r>
      <w:r w:rsidR="00233D67">
        <w:t xml:space="preserve"> as follows.</w:t>
      </w:r>
    </w:p>
    <w:p w:rsidR="00233D67" w:rsidRPr="00B53402" w:rsidRDefault="00B53402" w:rsidP="007E0E8A">
      <w:pPr>
        <w:spacing w:after="120"/>
        <w:ind w:left="1134"/>
        <w:jc w:val="both"/>
        <w:rPr>
          <w:rFonts w:eastAsia="SimSun"/>
        </w:rPr>
      </w:pPr>
      <w:r>
        <w:t>“</w:t>
      </w:r>
      <w:r w:rsidR="00233D67" w:rsidRPr="00233D67">
        <w:rPr>
          <w:b/>
          <w:i/>
        </w:rPr>
        <w:t>NOTE:</w:t>
      </w:r>
      <w:r w:rsidR="00233D67" w:rsidRPr="00233D67">
        <w:rPr>
          <w:i/>
        </w:rPr>
        <w:t xml:space="preserve"> The words ‘cylinder’, ‘tube’ and ‘pressure drum’ when used in these standards shall be understood to exclude closures except in the case of non-refillable cylinders.</w:t>
      </w:r>
      <w:r>
        <w:t>”</w:t>
      </w:r>
    </w:p>
    <w:p w:rsidR="00233D67" w:rsidRDefault="00233D67" w:rsidP="007E0E8A">
      <w:pPr>
        <w:pStyle w:val="SingleTxtG"/>
        <w:suppressAutoHyphens/>
        <w:spacing w:line="240" w:lineRule="atLeast"/>
      </w:pPr>
      <w:r>
        <w:t>In the third row of the table (after the two header rows) replace “</w:t>
      </w:r>
      <w:r>
        <w:rPr>
          <w:b/>
          <w:i/>
        </w:rPr>
        <w:t>for design and construction</w:t>
      </w:r>
      <w:r w:rsidRPr="00233D67">
        <w:t>”</w:t>
      </w:r>
      <w:r>
        <w:t xml:space="preserve"> by </w:t>
      </w:r>
      <w:r w:rsidR="00B53402">
        <w:t>“</w:t>
      </w:r>
      <w:r w:rsidR="00B53402">
        <w:rPr>
          <w:b/>
          <w:i/>
        </w:rPr>
        <w:t>for pressure receptacles or pressure receptacle shells</w:t>
      </w:r>
      <w:r w:rsidR="00B53402" w:rsidRPr="00B53402">
        <w:t>”.</w:t>
      </w:r>
    </w:p>
    <w:p w:rsidR="00B53402" w:rsidRPr="00B53402" w:rsidRDefault="00B53402" w:rsidP="009801CA">
      <w:pPr>
        <w:pStyle w:val="SingleTxtG"/>
        <w:suppressAutoHyphens/>
        <w:spacing w:line="240" w:lineRule="atLeast"/>
        <w:ind w:left="2268" w:hanging="1134"/>
      </w:pPr>
      <w:r w:rsidRPr="00B53402">
        <w:rPr>
          <w:b/>
        </w:rPr>
        <w:t>6.2.4.2</w:t>
      </w:r>
      <w:r>
        <w:rPr>
          <w:b/>
        </w:rPr>
        <w:tab/>
      </w:r>
      <w:r>
        <w:rPr>
          <w:b/>
        </w:rPr>
        <w:tab/>
      </w:r>
      <w:r>
        <w:t xml:space="preserve">Delete the third row of the table (after the two header rows) </w:t>
      </w:r>
      <w:r w:rsidR="005F0494">
        <w:t>includ</w:t>
      </w:r>
      <w:r>
        <w:t>ing the text “</w:t>
      </w:r>
      <w:r>
        <w:rPr>
          <w:b/>
          <w:i/>
        </w:rPr>
        <w:t>for periodic inspection and test</w:t>
      </w:r>
      <w:r>
        <w:t>”.</w:t>
      </w:r>
    </w:p>
    <w:p w:rsidR="00B53402" w:rsidRDefault="00B53402" w:rsidP="009801CA">
      <w:pPr>
        <w:spacing w:after="120"/>
        <w:ind w:left="2268" w:right="1134" w:hanging="1134"/>
        <w:jc w:val="both"/>
      </w:pPr>
      <w:r>
        <w:t>6.2.5.3</w:t>
      </w:r>
      <w:r>
        <w:tab/>
      </w:r>
      <w:r>
        <w:tab/>
        <w:t>In the first sentence after the heading</w:t>
      </w:r>
      <w:r w:rsidR="00742F4C">
        <w:t xml:space="preserve"> insert “shell” after “pressure receptacle”.</w:t>
      </w:r>
    </w:p>
    <w:p w:rsidR="00B53402" w:rsidRPr="00742F4C" w:rsidRDefault="00742F4C" w:rsidP="007E0E8A">
      <w:pPr>
        <w:pStyle w:val="SingleTxtG"/>
        <w:suppressAutoHyphens/>
        <w:spacing w:line="240" w:lineRule="atLeast"/>
      </w:pPr>
      <w:proofErr w:type="gramStart"/>
      <w:r>
        <w:lastRenderedPageBreak/>
        <w:t xml:space="preserve">In the sentence after the end of the </w:t>
      </w:r>
      <w:r w:rsidRPr="00742F4C">
        <w:rPr>
          <w:b/>
          <w:i/>
        </w:rPr>
        <w:t>NOTE</w:t>
      </w:r>
      <w:r>
        <w:t xml:space="preserve"> delete “and their closures”.</w:t>
      </w:r>
      <w:proofErr w:type="gramEnd"/>
    </w:p>
    <w:p w:rsidR="00B53402" w:rsidRDefault="00742F4C" w:rsidP="007E0E8A">
      <w:pPr>
        <w:pStyle w:val="SingleTxtG"/>
        <w:suppressAutoHyphens/>
        <w:spacing w:line="240" w:lineRule="atLeast"/>
      </w:pPr>
      <w:r>
        <w:t>6.2.5.4.1</w:t>
      </w:r>
      <w:r>
        <w:tab/>
        <w:t>Replace “receptacles” by “receptacle shells”.</w:t>
      </w:r>
    </w:p>
    <w:p w:rsidR="00742F4C" w:rsidRDefault="00B636FF" w:rsidP="007E0E8A">
      <w:pPr>
        <w:pStyle w:val="SingleTxtG"/>
        <w:suppressAutoHyphens/>
        <w:spacing w:line="240" w:lineRule="atLeast"/>
      </w:pPr>
      <w:r>
        <w:t xml:space="preserve">In the sentence </w:t>
      </w:r>
      <w:r w:rsidR="00020DCC">
        <w:t>preceding</w:t>
      </w:r>
      <w:r>
        <w:t xml:space="preserve"> the algebraic formulae insert “shell” after “receptacle” twice.</w:t>
      </w:r>
    </w:p>
    <w:p w:rsidR="00B636FF" w:rsidRDefault="00B636FF" w:rsidP="007E0E8A">
      <w:pPr>
        <w:pStyle w:val="SingleTxtG"/>
        <w:suppressAutoHyphens/>
        <w:spacing w:line="240" w:lineRule="atLeast"/>
      </w:pPr>
      <w:r>
        <w:t>After the formulae</w:t>
      </w:r>
      <w:r w:rsidR="00F3258A">
        <w:t>,</w:t>
      </w:r>
      <w:r>
        <w:t xml:space="preserve"> </w:t>
      </w:r>
      <w:r w:rsidR="00265DB7">
        <w:t xml:space="preserve">amend </w:t>
      </w:r>
      <w:r>
        <w:t>the definition of ‘e’</w:t>
      </w:r>
      <w:r w:rsidR="00F3258A">
        <w:t xml:space="preserve"> and “D” to </w:t>
      </w:r>
      <w:proofErr w:type="gramStart"/>
      <w:r w:rsidR="00F3258A">
        <w:t xml:space="preserve">read </w:t>
      </w:r>
      <w:r>
        <w:t xml:space="preserve"> “</w:t>
      </w:r>
      <w:proofErr w:type="gramEnd"/>
      <w:r>
        <w:t>e = minimum wall thickness</w:t>
      </w:r>
      <w:r w:rsidR="00F3258A">
        <w:t xml:space="preserve">, in mm” and </w:t>
      </w:r>
      <w:r w:rsidR="00020DCC">
        <w:t>“</w:t>
      </w:r>
      <w:r w:rsidR="00F3258A">
        <w:t>D = no</w:t>
      </w:r>
      <w:r w:rsidR="00020DCC">
        <w:t>minal external diameter, in mm”.</w:t>
      </w:r>
    </w:p>
    <w:p w:rsidR="00F3258A" w:rsidRDefault="00F3258A" w:rsidP="007E0E8A">
      <w:pPr>
        <w:pStyle w:val="SingleTxtG"/>
        <w:suppressAutoHyphens/>
        <w:spacing w:line="240" w:lineRule="atLeast"/>
      </w:pPr>
      <w:r>
        <w:t xml:space="preserve">In </w:t>
      </w:r>
      <w:r w:rsidRPr="00F3258A">
        <w:rPr>
          <w:b/>
          <w:i/>
        </w:rPr>
        <w:t>NOTE 1</w:t>
      </w:r>
      <w:r>
        <w:t xml:space="preserve"> replace “receptacles” by “receptacle shells”.</w:t>
      </w:r>
    </w:p>
    <w:p w:rsidR="00B53402" w:rsidRDefault="00F3258A" w:rsidP="007E0E8A">
      <w:pPr>
        <w:pStyle w:val="SingleTxtG"/>
        <w:suppressAutoHyphens/>
        <w:spacing w:line="240" w:lineRule="atLeast"/>
      </w:pPr>
      <w:r>
        <w:t xml:space="preserve">6.2.5.4.2 </w:t>
      </w:r>
      <w:r>
        <w:tab/>
        <w:t>Replace “receptacles” by “receptacle shells” twice.</w:t>
      </w:r>
    </w:p>
    <w:p w:rsidR="00F3258A" w:rsidRDefault="00901BC2" w:rsidP="007E0E8A">
      <w:pPr>
        <w:pStyle w:val="SingleTxtG"/>
        <w:suppressAutoHyphens/>
        <w:spacing w:line="240" w:lineRule="atLeast"/>
      </w:pPr>
      <w:r>
        <w:t>6.2.5.4.3</w:t>
      </w:r>
      <w:r>
        <w:tab/>
        <w:t xml:space="preserve">Replace “receptacles” by “receptacle shells” once and insert “shell” after “receptacle” </w:t>
      </w:r>
      <w:r w:rsidR="00E52ECA">
        <w:t xml:space="preserve">in each of the </w:t>
      </w:r>
      <w:r>
        <w:t xml:space="preserve">three </w:t>
      </w:r>
      <w:r w:rsidR="00E52ECA">
        <w:t>indents</w:t>
      </w:r>
      <w:r>
        <w:t>.</w:t>
      </w:r>
    </w:p>
    <w:p w:rsidR="00901BC2" w:rsidRDefault="00901BC2" w:rsidP="007E0E8A">
      <w:pPr>
        <w:pStyle w:val="SingleTxtG"/>
        <w:suppressAutoHyphens/>
        <w:spacing w:line="240" w:lineRule="atLeast"/>
      </w:pPr>
      <w:r>
        <w:t>6.2.5.4.4</w:t>
      </w:r>
      <w:r>
        <w:tab/>
        <w:t>Replace “receptacles” by “receptacle shells”</w:t>
      </w:r>
      <w:r w:rsidR="00020DCC">
        <w:t>.</w:t>
      </w:r>
    </w:p>
    <w:p w:rsidR="00901BC2" w:rsidRPr="00901BC2" w:rsidRDefault="00901BC2" w:rsidP="009801CA">
      <w:pPr>
        <w:pStyle w:val="SingleTxtG"/>
        <w:suppressAutoHyphens/>
        <w:spacing w:line="240" w:lineRule="atLeast"/>
        <w:ind w:left="2268" w:hanging="1134"/>
      </w:pPr>
      <w:r w:rsidRPr="00901BC2">
        <w:rPr>
          <w:b/>
        </w:rPr>
        <w:t>6.2.5.5</w:t>
      </w:r>
      <w:r>
        <w:rPr>
          <w:b/>
        </w:rPr>
        <w:tab/>
      </w:r>
      <w:r w:rsidRPr="00901BC2">
        <w:tab/>
        <w:t>Replace “</w:t>
      </w:r>
      <w:r>
        <w:t>tubes</w:t>
      </w:r>
      <w:r w:rsidRPr="00901BC2">
        <w:t>,</w:t>
      </w:r>
      <w:r>
        <w:t xml:space="preserve"> pressure drums</w:t>
      </w:r>
      <w:r w:rsidRPr="00901BC2">
        <w:t>, and bundles of cylinders</w:t>
      </w:r>
      <w:r>
        <w:t>” by “</w:t>
      </w:r>
      <w:r w:rsidRPr="00901BC2">
        <w:t>tubes and pressure drums”.</w:t>
      </w:r>
    </w:p>
    <w:p w:rsidR="00901BC2" w:rsidRDefault="00901BC2" w:rsidP="007E0E8A">
      <w:pPr>
        <w:pStyle w:val="SingleTxtG"/>
        <w:suppressAutoHyphens/>
        <w:spacing w:line="240" w:lineRule="atLeast"/>
      </w:pPr>
      <w:proofErr w:type="gramStart"/>
      <w:r>
        <w:t>Between</w:t>
      </w:r>
      <w:r w:rsidRPr="00901BC2">
        <w:t xml:space="preserve"> </w:t>
      </w:r>
      <w:r>
        <w:t>“the construction” and “shall be” insert “of the pressure receptacle shell”.</w:t>
      </w:r>
      <w:proofErr w:type="gramEnd"/>
    </w:p>
    <w:p w:rsidR="00020DCC" w:rsidRDefault="00020DCC" w:rsidP="007E0E8A">
      <w:pPr>
        <w:pStyle w:val="SingleTxtG"/>
        <w:suppressAutoHyphens/>
        <w:spacing w:line="240" w:lineRule="atLeast"/>
      </w:pPr>
      <w:r>
        <w:t>6.2.5.6.1</w:t>
      </w:r>
      <w:r>
        <w:tab/>
        <w:t>At the end of the sentence delete “and its fittings”.</w:t>
      </w:r>
    </w:p>
    <w:p w:rsidR="00020DCC" w:rsidRDefault="00020DCC" w:rsidP="007E0E8A">
      <w:pPr>
        <w:pStyle w:val="SingleTxtG"/>
        <w:suppressAutoHyphens/>
        <w:spacing w:line="240" w:lineRule="atLeast"/>
      </w:pPr>
      <w:r>
        <w:t>6.2.5.6.3</w:t>
      </w:r>
      <w:r>
        <w:tab/>
        <w:t>Delete “of pressure receptacles”.</w:t>
      </w:r>
    </w:p>
    <w:p w:rsidR="00D662CD" w:rsidRPr="00D662CD" w:rsidRDefault="00D662CD" w:rsidP="00D662CD">
      <w:pPr>
        <w:pStyle w:val="SingleTxtG"/>
        <w:suppressAutoHyphens/>
        <w:spacing w:before="240" w:after="0" w:line="240" w:lineRule="atLeast"/>
        <w:jc w:val="center"/>
        <w:rPr>
          <w:u w:val="single"/>
        </w:rPr>
      </w:pPr>
      <w:r>
        <w:rPr>
          <w:u w:val="single"/>
        </w:rPr>
        <w:tab/>
      </w:r>
      <w:r w:rsidR="00020DCC">
        <w:rPr>
          <w:u w:val="single"/>
        </w:rPr>
        <w:tab/>
      </w:r>
      <w:r>
        <w:rPr>
          <w:u w:val="single"/>
        </w:rPr>
        <w:tab/>
      </w:r>
      <w:r>
        <w:rPr>
          <w:u w:val="single"/>
        </w:rPr>
        <w:tab/>
      </w:r>
    </w:p>
    <w:sectPr w:rsidR="00D662CD" w:rsidRPr="00D662CD"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34" w:rsidRDefault="00FD3D34"/>
  </w:endnote>
  <w:endnote w:type="continuationSeparator" w:id="0">
    <w:p w:rsidR="00FD3D34" w:rsidRDefault="00FD3D34"/>
  </w:endnote>
  <w:endnote w:type="continuationNotice" w:id="1">
    <w:p w:rsidR="00FD3D34" w:rsidRDefault="00FD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3B3A7E" w:rsidRDefault="00265DB7" w:rsidP="003B3A7E">
    <w:pPr>
      <w:pStyle w:val="Footer"/>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265DB7"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635C8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34" w:rsidRPr="000B175B" w:rsidRDefault="00FD3D34" w:rsidP="000B175B">
      <w:pPr>
        <w:tabs>
          <w:tab w:val="right" w:pos="2155"/>
        </w:tabs>
        <w:spacing w:after="80"/>
        <w:ind w:left="680"/>
        <w:rPr>
          <w:u w:val="single"/>
        </w:rPr>
      </w:pPr>
      <w:r>
        <w:rPr>
          <w:u w:val="single"/>
        </w:rPr>
        <w:tab/>
      </w:r>
    </w:p>
  </w:footnote>
  <w:footnote w:type="continuationSeparator" w:id="0">
    <w:p w:rsidR="00FD3D34" w:rsidRPr="00FC68B7" w:rsidRDefault="00FD3D34" w:rsidP="00FC68B7">
      <w:pPr>
        <w:tabs>
          <w:tab w:val="left" w:pos="2155"/>
        </w:tabs>
        <w:spacing w:after="80"/>
        <w:ind w:left="680"/>
        <w:rPr>
          <w:u w:val="single"/>
        </w:rPr>
      </w:pPr>
      <w:r>
        <w:rPr>
          <w:u w:val="single"/>
        </w:rPr>
        <w:tab/>
      </w:r>
    </w:p>
  </w:footnote>
  <w:footnote w:type="continuationNotice" w:id="1">
    <w:p w:rsidR="00FD3D34" w:rsidRDefault="00FD3D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9455D" w:rsidRDefault="00265DB7">
    <w:pPr>
      <w:pStyle w:val="Header"/>
      <w:rPr>
        <w:lang w:val="fr-CH"/>
      </w:rPr>
    </w:pPr>
    <w:r>
      <w:rPr>
        <w:lang w:val="fr-CH"/>
      </w:rPr>
      <w:t>INF.</w:t>
    </w:r>
    <w:r w:rsidR="009801CA">
      <w:rPr>
        <w:lang w:val="fr-CH"/>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73BC9" w:rsidRDefault="009801CA" w:rsidP="0009455D">
    <w:pPr>
      <w:pStyle w:val="Header"/>
      <w:jc w:val="right"/>
    </w:pPr>
    <w:r>
      <w:t>INF.11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560572" w:rsidRDefault="00265DB7" w:rsidP="00E37495">
    <w:pPr>
      <w:pStyle w:val="Header"/>
      <w:pBdr>
        <w:bottom w:val="single" w:sz="4" w:space="1" w:color="auto"/>
      </w:pBdr>
      <w:jc w:val="right"/>
      <w:rPr>
        <w:sz w:val="28"/>
        <w:szCs w:val="28"/>
      </w:rPr>
    </w:pPr>
    <w:r w:rsidRPr="00560572">
      <w:rPr>
        <w:sz w:val="28"/>
        <w:szCs w:val="28"/>
      </w:rPr>
      <w:t>INF.</w:t>
    </w:r>
    <w:r w:rsidR="009801CA">
      <w:rPr>
        <w:sz w:val="28"/>
        <w:szCs w:val="2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24"/>
  </w:num>
  <w:num w:numId="18">
    <w:abstractNumId w:val="26"/>
  </w:num>
  <w:num w:numId="19">
    <w:abstractNumId w:val="23"/>
  </w:num>
  <w:num w:numId="20">
    <w:abstractNumId w:val="14"/>
  </w:num>
  <w:num w:numId="21">
    <w:abstractNumId w:val="20"/>
  </w:num>
  <w:num w:numId="22">
    <w:abstractNumId w:val="27"/>
  </w:num>
  <w:num w:numId="23">
    <w:abstractNumId w:val="19"/>
  </w:num>
  <w:num w:numId="24">
    <w:abstractNumId w:val="22"/>
  </w:num>
  <w:num w:numId="25">
    <w:abstractNumId w:val="25"/>
  </w:num>
  <w:num w:numId="26">
    <w:abstractNumId w:val="21"/>
  </w:num>
  <w:num w:numId="27">
    <w:abstractNumId w:val="0"/>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20DCC"/>
    <w:rsid w:val="00027624"/>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E0415"/>
    <w:rsid w:val="000E233A"/>
    <w:rsid w:val="000E63CB"/>
    <w:rsid w:val="000E7EB0"/>
    <w:rsid w:val="000F7715"/>
    <w:rsid w:val="001022EF"/>
    <w:rsid w:val="00103E99"/>
    <w:rsid w:val="00140040"/>
    <w:rsid w:val="0014401A"/>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34EA"/>
    <w:rsid w:val="00264807"/>
    <w:rsid w:val="00265DB7"/>
    <w:rsid w:val="00280375"/>
    <w:rsid w:val="002815FC"/>
    <w:rsid w:val="00295F1A"/>
    <w:rsid w:val="002974E9"/>
    <w:rsid w:val="002A214F"/>
    <w:rsid w:val="002A3359"/>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46C2"/>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7298C"/>
    <w:rsid w:val="0047429E"/>
    <w:rsid w:val="00476F24"/>
    <w:rsid w:val="0048402E"/>
    <w:rsid w:val="004909E7"/>
    <w:rsid w:val="0049311D"/>
    <w:rsid w:val="00497B46"/>
    <w:rsid w:val="004B45B0"/>
    <w:rsid w:val="004B7EA2"/>
    <w:rsid w:val="004C55B0"/>
    <w:rsid w:val="004D51F6"/>
    <w:rsid w:val="004D63B1"/>
    <w:rsid w:val="004E4179"/>
    <w:rsid w:val="004E7160"/>
    <w:rsid w:val="004F3BBF"/>
    <w:rsid w:val="004F3F8F"/>
    <w:rsid w:val="004F6BA0"/>
    <w:rsid w:val="00503BEA"/>
    <w:rsid w:val="005206A7"/>
    <w:rsid w:val="005250A0"/>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90C"/>
    <w:rsid w:val="005E6AAF"/>
    <w:rsid w:val="005F0494"/>
    <w:rsid w:val="005F3066"/>
    <w:rsid w:val="005F3E61"/>
    <w:rsid w:val="005F51F6"/>
    <w:rsid w:val="005F69C7"/>
    <w:rsid w:val="005F7732"/>
    <w:rsid w:val="00601F32"/>
    <w:rsid w:val="00604DDD"/>
    <w:rsid w:val="006115CC"/>
    <w:rsid w:val="00611FC4"/>
    <w:rsid w:val="00613302"/>
    <w:rsid w:val="006176FB"/>
    <w:rsid w:val="0062380F"/>
    <w:rsid w:val="0062564C"/>
    <w:rsid w:val="00630FCB"/>
    <w:rsid w:val="00632F10"/>
    <w:rsid w:val="00635C8D"/>
    <w:rsid w:val="0064017F"/>
    <w:rsid w:val="00640B26"/>
    <w:rsid w:val="00642312"/>
    <w:rsid w:val="00642502"/>
    <w:rsid w:val="00651A29"/>
    <w:rsid w:val="006643C6"/>
    <w:rsid w:val="00665C39"/>
    <w:rsid w:val="00667D6B"/>
    <w:rsid w:val="00676345"/>
    <w:rsid w:val="006770B2"/>
    <w:rsid w:val="006853B3"/>
    <w:rsid w:val="006920E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2F4C"/>
    <w:rsid w:val="0074533B"/>
    <w:rsid w:val="00762EA6"/>
    <w:rsid w:val="0076432E"/>
    <w:rsid w:val="007643BC"/>
    <w:rsid w:val="00764F01"/>
    <w:rsid w:val="00770846"/>
    <w:rsid w:val="00773DB3"/>
    <w:rsid w:val="007810E1"/>
    <w:rsid w:val="00781D93"/>
    <w:rsid w:val="007865A5"/>
    <w:rsid w:val="00790877"/>
    <w:rsid w:val="007959FE"/>
    <w:rsid w:val="00795E37"/>
    <w:rsid w:val="007A0CF1"/>
    <w:rsid w:val="007A38B0"/>
    <w:rsid w:val="007A7CC0"/>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6792"/>
    <w:rsid w:val="008A6B25"/>
    <w:rsid w:val="008A6C4F"/>
    <w:rsid w:val="008A7787"/>
    <w:rsid w:val="008B389E"/>
    <w:rsid w:val="008B41F4"/>
    <w:rsid w:val="008B59E3"/>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4DC3"/>
    <w:rsid w:val="00915C95"/>
    <w:rsid w:val="00916B9C"/>
    <w:rsid w:val="00924CF0"/>
    <w:rsid w:val="00926E47"/>
    <w:rsid w:val="009324AE"/>
    <w:rsid w:val="00935F5E"/>
    <w:rsid w:val="00945B24"/>
    <w:rsid w:val="00946D3D"/>
    <w:rsid w:val="00947162"/>
    <w:rsid w:val="00953163"/>
    <w:rsid w:val="009601FF"/>
    <w:rsid w:val="0096068B"/>
    <w:rsid w:val="00960D5D"/>
    <w:rsid w:val="009610D0"/>
    <w:rsid w:val="0096375C"/>
    <w:rsid w:val="009662E6"/>
    <w:rsid w:val="0097095E"/>
    <w:rsid w:val="00974F7C"/>
    <w:rsid w:val="009801CA"/>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41BB8"/>
    <w:rsid w:val="00A425EB"/>
    <w:rsid w:val="00A45CB7"/>
    <w:rsid w:val="00A47439"/>
    <w:rsid w:val="00A62F57"/>
    <w:rsid w:val="00A6454D"/>
    <w:rsid w:val="00A72F22"/>
    <w:rsid w:val="00A733BC"/>
    <w:rsid w:val="00A748A6"/>
    <w:rsid w:val="00A749C1"/>
    <w:rsid w:val="00A76A69"/>
    <w:rsid w:val="00A77D0C"/>
    <w:rsid w:val="00A824E7"/>
    <w:rsid w:val="00A86F87"/>
    <w:rsid w:val="00A879A4"/>
    <w:rsid w:val="00A96696"/>
    <w:rsid w:val="00A976DD"/>
    <w:rsid w:val="00AA0FF8"/>
    <w:rsid w:val="00AA3567"/>
    <w:rsid w:val="00AB2CE7"/>
    <w:rsid w:val="00AC0F2C"/>
    <w:rsid w:val="00AC502A"/>
    <w:rsid w:val="00AC7298"/>
    <w:rsid w:val="00AF3A98"/>
    <w:rsid w:val="00AF58C1"/>
    <w:rsid w:val="00B03E68"/>
    <w:rsid w:val="00B05D2C"/>
    <w:rsid w:val="00B06643"/>
    <w:rsid w:val="00B15055"/>
    <w:rsid w:val="00B17FC5"/>
    <w:rsid w:val="00B2175D"/>
    <w:rsid w:val="00B22FCB"/>
    <w:rsid w:val="00B30179"/>
    <w:rsid w:val="00B37B15"/>
    <w:rsid w:val="00B4482F"/>
    <w:rsid w:val="00B45C02"/>
    <w:rsid w:val="00B4691D"/>
    <w:rsid w:val="00B53402"/>
    <w:rsid w:val="00B609E7"/>
    <w:rsid w:val="00B628EC"/>
    <w:rsid w:val="00B636FF"/>
    <w:rsid w:val="00B63F27"/>
    <w:rsid w:val="00B70F5A"/>
    <w:rsid w:val="00B72A1E"/>
    <w:rsid w:val="00B81E12"/>
    <w:rsid w:val="00B8509D"/>
    <w:rsid w:val="00B94EAD"/>
    <w:rsid w:val="00BA339B"/>
    <w:rsid w:val="00BA7C8E"/>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3595"/>
    <w:rsid w:val="00D15B04"/>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E12"/>
    <w:rsid w:val="00DB5900"/>
    <w:rsid w:val="00DB66FA"/>
    <w:rsid w:val="00DC18AD"/>
    <w:rsid w:val="00DC2396"/>
    <w:rsid w:val="00DC36B8"/>
    <w:rsid w:val="00DC584A"/>
    <w:rsid w:val="00DD3FE8"/>
    <w:rsid w:val="00DE0CB9"/>
    <w:rsid w:val="00DE178B"/>
    <w:rsid w:val="00DE5105"/>
    <w:rsid w:val="00DF1147"/>
    <w:rsid w:val="00DF1A1E"/>
    <w:rsid w:val="00DF4518"/>
    <w:rsid w:val="00DF6A82"/>
    <w:rsid w:val="00DF7CAE"/>
    <w:rsid w:val="00E02011"/>
    <w:rsid w:val="00E1773B"/>
    <w:rsid w:val="00E324A0"/>
    <w:rsid w:val="00E37495"/>
    <w:rsid w:val="00E423C0"/>
    <w:rsid w:val="00E50BC6"/>
    <w:rsid w:val="00E52ECA"/>
    <w:rsid w:val="00E53624"/>
    <w:rsid w:val="00E550E7"/>
    <w:rsid w:val="00E57974"/>
    <w:rsid w:val="00E62965"/>
    <w:rsid w:val="00E6414C"/>
    <w:rsid w:val="00E65354"/>
    <w:rsid w:val="00E672F0"/>
    <w:rsid w:val="00E7260F"/>
    <w:rsid w:val="00E82C50"/>
    <w:rsid w:val="00E86772"/>
    <w:rsid w:val="00E8702D"/>
    <w:rsid w:val="00E87C7D"/>
    <w:rsid w:val="00E916A9"/>
    <w:rsid w:val="00E916DE"/>
    <w:rsid w:val="00E96630"/>
    <w:rsid w:val="00EA586A"/>
    <w:rsid w:val="00EB5B1B"/>
    <w:rsid w:val="00EB7168"/>
    <w:rsid w:val="00EC0962"/>
    <w:rsid w:val="00EC10B9"/>
    <w:rsid w:val="00ED18DC"/>
    <w:rsid w:val="00ED6201"/>
    <w:rsid w:val="00ED7A2A"/>
    <w:rsid w:val="00ED7F40"/>
    <w:rsid w:val="00EE4832"/>
    <w:rsid w:val="00EF1D7F"/>
    <w:rsid w:val="00EF4426"/>
    <w:rsid w:val="00F0137E"/>
    <w:rsid w:val="00F0148F"/>
    <w:rsid w:val="00F21786"/>
    <w:rsid w:val="00F237F4"/>
    <w:rsid w:val="00F3258A"/>
    <w:rsid w:val="00F347BC"/>
    <w:rsid w:val="00F3742B"/>
    <w:rsid w:val="00F40CCF"/>
    <w:rsid w:val="00F41FDB"/>
    <w:rsid w:val="00F512E7"/>
    <w:rsid w:val="00F5337D"/>
    <w:rsid w:val="00F5390C"/>
    <w:rsid w:val="00F56D63"/>
    <w:rsid w:val="00F609A9"/>
    <w:rsid w:val="00F6280E"/>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D286-01ED-43D6-9C4F-0B7FEDE5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INF</vt:lpstr>
    </vt:vector>
  </TitlesOfParts>
  <Company>UNECE</Company>
  <LinksUpToDate>false</LinksUpToDate>
  <CharactersWithSpaces>8566</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4</cp:revision>
  <cp:lastPrinted>2012-09-14T16:01:00Z</cp:lastPrinted>
  <dcterms:created xsi:type="dcterms:W3CDTF">2015-08-24T13:54:00Z</dcterms:created>
  <dcterms:modified xsi:type="dcterms:W3CDTF">2015-08-26T10:12:00Z</dcterms:modified>
</cp:coreProperties>
</file>